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2D84" w:rsidRPr="00F32D84" w:rsidRDefault="00F32D84" w:rsidP="00F32D84">
      <w:pPr>
        <w:ind w:right="3968"/>
        <w:jc w:val="both"/>
        <w:rPr>
          <w:b/>
        </w:rPr>
      </w:pPr>
      <w:r w:rsidRPr="00F32D84">
        <w:rPr>
          <w:b/>
        </w:rPr>
        <w:t xml:space="preserve">Expediente: Subvención directa </w:t>
      </w:r>
    </w:p>
    <w:p w:rsidR="00F32D84" w:rsidRPr="00F32D84" w:rsidRDefault="00F32D84" w:rsidP="00F32D84">
      <w:pPr>
        <w:pBdr>
          <w:top w:val="single" w:sz="4" w:space="1" w:color="auto"/>
          <w:bottom w:val="single" w:sz="4" w:space="1" w:color="auto"/>
        </w:pBdr>
        <w:ind w:right="3968"/>
        <w:jc w:val="both"/>
        <w:rPr>
          <w:b/>
        </w:rPr>
      </w:pPr>
      <w:r w:rsidRPr="00F32D84">
        <w:rPr>
          <w:b/>
        </w:rPr>
        <w:t xml:space="preserve">PROPUESTA DE RESOLUCIÓN </w:t>
      </w:r>
    </w:p>
    <w:p w:rsidR="00F32D84" w:rsidRDefault="00F32D84" w:rsidP="00F32D84">
      <w:pPr>
        <w:tabs>
          <w:tab w:val="left" w:pos="4536"/>
        </w:tabs>
        <w:ind w:right="3968"/>
        <w:jc w:val="both"/>
      </w:pPr>
      <w:r>
        <w:t xml:space="preserve">Por la que se autoriza y reconoce la obligación del gasto para el complemento de 250,00 € mensuales para el fomento del acogimiento familiar de menores en familia ajena pertenecientes al Programa de acogimiento de menores en el Principado de Asturias, desde el 1 de enero a 30 de abril de 2023, indicadas en el Anexo </w:t>
      </w:r>
    </w:p>
    <w:p w:rsidR="00F32D84" w:rsidRDefault="00F32D84" w:rsidP="00F32D84">
      <w:pPr>
        <w:pBdr>
          <w:top w:val="single" w:sz="4" w:space="1" w:color="auto"/>
          <w:bottom w:val="single" w:sz="4" w:space="1" w:color="auto"/>
        </w:pBdr>
        <w:ind w:right="3968"/>
        <w:jc w:val="both"/>
      </w:pPr>
      <w:r w:rsidRPr="00F32D84">
        <w:rPr>
          <w:b/>
        </w:rPr>
        <w:t>Fecha:</w:t>
      </w:r>
      <w:r>
        <w:t xml:space="preserve"> 06 de junio de 2023</w:t>
      </w:r>
    </w:p>
    <w:p w:rsidR="00F32D84" w:rsidRPr="00F32D84" w:rsidRDefault="00F32D84" w:rsidP="00F32D84">
      <w:pPr>
        <w:jc w:val="center"/>
        <w:rPr>
          <w:b/>
        </w:rPr>
      </w:pPr>
      <w:r w:rsidRPr="00F32D84">
        <w:rPr>
          <w:b/>
        </w:rPr>
        <w:t>PROPUESTA DE RESOLUCIÓN</w:t>
      </w:r>
    </w:p>
    <w:p w:rsidR="00F32D84" w:rsidRDefault="00F32D84" w:rsidP="00F32D84">
      <w:pPr>
        <w:ind w:firstLine="708"/>
        <w:jc w:val="both"/>
      </w:pPr>
      <w:r>
        <w:t xml:space="preserve">Tramitado el expediente de ayudas directas a personas sin vínculo familiar, que acojan a menores tutelados por el Principado de Asturias (Anexo), desde el 1 de enero a 30 de abril de 2023, han resultado acreditados los siguientes: </w:t>
      </w:r>
    </w:p>
    <w:p w:rsidR="00F32D84" w:rsidRPr="00F32D84" w:rsidRDefault="00F32D84" w:rsidP="00F32D84">
      <w:pPr>
        <w:jc w:val="center"/>
        <w:rPr>
          <w:b/>
        </w:rPr>
      </w:pPr>
      <w:r w:rsidRPr="00F32D84">
        <w:rPr>
          <w:b/>
        </w:rPr>
        <w:t>ANTECEDENTES DE HECHO</w:t>
      </w:r>
    </w:p>
    <w:p w:rsidR="00F32D84" w:rsidRDefault="00F32D84" w:rsidP="00F32D84">
      <w:pPr>
        <w:ind w:firstLine="708"/>
        <w:jc w:val="both"/>
      </w:pPr>
      <w:r w:rsidRPr="00F32D84">
        <w:rPr>
          <w:b/>
        </w:rPr>
        <w:t>PRIMERO.-</w:t>
      </w:r>
      <w:r>
        <w:t xml:space="preserve"> Al objeto de paliar en cierto grado déficits socio-familiares de los menores, por el Instituto Asturiano para la Atención Integral a la Infancia y a las Familias, se propone el acogimiento de los mismos en familia ajena. Dicho programa ofrece una alternativa socio familiar para aquellos menores que se encuentran en situación de riesgo social y están bajo la acción protectora de la Entidad Pública, hasta que mejore la problemática de la familia de origen, o bien, si esto no es posible, hasta que se prevea una nueva medida. Consiste en que los menores convivan con las personas seleccionadas al efecto y con el compromiso durante los periodos en que se les tenga a cargo de atenderlos adecuadamente, prestándole todos los cuidados precisos, teniéndoles en su compañía e incluyéndoles en su vida familiar. Dicha relación es compatible con las visitas a los menores por parte de sus padres si ello fuera procedente. Para ello, es necesario llevar a cabo medidas de apoyo a las familias y de fomento del acogimiento que permitan contar con suficientes familias que se ofrezcan para acoger a los menores del sistema de protección con los que no mantienen vínculo ninguno, dando cumplimiento a la normativa vigente evitando su acogimiento residencial. </w:t>
      </w:r>
    </w:p>
    <w:p w:rsidR="00F32D84" w:rsidRDefault="00F32D84" w:rsidP="00F32D84">
      <w:pPr>
        <w:jc w:val="both"/>
      </w:pPr>
      <w:r>
        <w:t xml:space="preserve"> </w:t>
      </w:r>
      <w:r>
        <w:tab/>
      </w:r>
      <w:r w:rsidRPr="00F32D84">
        <w:rPr>
          <w:b/>
        </w:rPr>
        <w:t>SEGUNDO.-</w:t>
      </w:r>
      <w:r>
        <w:t xml:space="preserve"> Por informe del Instituto Asturiano para la Atención Integral a la Infancia y a las Familias, se ha sometido a la autorización del Consejo de Gobierno la propuesta de autorización para la concesión directa de ayudas a las personas relacionadas en el Anexo, acogedoras sin vínculo familiar de los menores tutelados por el Principado de Asturias desde la entrada en vigor de la Ley 3/2021, de 30 de junio, para compensar la dedicación, disponibilidad, esfuerzo y atención que estas familias procuran a los menores acogidos. </w:t>
      </w:r>
    </w:p>
    <w:p w:rsidR="00F32D84" w:rsidRDefault="00F32D84" w:rsidP="00F32D84">
      <w:pPr>
        <w:jc w:val="both"/>
      </w:pPr>
      <w:r>
        <w:t xml:space="preserve"> </w:t>
      </w:r>
      <w:r>
        <w:tab/>
      </w:r>
      <w:r w:rsidRPr="00F32D84">
        <w:rPr>
          <w:b/>
        </w:rPr>
        <w:t>TERCERO.-</w:t>
      </w:r>
      <w:r>
        <w:t xml:space="preserve"> El abono se realizará mediante pago directo a las familias, según acogimientos vigentes a partir de la entrada en vigor de la Ley 3/2021, de 30 de junio, de Garantía de Derechos y Prestaciones Vitales, 12 de julio de 2022, hasta 31 de diciembre de 2022, durante la vigencia del acogimiento, que se prorrateará por días cuando el periodo sea menor al mes natural. </w:t>
      </w:r>
    </w:p>
    <w:p w:rsidR="00F32D84" w:rsidRDefault="00F32D84" w:rsidP="00F32D84">
      <w:pPr>
        <w:jc w:val="both"/>
      </w:pPr>
      <w:r>
        <w:lastRenderedPageBreak/>
        <w:t xml:space="preserve"> </w:t>
      </w:r>
      <w:r>
        <w:tab/>
      </w:r>
      <w:r w:rsidRPr="00F32D84">
        <w:rPr>
          <w:b/>
        </w:rPr>
        <w:t>CUARTO.-</w:t>
      </w:r>
      <w:r>
        <w:t xml:space="preserve"> Por las Resoluciones de Acogimiento dictadas por la Consejería de Derechos Sociales y Bienestar de fechas indicadas en el Anexo, se acordó el acogimiento de los menores en familia ajena por los acogedores señalados en el mismo.  </w:t>
      </w:r>
    </w:p>
    <w:p w:rsidR="00F32D84" w:rsidRDefault="00F32D84" w:rsidP="00F32D84">
      <w:pPr>
        <w:jc w:val="both"/>
      </w:pPr>
      <w:r>
        <w:t xml:space="preserve"> </w:t>
      </w:r>
      <w:r>
        <w:tab/>
      </w:r>
      <w:r w:rsidRPr="00F32D84">
        <w:rPr>
          <w:b/>
        </w:rPr>
        <w:t>QUINTO:</w:t>
      </w:r>
      <w:r>
        <w:t xml:space="preserve"> Los personas titulares de los acogimientos han presentado declaración responsable de que se hallan al corriente del cumplimiento de sus obligaciones tributarias y frente a la Seguridad Social, que reúnen el resto de los requisitos para obtener la condición de beneficiario de subvenciones establecidos en el artículo 13 de la Ley 38/2003, de 17 de noviembre, General de Subvenciones, y que han cumplido con las obligaciones impuestas en el artículo 14 de la citada Ley respecto de las subvenciones concedidas en el ejercicio anterior por cualesquiera de las Administraciones Públicas.  </w:t>
      </w:r>
    </w:p>
    <w:p w:rsidR="00F32D84" w:rsidRDefault="00F32D84" w:rsidP="00F32D84">
      <w:pPr>
        <w:jc w:val="both"/>
      </w:pPr>
      <w:r>
        <w:t xml:space="preserve"> </w:t>
      </w:r>
      <w:r>
        <w:tab/>
      </w:r>
      <w:r w:rsidRPr="00F32D84">
        <w:rPr>
          <w:b/>
        </w:rPr>
        <w:t>SEXTO:</w:t>
      </w:r>
      <w:r>
        <w:t xml:space="preserve"> Corresponde a Consejo de Gobierno autorizar las concesiones directas de estas subvenciones, de conformidad con lo previsto en el Decreto 71/92. </w:t>
      </w:r>
    </w:p>
    <w:p w:rsidR="00F32D84" w:rsidRDefault="00F32D84" w:rsidP="00F32D84">
      <w:pPr>
        <w:jc w:val="both"/>
      </w:pPr>
      <w:r>
        <w:t xml:space="preserve">Existe crédito adecuado y suficiente en la aplicación presupuestaria 1603-313F-484.013. </w:t>
      </w:r>
    </w:p>
    <w:p w:rsidR="00F32D84" w:rsidRDefault="00F32D84" w:rsidP="00F32D84">
      <w:pPr>
        <w:jc w:val="both"/>
      </w:pPr>
      <w:r>
        <w:t xml:space="preserve"> </w:t>
      </w:r>
      <w:r>
        <w:tab/>
        <w:t xml:space="preserve">A los anteriores hechos resultan de aplicación los siguientes, </w:t>
      </w:r>
    </w:p>
    <w:p w:rsidR="00F32D84" w:rsidRPr="00F32D84" w:rsidRDefault="00F32D84" w:rsidP="00F32D84">
      <w:pPr>
        <w:jc w:val="center"/>
        <w:rPr>
          <w:b/>
        </w:rPr>
      </w:pPr>
      <w:r w:rsidRPr="00F32D84">
        <w:rPr>
          <w:b/>
        </w:rPr>
        <w:t>FUNDAMENTOS DE DERECHO</w:t>
      </w:r>
    </w:p>
    <w:p w:rsidR="00F32D84" w:rsidRDefault="00F32D84" w:rsidP="00F32D84">
      <w:pPr>
        <w:ind w:firstLine="708"/>
        <w:jc w:val="both"/>
      </w:pPr>
      <w:r>
        <w:t xml:space="preserve">I.- En cuanto a la competencia y el procedimiento, los artículos 38 a) de la Ley del Principado de Asturias 6/1984, de 5 de julio, del Presidente y del Consejo de Gobierno del Principado de Asturias, y 7.1 de la Ley del Principado de Asturias 8/1991, de 30 de julio, de Organización de la Administración del Principado de Asturias. Así como el Decreto 84/2019, de 30 de agosto, por el que se establece la estructura orgánica básica de la Consejería de Derechos Sociales y Bienestar, en relación con la Resolución de 12 de septiembre de 2019, de dicha Consejería, por la que se delegan competencias en titulares de diversos órganos de la Consejería. </w:t>
      </w:r>
    </w:p>
    <w:p w:rsidR="00F32D84" w:rsidRDefault="00F32D84" w:rsidP="00F32D84">
      <w:pPr>
        <w:jc w:val="both"/>
      </w:pPr>
      <w:r>
        <w:t xml:space="preserve"> </w:t>
      </w:r>
      <w:r>
        <w:tab/>
        <w:t xml:space="preserve">II.- En relación al fondo, los artículos 4, 6.2 g), de la Ley del Principado de Asturias 1/1995, de 27 de enero, de Protección del Menor, con relación al artículo 11.2 c) de la Ley Orgánica 1/1996, de 15 de enero, de Protección Jurídica del Menor y en especial su Artículo 20 bis. Derechos y deberes de los acogedores familiares, que establece como derecho en su apartado 1. k) percibir una compensación económica y otro tipo de ayuda que se hubiera estipulado, en su caso; el art. 21.3 de la misma Ley, así como los artículos 172 ter 1 y 173 bis del Código Civil. </w:t>
      </w:r>
    </w:p>
    <w:p w:rsidR="00F32D84" w:rsidRDefault="00F32D84" w:rsidP="00F32D84">
      <w:pPr>
        <w:jc w:val="both"/>
      </w:pPr>
      <w:r>
        <w:t xml:space="preserve"> </w:t>
      </w:r>
      <w:r>
        <w:tab/>
        <w:t xml:space="preserve">III.- Las normas vigentes en materia de protección de menores, priorizan el acogimiento familiar sobre el residencial y como medida de protección, se reconoce una garantía económica para menores acogidos en familias destinada a financiar los gastos de manutención, educación, asistencia sanitaria, así como cualquier otro que redunde en beneficio de dichos menores. La garantía para los menores acogidos es una prestación económica que se configura como derecho subjetivo. </w:t>
      </w:r>
    </w:p>
    <w:p w:rsidR="00F32D84" w:rsidRDefault="00F32D84" w:rsidP="00F32D84">
      <w:pPr>
        <w:ind w:firstLine="708"/>
        <w:jc w:val="both"/>
      </w:pPr>
      <w:r>
        <w:t xml:space="preserve">Esta medida de garantía se concederá automáticamente con la resolución de acogimiento y se concederá mensualmente hasta la finalización del mismo. </w:t>
      </w:r>
    </w:p>
    <w:p w:rsidR="00F32D84" w:rsidRPr="00F32D84" w:rsidRDefault="00F32D84" w:rsidP="00F32D84">
      <w:pPr>
        <w:jc w:val="center"/>
        <w:rPr>
          <w:b/>
        </w:rPr>
      </w:pPr>
      <w:r w:rsidRPr="00F32D84">
        <w:rPr>
          <w:b/>
        </w:rPr>
        <w:t>SE PROPONE</w:t>
      </w:r>
    </w:p>
    <w:p w:rsidR="00F32D84" w:rsidRDefault="00F32D84" w:rsidP="00F32D84">
      <w:pPr>
        <w:spacing w:after="0" w:line="240" w:lineRule="auto"/>
        <w:ind w:firstLine="708"/>
        <w:jc w:val="both"/>
      </w:pPr>
      <w:r w:rsidRPr="00F32D84">
        <w:rPr>
          <w:b/>
        </w:rPr>
        <w:t>Primero:</w:t>
      </w:r>
      <w:r>
        <w:t xml:space="preserve"> Autorizar y disponer el gasto, así como conceder la subvención a favor de las personas acogedoras de menores y por los importes que se especifican en el Anexo, por un importe total de </w:t>
      </w:r>
      <w:r w:rsidR="00E86FC1">
        <w:rPr>
          <w:rFonts w:ascii="Calibri" w:hAnsi="Calibri" w:cs="Calibri"/>
          <w:b/>
          <w:bCs/>
          <w:sz w:val="20"/>
        </w:rPr>
        <w:t>59.599,52</w:t>
      </w:r>
      <w:r w:rsidR="00E86FC1">
        <w:rPr>
          <w:rFonts w:ascii="Calibri" w:hAnsi="Calibri" w:cs="Calibri"/>
          <w:b/>
          <w:bCs/>
          <w:sz w:val="20"/>
        </w:rPr>
        <w:t xml:space="preserve"> € </w:t>
      </w:r>
      <w:bookmarkStart w:id="0" w:name="_GoBack"/>
      <w:bookmarkEnd w:id="0"/>
      <w:r>
        <w:t xml:space="preserve">con cargo a la aplicación presupuestaria 1603-313F-484.013 del vigente presupuesto de gastos. </w:t>
      </w:r>
    </w:p>
    <w:p w:rsidR="00E447E5" w:rsidRDefault="00F32D84" w:rsidP="00F32D84">
      <w:pPr>
        <w:ind w:firstLine="708"/>
        <w:jc w:val="both"/>
      </w:pPr>
      <w:r w:rsidRPr="00F32D84">
        <w:rPr>
          <w:b/>
        </w:rPr>
        <w:lastRenderedPageBreak/>
        <w:t>Segundo:</w:t>
      </w:r>
      <w:r>
        <w:t xml:space="preserve"> Reconocer la obligación de pago de dicha subvención a los beneficiarios relacionados en el Anexo. </w:t>
      </w:r>
    </w:p>
    <w:p w:rsidR="00F32D84" w:rsidRDefault="00F32D84" w:rsidP="00F32D84">
      <w:pPr>
        <w:jc w:val="both"/>
      </w:pPr>
      <w:r>
        <w:tab/>
      </w:r>
      <w:r w:rsidR="00E447E5">
        <w:t>T</w:t>
      </w:r>
      <w:r w:rsidR="00E447E5">
        <w:rPr>
          <w:b/>
        </w:rPr>
        <w:t>ercero</w:t>
      </w:r>
      <w:r w:rsidRPr="00F32D84">
        <w:rPr>
          <w:b/>
        </w:rPr>
        <w:t>:</w:t>
      </w:r>
      <w:r>
        <w:t xml:space="preserve"> No se exigirá más justificación que la acreditación de estar constituido el acogimiento con carácter previo al pago, por concederse estas ayudas en atención a la concurrencia de la situación del perceptor como acogedor de menores. </w:t>
      </w:r>
    </w:p>
    <w:p w:rsidR="00F32D84" w:rsidRDefault="00F32D84" w:rsidP="00F32D84">
      <w:pPr>
        <w:jc w:val="both"/>
      </w:pPr>
      <w:r>
        <w:t xml:space="preserve"> </w:t>
      </w:r>
      <w:r>
        <w:tab/>
      </w:r>
      <w:r w:rsidR="00E447E5">
        <w:rPr>
          <w:b/>
        </w:rPr>
        <w:t>Cuarto</w:t>
      </w:r>
      <w:r w:rsidRPr="00F32D84">
        <w:rPr>
          <w:b/>
        </w:rPr>
        <w:t xml:space="preserve">: </w:t>
      </w:r>
      <w:r>
        <w:t xml:space="preserve">Las personas beneficiarias deberán cumplir las siguientes obligaciones: </w:t>
      </w:r>
    </w:p>
    <w:p w:rsidR="00F32D84" w:rsidRDefault="00F32D84" w:rsidP="00F32D84">
      <w:pPr>
        <w:pStyle w:val="Prrafodelista"/>
        <w:numPr>
          <w:ilvl w:val="0"/>
          <w:numId w:val="1"/>
        </w:numPr>
        <w:jc w:val="both"/>
      </w:pPr>
      <w:r>
        <w:t xml:space="preserve">Abonar los gastos de manutención de los menores que tuvieran acogidos. </w:t>
      </w:r>
    </w:p>
    <w:p w:rsidR="00F32D84" w:rsidRDefault="00F32D84" w:rsidP="00F32D84">
      <w:pPr>
        <w:pStyle w:val="Prrafodelista"/>
        <w:numPr>
          <w:ilvl w:val="0"/>
          <w:numId w:val="1"/>
        </w:numPr>
        <w:jc w:val="both"/>
      </w:pPr>
      <w:r>
        <w:t xml:space="preserve">Someterse a las actuaciones de comprobación, a efectuar por el órgano concedente, así como cualesquiera otras de comprobación y control financiero que puedan realizar los órganos de control competentes, tanto nacionales como comunitarios, aportando cuanta información les sea requerida en el ejercicio de las actuaciones anteriores. </w:t>
      </w:r>
    </w:p>
    <w:p w:rsidR="00F32D84" w:rsidRDefault="00F32D84" w:rsidP="00F32D84">
      <w:pPr>
        <w:pStyle w:val="Prrafodelista"/>
        <w:numPr>
          <w:ilvl w:val="0"/>
          <w:numId w:val="1"/>
        </w:numPr>
        <w:jc w:val="both"/>
      </w:pPr>
      <w:r>
        <w:t xml:space="preserve">Conservar los documentos justificativos de la aplicación de los fondos recibidos, incluidos los documentos electrónicos, en tanto puedan ser objeto de las actuaciones de control y comprobación. </w:t>
      </w:r>
    </w:p>
    <w:p w:rsidR="00F32D84" w:rsidRDefault="00F32D84" w:rsidP="00F32D84">
      <w:pPr>
        <w:pStyle w:val="Prrafodelista"/>
        <w:numPr>
          <w:ilvl w:val="0"/>
          <w:numId w:val="1"/>
        </w:numPr>
        <w:jc w:val="both"/>
      </w:pPr>
      <w:r>
        <w:t xml:space="preserve">Proceder al reintegro de los fondos percibidos en los supuestos contemplados en el artículo 37 de la Ley 38/2003, de 17 de noviembre, General de Subvenciones. </w:t>
      </w:r>
    </w:p>
    <w:p w:rsidR="00F32D84" w:rsidRDefault="00F32D84" w:rsidP="00F32D84">
      <w:pPr>
        <w:jc w:val="both"/>
      </w:pPr>
      <w:r>
        <w:t xml:space="preserve">Contra la presente resolución, que agota la vía administrativa, se podrá interponer recurso contencioso-administrativo ante la Sala de lo Contencioso-Administrativo del Tribunal Superior de Justicia del Principado de Asturias en el plazo de dos meses contados desde el día siguiente al del recibo de comunicación de la notificación de la presente resolución. Asimismo, se pone en su conocimiento que podrá interponer, con carácter previo, recurso potestativo de reposición ante la Ilma. Sra. Consejera de Derechos Sociales y Bienestar del Principado de Asturias, en el plazo de un mes contado desde el día siguiente al de recepción de la presente y sin que, en ningún caso, se puedan simultanear ambos recursos, todo ello conforme a lo establecido en el artículo 123 de la Ley 39/2015, de 1 de octubre, del Procedimiento Administrativo Común de las Administraciones Públicas. </w:t>
      </w:r>
    </w:p>
    <w:p w:rsidR="00F32D84" w:rsidRDefault="00F32D84" w:rsidP="00F32D84">
      <w:pPr>
        <w:jc w:val="center"/>
      </w:pPr>
      <w:r>
        <w:t>Oviedo, a la fecha de la firma digital</w:t>
      </w:r>
    </w:p>
    <w:p w:rsidR="00F32D84" w:rsidRDefault="00F32D84"/>
    <w:p w:rsidR="00F32D84" w:rsidRDefault="00F32D84">
      <w:pPr>
        <w:sectPr w:rsidR="00F32D84">
          <w:pgSz w:w="11906" w:h="16838"/>
          <w:pgMar w:top="1417" w:right="1701" w:bottom="1417" w:left="1701" w:header="708" w:footer="708" w:gutter="0"/>
          <w:cols w:space="708"/>
          <w:docGrid w:linePitch="360"/>
        </w:sectPr>
      </w:pPr>
    </w:p>
    <w:tbl>
      <w:tblPr>
        <w:tblW w:w="15283" w:type="dxa"/>
        <w:tblInd w:w="-709" w:type="dxa"/>
        <w:tblCellMar>
          <w:left w:w="70" w:type="dxa"/>
          <w:right w:w="70" w:type="dxa"/>
        </w:tblCellMar>
        <w:tblLook w:val="04A0" w:firstRow="1" w:lastRow="0" w:firstColumn="1" w:lastColumn="0" w:noHBand="0" w:noVBand="1"/>
      </w:tblPr>
      <w:tblGrid>
        <w:gridCol w:w="1548"/>
        <w:gridCol w:w="2669"/>
        <w:gridCol w:w="932"/>
        <w:gridCol w:w="1005"/>
        <w:gridCol w:w="1005"/>
        <w:gridCol w:w="913"/>
        <w:gridCol w:w="3127"/>
        <w:gridCol w:w="895"/>
        <w:gridCol w:w="755"/>
        <w:gridCol w:w="709"/>
        <w:gridCol w:w="747"/>
        <w:gridCol w:w="978"/>
      </w:tblGrid>
      <w:tr w:rsidR="00E86FC1" w:rsidTr="00E86FC1">
        <w:trPr>
          <w:trHeight w:val="300"/>
          <w:tblHeader/>
        </w:trPr>
        <w:tc>
          <w:tcPr>
            <w:tcW w:w="1548" w:type="dxa"/>
            <w:shd w:val="clear" w:color="auto" w:fill="D9D9D9" w:themeFill="background1" w:themeFillShade="D9"/>
            <w:vAlign w:val="center"/>
            <w:hideMark/>
          </w:tcPr>
          <w:p w:rsidR="00E86FC1" w:rsidRDefault="00E86FC1">
            <w:pPr>
              <w:spacing w:after="0" w:line="240" w:lineRule="auto"/>
              <w:jc w:val="center"/>
              <w:rPr>
                <w:rFonts w:eastAsia="Times New Roman" w:cstheme="minorHAnsi"/>
                <w:b/>
                <w:sz w:val="16"/>
                <w:szCs w:val="16"/>
              </w:rPr>
            </w:pPr>
            <w:r>
              <w:rPr>
                <w:rFonts w:eastAsia="Times New Roman" w:cstheme="minorHAnsi"/>
                <w:b/>
                <w:sz w:val="16"/>
                <w:szCs w:val="16"/>
              </w:rPr>
              <w:lastRenderedPageBreak/>
              <w:t>Nº EXPTE</w:t>
            </w:r>
          </w:p>
        </w:tc>
        <w:tc>
          <w:tcPr>
            <w:tcW w:w="2669" w:type="dxa"/>
            <w:shd w:val="clear" w:color="auto" w:fill="D9D9D9" w:themeFill="background1" w:themeFillShade="D9"/>
            <w:vAlign w:val="center"/>
            <w:hideMark/>
          </w:tcPr>
          <w:p w:rsidR="00E86FC1" w:rsidRDefault="00E86FC1">
            <w:pPr>
              <w:spacing w:after="0" w:line="240" w:lineRule="auto"/>
              <w:jc w:val="center"/>
              <w:rPr>
                <w:rFonts w:eastAsia="Times New Roman" w:cstheme="minorHAnsi"/>
                <w:b/>
                <w:sz w:val="16"/>
                <w:szCs w:val="16"/>
              </w:rPr>
            </w:pPr>
            <w:r>
              <w:rPr>
                <w:rFonts w:eastAsia="Times New Roman" w:cstheme="minorHAnsi"/>
                <w:b/>
                <w:sz w:val="16"/>
                <w:szCs w:val="16"/>
              </w:rPr>
              <w:t>ACOGEDOR</w:t>
            </w:r>
          </w:p>
        </w:tc>
        <w:tc>
          <w:tcPr>
            <w:tcW w:w="932" w:type="dxa"/>
            <w:shd w:val="clear" w:color="auto" w:fill="D9D9D9" w:themeFill="background1" w:themeFillShade="D9"/>
            <w:vAlign w:val="center"/>
            <w:hideMark/>
          </w:tcPr>
          <w:p w:rsidR="00E86FC1" w:rsidRDefault="00E86FC1">
            <w:pPr>
              <w:spacing w:after="0" w:line="240" w:lineRule="auto"/>
              <w:jc w:val="center"/>
              <w:rPr>
                <w:rFonts w:eastAsia="Times New Roman" w:cstheme="minorHAnsi"/>
                <w:b/>
                <w:sz w:val="16"/>
                <w:szCs w:val="16"/>
              </w:rPr>
            </w:pPr>
            <w:r>
              <w:rPr>
                <w:rFonts w:eastAsia="Times New Roman" w:cstheme="minorHAnsi"/>
                <w:b/>
                <w:sz w:val="16"/>
                <w:szCs w:val="16"/>
              </w:rPr>
              <w:t>DNI</w:t>
            </w:r>
          </w:p>
        </w:tc>
        <w:tc>
          <w:tcPr>
            <w:tcW w:w="1005" w:type="dxa"/>
            <w:shd w:val="clear" w:color="auto" w:fill="D9D9D9" w:themeFill="background1" w:themeFillShade="D9"/>
            <w:vAlign w:val="center"/>
            <w:hideMark/>
          </w:tcPr>
          <w:p w:rsidR="00E86FC1" w:rsidRDefault="00E86FC1">
            <w:pPr>
              <w:spacing w:after="0" w:line="240" w:lineRule="auto"/>
              <w:jc w:val="center"/>
              <w:rPr>
                <w:rFonts w:eastAsia="Times New Roman" w:cstheme="minorHAnsi"/>
                <w:b/>
                <w:sz w:val="16"/>
                <w:szCs w:val="16"/>
              </w:rPr>
            </w:pPr>
            <w:r>
              <w:rPr>
                <w:rFonts w:eastAsia="Times New Roman" w:cstheme="minorHAnsi"/>
                <w:b/>
                <w:sz w:val="16"/>
                <w:szCs w:val="16"/>
              </w:rPr>
              <w:t>FECHA RESOLUCIÓN</w:t>
            </w:r>
          </w:p>
        </w:tc>
        <w:tc>
          <w:tcPr>
            <w:tcW w:w="1005" w:type="dxa"/>
            <w:shd w:val="clear" w:color="auto" w:fill="D9D9D9" w:themeFill="background1" w:themeFillShade="D9"/>
            <w:vAlign w:val="center"/>
            <w:hideMark/>
          </w:tcPr>
          <w:p w:rsidR="00E86FC1" w:rsidRDefault="00E86FC1">
            <w:pPr>
              <w:spacing w:after="0" w:line="240" w:lineRule="auto"/>
              <w:jc w:val="center"/>
              <w:rPr>
                <w:rFonts w:eastAsia="Times New Roman" w:cstheme="minorHAnsi"/>
                <w:b/>
                <w:sz w:val="16"/>
                <w:szCs w:val="16"/>
              </w:rPr>
            </w:pPr>
            <w:r>
              <w:rPr>
                <w:rFonts w:eastAsia="Times New Roman" w:cstheme="minorHAnsi"/>
                <w:b/>
                <w:sz w:val="16"/>
                <w:szCs w:val="16"/>
              </w:rPr>
              <w:t>FECHA RESOLUCIÓN CESE</w:t>
            </w:r>
          </w:p>
        </w:tc>
        <w:tc>
          <w:tcPr>
            <w:tcW w:w="913" w:type="dxa"/>
            <w:shd w:val="clear" w:color="auto" w:fill="D9D9D9" w:themeFill="background1" w:themeFillShade="D9"/>
            <w:vAlign w:val="center"/>
            <w:hideMark/>
          </w:tcPr>
          <w:p w:rsidR="00E86FC1" w:rsidRDefault="00E86FC1">
            <w:pPr>
              <w:spacing w:after="0" w:line="240" w:lineRule="auto"/>
              <w:jc w:val="center"/>
              <w:rPr>
                <w:rFonts w:eastAsia="Times New Roman" w:cstheme="minorHAnsi"/>
                <w:b/>
                <w:sz w:val="16"/>
                <w:szCs w:val="16"/>
              </w:rPr>
            </w:pPr>
            <w:r>
              <w:rPr>
                <w:rFonts w:eastAsia="Times New Roman" w:cstheme="minorHAnsi"/>
                <w:b/>
                <w:sz w:val="16"/>
                <w:szCs w:val="16"/>
              </w:rPr>
              <w:t>FN</w:t>
            </w:r>
          </w:p>
        </w:tc>
        <w:tc>
          <w:tcPr>
            <w:tcW w:w="3127" w:type="dxa"/>
            <w:shd w:val="clear" w:color="auto" w:fill="D9D9D9" w:themeFill="background1" w:themeFillShade="D9"/>
            <w:vAlign w:val="center"/>
            <w:hideMark/>
          </w:tcPr>
          <w:p w:rsidR="00E86FC1" w:rsidRDefault="00E86FC1">
            <w:pPr>
              <w:spacing w:after="0" w:line="240" w:lineRule="auto"/>
              <w:jc w:val="center"/>
              <w:rPr>
                <w:rFonts w:eastAsia="Times New Roman" w:cstheme="minorHAnsi"/>
                <w:b/>
                <w:sz w:val="16"/>
                <w:szCs w:val="16"/>
              </w:rPr>
            </w:pPr>
            <w:r>
              <w:rPr>
                <w:rFonts w:eastAsia="Times New Roman" w:cstheme="minorHAnsi"/>
                <w:b/>
                <w:sz w:val="16"/>
                <w:szCs w:val="16"/>
              </w:rPr>
              <w:t>PERIODO DE VIGENCIA GLOBAL</w:t>
            </w:r>
          </w:p>
        </w:tc>
        <w:tc>
          <w:tcPr>
            <w:tcW w:w="895" w:type="dxa"/>
            <w:shd w:val="clear" w:color="auto" w:fill="D9D9D9" w:themeFill="background1" w:themeFillShade="D9"/>
            <w:vAlign w:val="center"/>
            <w:hideMark/>
          </w:tcPr>
          <w:p w:rsidR="00E86FC1" w:rsidRDefault="00E86FC1">
            <w:pPr>
              <w:spacing w:after="0" w:line="240" w:lineRule="auto"/>
              <w:jc w:val="center"/>
              <w:rPr>
                <w:rFonts w:eastAsia="Times New Roman" w:cstheme="minorHAnsi"/>
                <w:b/>
                <w:sz w:val="16"/>
                <w:szCs w:val="16"/>
              </w:rPr>
            </w:pPr>
            <w:r>
              <w:rPr>
                <w:rFonts w:eastAsia="Times New Roman" w:cstheme="minorHAnsi"/>
                <w:b/>
                <w:sz w:val="16"/>
                <w:szCs w:val="16"/>
              </w:rPr>
              <w:t>ENE-IMP</w:t>
            </w:r>
          </w:p>
        </w:tc>
        <w:tc>
          <w:tcPr>
            <w:tcW w:w="755" w:type="dxa"/>
            <w:shd w:val="clear" w:color="auto" w:fill="D9D9D9" w:themeFill="background1" w:themeFillShade="D9"/>
            <w:vAlign w:val="center"/>
            <w:hideMark/>
          </w:tcPr>
          <w:p w:rsidR="00E86FC1" w:rsidRDefault="00E86FC1">
            <w:pPr>
              <w:spacing w:after="0" w:line="240" w:lineRule="auto"/>
              <w:jc w:val="center"/>
              <w:rPr>
                <w:rFonts w:eastAsia="Times New Roman" w:cstheme="minorHAnsi"/>
                <w:b/>
                <w:sz w:val="16"/>
                <w:szCs w:val="16"/>
              </w:rPr>
            </w:pPr>
            <w:r>
              <w:rPr>
                <w:rFonts w:eastAsia="Times New Roman" w:cstheme="minorHAnsi"/>
                <w:b/>
                <w:sz w:val="16"/>
                <w:szCs w:val="16"/>
              </w:rPr>
              <w:t>FEB-IMP</w:t>
            </w:r>
          </w:p>
        </w:tc>
        <w:tc>
          <w:tcPr>
            <w:tcW w:w="709" w:type="dxa"/>
            <w:shd w:val="clear" w:color="auto" w:fill="D9D9D9" w:themeFill="background1" w:themeFillShade="D9"/>
            <w:vAlign w:val="center"/>
            <w:hideMark/>
          </w:tcPr>
          <w:p w:rsidR="00E86FC1" w:rsidRDefault="00E86FC1">
            <w:pPr>
              <w:spacing w:after="0" w:line="240" w:lineRule="auto"/>
              <w:jc w:val="center"/>
              <w:rPr>
                <w:rFonts w:eastAsia="Times New Roman" w:cstheme="minorHAnsi"/>
                <w:b/>
                <w:sz w:val="16"/>
                <w:szCs w:val="16"/>
              </w:rPr>
            </w:pPr>
            <w:r>
              <w:rPr>
                <w:rFonts w:eastAsia="Times New Roman" w:cstheme="minorHAnsi"/>
                <w:b/>
                <w:sz w:val="16"/>
                <w:szCs w:val="16"/>
              </w:rPr>
              <w:t>MAR-IMP</w:t>
            </w:r>
          </w:p>
        </w:tc>
        <w:tc>
          <w:tcPr>
            <w:tcW w:w="747" w:type="dxa"/>
            <w:shd w:val="clear" w:color="auto" w:fill="D9D9D9" w:themeFill="background1" w:themeFillShade="D9"/>
            <w:vAlign w:val="center"/>
            <w:hideMark/>
          </w:tcPr>
          <w:p w:rsidR="00E86FC1" w:rsidRDefault="00E86FC1">
            <w:pPr>
              <w:spacing w:after="0" w:line="240" w:lineRule="auto"/>
              <w:jc w:val="center"/>
              <w:rPr>
                <w:rFonts w:eastAsia="Times New Roman" w:cstheme="minorHAnsi"/>
                <w:b/>
                <w:sz w:val="16"/>
                <w:szCs w:val="16"/>
              </w:rPr>
            </w:pPr>
            <w:r>
              <w:rPr>
                <w:rFonts w:eastAsia="Times New Roman" w:cstheme="minorHAnsi"/>
                <w:b/>
                <w:sz w:val="16"/>
                <w:szCs w:val="16"/>
              </w:rPr>
              <w:t>ABR-IMP</w:t>
            </w:r>
          </w:p>
        </w:tc>
        <w:tc>
          <w:tcPr>
            <w:tcW w:w="978" w:type="dxa"/>
            <w:shd w:val="clear" w:color="auto" w:fill="D9D9D9" w:themeFill="background1" w:themeFillShade="D9"/>
            <w:noWrap/>
            <w:vAlign w:val="center"/>
            <w:hideMark/>
          </w:tcPr>
          <w:p w:rsidR="00E86FC1" w:rsidRDefault="00E86FC1">
            <w:pPr>
              <w:spacing w:after="0" w:line="240" w:lineRule="auto"/>
              <w:jc w:val="center"/>
              <w:rPr>
                <w:rFonts w:eastAsia="Times New Roman" w:cstheme="minorHAnsi"/>
                <w:b/>
                <w:sz w:val="16"/>
                <w:szCs w:val="16"/>
              </w:rPr>
            </w:pPr>
            <w:r>
              <w:rPr>
                <w:rFonts w:eastAsia="Times New Roman" w:cstheme="minorHAnsi"/>
                <w:b/>
                <w:sz w:val="16"/>
                <w:szCs w:val="16"/>
              </w:rPr>
              <w:t>TOTAL</w:t>
            </w:r>
          </w:p>
        </w:tc>
      </w:tr>
      <w:tr w:rsidR="00E86FC1" w:rsidTr="00E86FC1">
        <w:trPr>
          <w:trHeight w:val="300"/>
          <w:tblHeader/>
        </w:trPr>
        <w:tc>
          <w:tcPr>
            <w:tcW w:w="154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0396/2007</w:t>
            </w:r>
          </w:p>
        </w:tc>
        <w:tc>
          <w:tcPr>
            <w:tcW w:w="266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GERMAN SÁNCHEZ </w:t>
            </w:r>
            <w:proofErr w:type="spellStart"/>
            <w:r>
              <w:rPr>
                <w:rFonts w:eastAsia="Times New Roman" w:cstheme="minorHAnsi"/>
                <w:sz w:val="16"/>
                <w:szCs w:val="16"/>
              </w:rPr>
              <w:t>SÁNCHEZ</w:t>
            </w:r>
            <w:proofErr w:type="spellEnd"/>
          </w:p>
        </w:tc>
        <w:tc>
          <w:tcPr>
            <w:tcW w:w="932"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10795009M</w:t>
            </w:r>
          </w:p>
        </w:tc>
        <w:tc>
          <w:tcPr>
            <w:tcW w:w="100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30/07/2013</w:t>
            </w:r>
          </w:p>
        </w:tc>
        <w:tc>
          <w:tcPr>
            <w:tcW w:w="1005" w:type="dxa"/>
            <w:shd w:val="clear" w:color="auto" w:fill="FDE9D9"/>
            <w:vAlign w:val="center"/>
            <w:hideMark/>
          </w:tcPr>
          <w:p w:rsidR="00E86FC1" w:rsidRDefault="00E86FC1">
            <w:pPr>
              <w:rPr>
                <w:rFonts w:eastAsia="Times New Roman" w:cstheme="minorHAnsi"/>
                <w:sz w:val="16"/>
                <w:szCs w:val="16"/>
              </w:rPr>
            </w:pPr>
          </w:p>
        </w:tc>
        <w:tc>
          <w:tcPr>
            <w:tcW w:w="913"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31/01/2005</w:t>
            </w:r>
          </w:p>
        </w:tc>
        <w:tc>
          <w:tcPr>
            <w:tcW w:w="312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enero de 2023</w:t>
            </w:r>
          </w:p>
        </w:tc>
        <w:tc>
          <w:tcPr>
            <w:tcW w:w="89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241,94 </w:t>
            </w:r>
          </w:p>
        </w:tc>
        <w:tc>
          <w:tcPr>
            <w:tcW w:w="75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70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74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97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241,94</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0449/2008</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GERMAN SÁNCHEZ </w:t>
            </w:r>
            <w:proofErr w:type="spellStart"/>
            <w:r>
              <w:rPr>
                <w:rFonts w:eastAsia="Times New Roman" w:cstheme="minorHAnsi"/>
                <w:sz w:val="16"/>
                <w:szCs w:val="16"/>
              </w:rPr>
              <w:t>SÁNCHEZ</w:t>
            </w:r>
            <w:proofErr w:type="spellEnd"/>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10795009M</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30/07/2013</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09/04/2008</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0387/2017</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VIVIAN APARICIO COTARELO</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11430890M</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13/09/2017</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12/05/2010</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0159/2009</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MARIA ANTONIA GONZÁLEZ LUELMO</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11385484R</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09/10/2019</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02/03/2009</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0254/2011</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AMADOR ESPEJO CRESPO</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10824083F</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11/12/2019</w:t>
            </w:r>
          </w:p>
        </w:tc>
        <w:tc>
          <w:tcPr>
            <w:tcW w:w="1005" w:type="dxa"/>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14/07/2011</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0251/2015</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CRISTINA ANTUÑA SARIEGO</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33991792T</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20/09/2018</w:t>
            </w:r>
          </w:p>
        </w:tc>
        <w:tc>
          <w:tcPr>
            <w:tcW w:w="1005" w:type="dxa"/>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11/10/2008</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0213/2010</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BRIGIDA CASTAÑÓN CALLEJA</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10885605G</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10/04/2018</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19/08/2009</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0068/2013</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SUSANA VÁZQUEZ GONZÁLEZ</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52613726F</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31/07/2019</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11/04/2012</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0178/2015</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MARIA ANTONIA GONZÁLEZ LUELMO</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11385484R</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29/06/2020</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12/05/2015</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0008/2012</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PATRICIA MEGIDO GARCÍA</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10903588R</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02/07/2020</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25/03/2008</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0274/2010</w:t>
            </w:r>
          </w:p>
        </w:tc>
        <w:tc>
          <w:tcPr>
            <w:tcW w:w="266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COVADONGA GARCÍA MARTINEZ</w:t>
            </w:r>
          </w:p>
        </w:tc>
        <w:tc>
          <w:tcPr>
            <w:tcW w:w="932"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71892153H</w:t>
            </w:r>
          </w:p>
        </w:tc>
        <w:tc>
          <w:tcPr>
            <w:tcW w:w="100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30/07/2020</w:t>
            </w:r>
          </w:p>
        </w:tc>
        <w:tc>
          <w:tcPr>
            <w:tcW w:w="100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31/01/2023</w:t>
            </w:r>
          </w:p>
        </w:tc>
        <w:tc>
          <w:tcPr>
            <w:tcW w:w="913"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07/06/2009</w:t>
            </w:r>
          </w:p>
        </w:tc>
        <w:tc>
          <w:tcPr>
            <w:tcW w:w="312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31 de enero de 2023</w:t>
            </w:r>
          </w:p>
        </w:tc>
        <w:tc>
          <w:tcPr>
            <w:tcW w:w="89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70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74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97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250,00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0104/2020</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MARLEN BENÍTEZ GUILLAMA</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X7920017J</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15/09/2020</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30/07/2013</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0049/2019</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VICTOR DEL RIEGO REGUERA</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45429230K</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21/12/2020</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15/04/2007</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0361/2017</w:t>
            </w:r>
          </w:p>
        </w:tc>
        <w:tc>
          <w:tcPr>
            <w:tcW w:w="266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AMADORA PEREZ MIRANDA</w:t>
            </w:r>
          </w:p>
        </w:tc>
        <w:tc>
          <w:tcPr>
            <w:tcW w:w="932"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71866374E</w:t>
            </w:r>
          </w:p>
        </w:tc>
        <w:tc>
          <w:tcPr>
            <w:tcW w:w="100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02/10/2020</w:t>
            </w:r>
          </w:p>
        </w:tc>
        <w:tc>
          <w:tcPr>
            <w:tcW w:w="1005" w:type="dxa"/>
            <w:shd w:val="clear" w:color="auto" w:fill="FDE9D9"/>
            <w:vAlign w:val="center"/>
            <w:hideMark/>
          </w:tcPr>
          <w:p w:rsidR="00E86FC1" w:rsidRDefault="00E86FC1">
            <w:pPr>
              <w:rPr>
                <w:rFonts w:eastAsia="Times New Roman" w:cstheme="minorHAnsi"/>
                <w:sz w:val="16"/>
                <w:szCs w:val="16"/>
              </w:rPr>
            </w:pPr>
          </w:p>
        </w:tc>
        <w:tc>
          <w:tcPr>
            <w:tcW w:w="913"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28/02/2005</w:t>
            </w:r>
          </w:p>
        </w:tc>
        <w:tc>
          <w:tcPr>
            <w:tcW w:w="312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27 de febrero de 2023</w:t>
            </w:r>
          </w:p>
        </w:tc>
        <w:tc>
          <w:tcPr>
            <w:tcW w:w="89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241,07 </w:t>
            </w:r>
          </w:p>
        </w:tc>
        <w:tc>
          <w:tcPr>
            <w:tcW w:w="70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74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97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491,07</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0363/2020</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SANDRA RUBIO GONZALEZ</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53553656L</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15/12/2020</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01/03/2012</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PSPM/2021/3771</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CARLOS LUIS CONSTANTINO CALVO PAÑEDA</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10796455W</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10/02/2021</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06/10/2007</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PSPM/2021/5981</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MARÍA ANDREA LLANA PAREDES</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10591561S</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26/02/2021</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25/08/2008</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PSPM/2021/6075</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NURIA TOMÁS SÁNCHEZ</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11441802S</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26/02/2021</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24/06/2010</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PSPM/2021/6070</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NOELIA GREGORIO ESQUINA</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71886216S</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26/02/2021</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11/07/2009</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PSPM/2021/4498</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CRISTINA ANTUÑA SARIEGO</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33991792T</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10/02/2021</w:t>
            </w:r>
          </w:p>
        </w:tc>
        <w:tc>
          <w:tcPr>
            <w:tcW w:w="1005" w:type="dxa"/>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14/07/2015</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PSPM/2021/5873</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MARIA CRISANTA GALAN VARELA</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71892878F</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17/03/2021</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10/12/2009</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PSPM/2021/5942</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MARCOS ANTONIO LOPEZ DE LA PIEDAD</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09400239R</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17/03/2021</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06/10/2008</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PSPM/2021/5942</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MARCOS ANTONIO LOPEZ DE LA PIEDAD</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09400239R</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17/03/2021</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09/03/2013</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PSPM/2021/4876</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MARÍA ISABEL PEREIRAS FERNÁNDEZ</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71872935M</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16/04/2021</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28/04/2006</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PSPM/2021/3960</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MANUEL IGLESIAS LÓPEZ</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76945079M</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01/06/2021</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15/01/2015</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PSPM/2021/7461</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JOSÉ FRANCISCO MARTÍNEZ MARTÍN</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11417948N</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18/06/2021</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03/02/2012</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PSPM/2021/4258</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FELICITAS-MIKUE EDJANG ANDEME</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71665367N</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25/08/2021</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09/07/2018</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PSPM/2021/30258</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MARÍA VICTORIA GONZÁLEZ NOYA</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10867625X</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07/10/2021</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07/11/2020</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PSPM/2021/31302</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VANESA BLANCO RAMOS</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53542202L</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07/10/2021</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03/06/2020</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PSPM/2021/11734</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ALFREDO ALONSO RODRÍGUEZ</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42871723E</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22/10/2021</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16/08/2012</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PSPM/2021/33541</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CONCEPCIÓN ESPELETA RODRIGUEZ</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11059545H</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29/10/2021</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03/02/2021</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PSPM/2022/10509</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JOSÉ MARIANO VELASCO SIERO</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11063782T</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26/04/2022</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14/04/2022</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PSPM/2022/16304</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JOSÉ MARIANO VELASCO SIERO</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11063782T</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08/07/2022</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29/05/2022</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PSPM/2021/33536</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JOAQUÍN LORENZO DURÁN</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10834378K</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05/11/2021</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03/11/2021</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PSPM/2021/6136</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MARIA FILOMENA FERNANDES DELGADO</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71896338V</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24/02/2017</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12/01/2009</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PSPM/2022/743</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GINA DUAL GABARRI</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15506744Y</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23/02/2022</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03/03/2021</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PSPM/2022/5961</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LUCÍA LÓPEZ URRUTIA LORENTE</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10868917Z</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14/03/2022</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07/08/2020</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PSPM/2022/8796</w:t>
            </w:r>
          </w:p>
        </w:tc>
        <w:tc>
          <w:tcPr>
            <w:tcW w:w="266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KELLEM DIVINA DA SILVA</w:t>
            </w:r>
          </w:p>
        </w:tc>
        <w:tc>
          <w:tcPr>
            <w:tcW w:w="932"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X7074760Y</w:t>
            </w:r>
          </w:p>
        </w:tc>
        <w:tc>
          <w:tcPr>
            <w:tcW w:w="1005"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17/02/2022</w:t>
            </w:r>
          </w:p>
        </w:tc>
        <w:tc>
          <w:tcPr>
            <w:tcW w:w="1005" w:type="dxa"/>
            <w:shd w:val="clear" w:color="auto" w:fill="FDE9D9"/>
            <w:noWrap/>
            <w:vAlign w:val="center"/>
            <w:hideMark/>
          </w:tcPr>
          <w:p w:rsidR="00E86FC1" w:rsidRDefault="00E86FC1">
            <w:pPr>
              <w:rPr>
                <w:rFonts w:eastAsia="Times New Roman" w:cstheme="minorHAnsi"/>
                <w:sz w:val="16"/>
                <w:szCs w:val="16"/>
              </w:rPr>
            </w:pPr>
          </w:p>
        </w:tc>
        <w:tc>
          <w:tcPr>
            <w:tcW w:w="913"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03/02/2005</w:t>
            </w:r>
          </w:p>
        </w:tc>
        <w:tc>
          <w:tcPr>
            <w:tcW w:w="312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2 de febrero de 2023</w:t>
            </w:r>
          </w:p>
        </w:tc>
        <w:tc>
          <w:tcPr>
            <w:tcW w:w="89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17,86 </w:t>
            </w:r>
          </w:p>
        </w:tc>
        <w:tc>
          <w:tcPr>
            <w:tcW w:w="70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74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97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267,86</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 2022 8791</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LISARDO MANUEL CALZÓN GARCÍA</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11424896Z</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07/04/2022</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10/09/2019</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PSPM/2022/10904</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MIGUEL ANGEL CANO JIMÉNEZ</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06980966Y</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29/04/2022</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23/04/2022</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PSPM/2022/11926</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JUAN CARLOS IGLESIAS MIRANDA</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09401004F</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19/05/2022</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27/04/2020</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PSPM/2022/15429</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ALEJANDRA MULERO BAD</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11443615B</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22/06/2022</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17/02/2021</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PSPM/2022/19194</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JOAQUÍN LORENZO DURÁN</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10834378K</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17/08/2022</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25/07/2019</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PSPM/2022/19289</w:t>
            </w:r>
          </w:p>
        </w:tc>
        <w:tc>
          <w:tcPr>
            <w:tcW w:w="266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JOSÉ MIGUEL BLANCO ARCAS</w:t>
            </w:r>
          </w:p>
        </w:tc>
        <w:tc>
          <w:tcPr>
            <w:tcW w:w="932"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32873309F</w:t>
            </w:r>
          </w:p>
        </w:tc>
        <w:tc>
          <w:tcPr>
            <w:tcW w:w="1005"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22/08/2022</w:t>
            </w:r>
          </w:p>
        </w:tc>
        <w:tc>
          <w:tcPr>
            <w:tcW w:w="1005"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05/04/2023</w:t>
            </w:r>
          </w:p>
        </w:tc>
        <w:tc>
          <w:tcPr>
            <w:tcW w:w="913"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17/08/2022</w:t>
            </w:r>
          </w:p>
        </w:tc>
        <w:tc>
          <w:tcPr>
            <w:tcW w:w="312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5 de abril de 2023</w:t>
            </w:r>
          </w:p>
        </w:tc>
        <w:tc>
          <w:tcPr>
            <w:tcW w:w="89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41,67 </w:t>
            </w:r>
          </w:p>
        </w:tc>
        <w:tc>
          <w:tcPr>
            <w:tcW w:w="97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791,67</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PSPM/2021/38307</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MARIA DOLORES VILLANUEVA SOLARES</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10576828W</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01/09/2022</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26/07/2007</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PSPM/2022/21233</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JESUS MANUEL CANELLADA FDEZ</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11051629Z</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07/09/2022</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22/07/2021</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PSPM/2022/24243</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SONIA CALVO GARCÍA</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10871241S</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14/10/2022</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29/09/2022</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PSPM/2022/24642</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FCO MIGUEL CHICHARRO SACRISTANA (1)</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11405240T</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19/10/2022</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03/02/2017</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PSPM/2022/24642 (2)</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FCO MIGUEL CHICHARRO SACRISTANA (2)</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11405240T</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19/10/2022</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04/01/2019</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PSPM/2022/25160(1)</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COVADONGA GONZALEZ FERNANDEZ (1)</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10849395L</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28/10/2022</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24/11/2018</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PSPM/2022/25160(2)</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COVADONGA GONZALEZ FERNANDEZ (2)</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10849395L</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28/10/2022</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13/02/2020</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PSPM/2022/26447</w:t>
            </w:r>
          </w:p>
        </w:tc>
        <w:tc>
          <w:tcPr>
            <w:tcW w:w="266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SILVIA ALVAREZ QUINTIAN (1)</w:t>
            </w:r>
          </w:p>
        </w:tc>
        <w:tc>
          <w:tcPr>
            <w:tcW w:w="932"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10903975C</w:t>
            </w:r>
          </w:p>
        </w:tc>
        <w:tc>
          <w:tcPr>
            <w:tcW w:w="1005"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10/11/2022</w:t>
            </w:r>
          </w:p>
        </w:tc>
        <w:tc>
          <w:tcPr>
            <w:tcW w:w="1005"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31/03/2023</w:t>
            </w:r>
          </w:p>
        </w:tc>
        <w:tc>
          <w:tcPr>
            <w:tcW w:w="913"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23/12/2021</w:t>
            </w:r>
          </w:p>
        </w:tc>
        <w:tc>
          <w:tcPr>
            <w:tcW w:w="312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31 de marzo de 2023</w:t>
            </w:r>
          </w:p>
        </w:tc>
        <w:tc>
          <w:tcPr>
            <w:tcW w:w="89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97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750,00</w:t>
            </w:r>
          </w:p>
        </w:tc>
      </w:tr>
      <w:tr w:rsidR="00E86FC1" w:rsidTr="00E86FC1">
        <w:trPr>
          <w:trHeight w:val="300"/>
          <w:tblHeader/>
        </w:trPr>
        <w:tc>
          <w:tcPr>
            <w:tcW w:w="154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PSPM/2022/26447</w:t>
            </w:r>
          </w:p>
        </w:tc>
        <w:tc>
          <w:tcPr>
            <w:tcW w:w="266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SILVIA ALVAREZ QUINTIAN (2)</w:t>
            </w:r>
          </w:p>
        </w:tc>
        <w:tc>
          <w:tcPr>
            <w:tcW w:w="932"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10903975C</w:t>
            </w:r>
          </w:p>
        </w:tc>
        <w:tc>
          <w:tcPr>
            <w:tcW w:w="1005"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10/11/2022</w:t>
            </w:r>
          </w:p>
        </w:tc>
        <w:tc>
          <w:tcPr>
            <w:tcW w:w="1005"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31/03/2023</w:t>
            </w:r>
          </w:p>
        </w:tc>
        <w:tc>
          <w:tcPr>
            <w:tcW w:w="913"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16/01/2020</w:t>
            </w:r>
          </w:p>
        </w:tc>
        <w:tc>
          <w:tcPr>
            <w:tcW w:w="312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31 de marzo de 2023</w:t>
            </w:r>
          </w:p>
        </w:tc>
        <w:tc>
          <w:tcPr>
            <w:tcW w:w="89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97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750,00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PSPM/2022/26767</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FERNANDO JOSE BRAÑA FERNANDEZ</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09359493B</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11/11/2022</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03/11/2022</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1.000,00</w:t>
            </w:r>
          </w:p>
        </w:tc>
      </w:tr>
      <w:tr w:rsidR="00E86FC1" w:rsidTr="00E86FC1">
        <w:trPr>
          <w:trHeight w:val="300"/>
          <w:tblHeader/>
        </w:trPr>
        <w:tc>
          <w:tcPr>
            <w:tcW w:w="154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PSPM/2022/27484</w:t>
            </w:r>
          </w:p>
        </w:tc>
        <w:tc>
          <w:tcPr>
            <w:tcW w:w="266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JOSE ENRIQUE SÁNCHEZ </w:t>
            </w:r>
            <w:proofErr w:type="spellStart"/>
            <w:r>
              <w:rPr>
                <w:rFonts w:eastAsia="Times New Roman" w:cstheme="minorHAnsi"/>
                <w:sz w:val="16"/>
                <w:szCs w:val="16"/>
              </w:rPr>
              <w:t>SÁNCHEZ</w:t>
            </w:r>
            <w:proofErr w:type="spellEnd"/>
          </w:p>
        </w:tc>
        <w:tc>
          <w:tcPr>
            <w:tcW w:w="932"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09359572K</w:t>
            </w:r>
          </w:p>
        </w:tc>
        <w:tc>
          <w:tcPr>
            <w:tcW w:w="100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25/11/2022</w:t>
            </w:r>
          </w:p>
        </w:tc>
        <w:tc>
          <w:tcPr>
            <w:tcW w:w="100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05/04/2023</w:t>
            </w:r>
          </w:p>
        </w:tc>
        <w:tc>
          <w:tcPr>
            <w:tcW w:w="913"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22/11/2022</w:t>
            </w:r>
          </w:p>
        </w:tc>
        <w:tc>
          <w:tcPr>
            <w:tcW w:w="312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de 2023 a 5 de abril de 2023</w:t>
            </w:r>
          </w:p>
        </w:tc>
        <w:tc>
          <w:tcPr>
            <w:tcW w:w="89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41,67 </w:t>
            </w:r>
          </w:p>
        </w:tc>
        <w:tc>
          <w:tcPr>
            <w:tcW w:w="97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791,67</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PSPM/2022/30477</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MARTA CLARA MORAN GARCIA</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09395930Q</w:t>
            </w:r>
          </w:p>
        </w:tc>
        <w:tc>
          <w:tcPr>
            <w:tcW w:w="100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05/01/2023</w:t>
            </w:r>
          </w:p>
        </w:tc>
        <w:tc>
          <w:tcPr>
            <w:tcW w:w="1005" w:type="dxa"/>
            <w:vAlign w:val="center"/>
            <w:hideMark/>
          </w:tcPr>
          <w:p w:rsidR="00E86FC1" w:rsidRDefault="00E86FC1">
            <w:pPr>
              <w:rPr>
                <w:rFonts w:eastAsia="Times New Roman" w:cstheme="minorHAnsi"/>
                <w:sz w:val="16"/>
                <w:szCs w:val="16"/>
              </w:rPr>
            </w:pPr>
          </w:p>
        </w:tc>
        <w:tc>
          <w:tcPr>
            <w:tcW w:w="913"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05/11/2022</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5 de enero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217,74</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208,33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967,74</w:t>
            </w:r>
          </w:p>
        </w:tc>
      </w:tr>
      <w:tr w:rsidR="00E86FC1" w:rsidTr="00E86FC1">
        <w:trPr>
          <w:trHeight w:val="300"/>
          <w:tblHeader/>
        </w:trPr>
        <w:tc>
          <w:tcPr>
            <w:tcW w:w="154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PSPM/2021/5852</w:t>
            </w:r>
          </w:p>
        </w:tc>
        <w:tc>
          <w:tcPr>
            <w:tcW w:w="266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EMMA ALONSO-VEGA ALVAREZ</w:t>
            </w:r>
          </w:p>
        </w:tc>
        <w:tc>
          <w:tcPr>
            <w:tcW w:w="932"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09350044S</w:t>
            </w:r>
          </w:p>
        </w:tc>
        <w:tc>
          <w:tcPr>
            <w:tcW w:w="100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02/12/2022</w:t>
            </w:r>
          </w:p>
        </w:tc>
        <w:tc>
          <w:tcPr>
            <w:tcW w:w="100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21/04/2023</w:t>
            </w:r>
          </w:p>
        </w:tc>
        <w:tc>
          <w:tcPr>
            <w:tcW w:w="913"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09/02/2021</w:t>
            </w:r>
          </w:p>
        </w:tc>
        <w:tc>
          <w:tcPr>
            <w:tcW w:w="312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Desde 2 de diciembre de 2022 a 21 de abril de 2023</w:t>
            </w:r>
          </w:p>
        </w:tc>
        <w:tc>
          <w:tcPr>
            <w:tcW w:w="89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491,94 </w:t>
            </w:r>
          </w:p>
        </w:tc>
        <w:tc>
          <w:tcPr>
            <w:tcW w:w="75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175,00 </w:t>
            </w:r>
          </w:p>
        </w:tc>
        <w:tc>
          <w:tcPr>
            <w:tcW w:w="97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1.166,94</w:t>
            </w:r>
          </w:p>
        </w:tc>
      </w:tr>
      <w:tr w:rsidR="00E86FC1" w:rsidTr="00E86FC1">
        <w:trPr>
          <w:trHeight w:val="300"/>
          <w:tblHeader/>
        </w:trPr>
        <w:tc>
          <w:tcPr>
            <w:tcW w:w="154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PSPM/2022/24350</w:t>
            </w:r>
          </w:p>
        </w:tc>
        <w:tc>
          <w:tcPr>
            <w:tcW w:w="266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ELENA MARÍA GONZÁLEZ</w:t>
            </w:r>
          </w:p>
        </w:tc>
        <w:tc>
          <w:tcPr>
            <w:tcW w:w="932"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09371919V</w:t>
            </w:r>
          </w:p>
        </w:tc>
        <w:tc>
          <w:tcPr>
            <w:tcW w:w="100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29/11/2022</w:t>
            </w:r>
          </w:p>
        </w:tc>
        <w:tc>
          <w:tcPr>
            <w:tcW w:w="100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05/04/2023</w:t>
            </w:r>
          </w:p>
        </w:tc>
        <w:tc>
          <w:tcPr>
            <w:tcW w:w="913"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13/10/2022</w:t>
            </w:r>
          </w:p>
        </w:tc>
        <w:tc>
          <w:tcPr>
            <w:tcW w:w="312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Desde 29 de noviembre de 2022 a 5 de abril de 2023</w:t>
            </w:r>
          </w:p>
        </w:tc>
        <w:tc>
          <w:tcPr>
            <w:tcW w:w="89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516,67</w:t>
            </w:r>
          </w:p>
        </w:tc>
        <w:tc>
          <w:tcPr>
            <w:tcW w:w="75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41,67 </w:t>
            </w:r>
          </w:p>
        </w:tc>
        <w:tc>
          <w:tcPr>
            <w:tcW w:w="97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1058,33</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PSPM/2021/5213</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YESLENIA MARÍA GARCÍA FERNÁNDEZ</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71658004D</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30/12/2022</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22/02/2008</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30 de diciembre de 2022 de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266,13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1.016,13</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PSPM/2022/10130</w:t>
            </w:r>
          </w:p>
        </w:tc>
        <w:tc>
          <w:tcPr>
            <w:tcW w:w="2669" w:type="dxa"/>
            <w:shd w:val="clear" w:color="auto" w:fill="FFFFFF"/>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MARÍA JOSEFINA FEITO LÓPEZ</w:t>
            </w:r>
          </w:p>
        </w:tc>
        <w:tc>
          <w:tcPr>
            <w:tcW w:w="932" w:type="dxa"/>
            <w:shd w:val="clear" w:color="auto" w:fill="FFFFFF"/>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71869334S</w:t>
            </w:r>
          </w:p>
        </w:tc>
        <w:tc>
          <w:tcPr>
            <w:tcW w:w="1005" w:type="dxa"/>
            <w:shd w:val="clear" w:color="auto" w:fill="FFFFFF"/>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21/04/2022</w:t>
            </w:r>
          </w:p>
        </w:tc>
        <w:tc>
          <w:tcPr>
            <w:tcW w:w="1005" w:type="dxa"/>
            <w:shd w:val="clear" w:color="auto" w:fill="FFFFFF"/>
            <w:noWrap/>
            <w:vAlign w:val="center"/>
            <w:hideMark/>
          </w:tcPr>
          <w:p w:rsidR="00E86FC1" w:rsidRDefault="00E86FC1">
            <w:pPr>
              <w:rPr>
                <w:rFonts w:eastAsia="Times New Roman" w:cstheme="minorHAnsi"/>
                <w:sz w:val="16"/>
                <w:szCs w:val="16"/>
              </w:rPr>
            </w:pPr>
          </w:p>
        </w:tc>
        <w:tc>
          <w:tcPr>
            <w:tcW w:w="913" w:type="dxa"/>
            <w:shd w:val="clear" w:color="auto" w:fill="FFFFFF"/>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09/04/2022</w:t>
            </w:r>
          </w:p>
        </w:tc>
        <w:tc>
          <w:tcPr>
            <w:tcW w:w="3127" w:type="dxa"/>
            <w:shd w:val="clear" w:color="auto" w:fill="FFFFFF"/>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Desde 12 de julio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1.661,29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2.411,29</w:t>
            </w:r>
          </w:p>
        </w:tc>
      </w:tr>
      <w:tr w:rsidR="00E86FC1" w:rsidTr="00E86FC1">
        <w:trPr>
          <w:trHeight w:val="300"/>
          <w:tblHeader/>
        </w:trPr>
        <w:tc>
          <w:tcPr>
            <w:tcW w:w="154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PSPM/2022/27015</w:t>
            </w:r>
          </w:p>
        </w:tc>
        <w:tc>
          <w:tcPr>
            <w:tcW w:w="266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MARIO DIAZ DE LA VEGA</w:t>
            </w:r>
          </w:p>
        </w:tc>
        <w:tc>
          <w:tcPr>
            <w:tcW w:w="932"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11432218E</w:t>
            </w:r>
          </w:p>
        </w:tc>
        <w:tc>
          <w:tcPr>
            <w:tcW w:w="1005"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18/11/2022</w:t>
            </w:r>
          </w:p>
        </w:tc>
        <w:tc>
          <w:tcPr>
            <w:tcW w:w="1005"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09/02/2023</w:t>
            </w:r>
          </w:p>
        </w:tc>
        <w:tc>
          <w:tcPr>
            <w:tcW w:w="913"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01/08/2018</w:t>
            </w:r>
          </w:p>
        </w:tc>
        <w:tc>
          <w:tcPr>
            <w:tcW w:w="312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enero a 9 de febrero de 2023</w:t>
            </w:r>
          </w:p>
        </w:tc>
        <w:tc>
          <w:tcPr>
            <w:tcW w:w="89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55" w:type="dxa"/>
            <w:shd w:val="clear" w:color="auto" w:fill="FDE9D9"/>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80,36 </w:t>
            </w:r>
          </w:p>
        </w:tc>
        <w:tc>
          <w:tcPr>
            <w:tcW w:w="709"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747"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978" w:type="dxa"/>
            <w:shd w:val="clear" w:color="auto" w:fill="FDE9D9"/>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330,36</w:t>
            </w:r>
          </w:p>
        </w:tc>
      </w:tr>
      <w:tr w:rsidR="00E86FC1" w:rsidTr="00E86FC1">
        <w:trPr>
          <w:trHeight w:val="300"/>
          <w:tblHeader/>
        </w:trPr>
        <w:tc>
          <w:tcPr>
            <w:tcW w:w="1548" w:type="dxa"/>
            <w:shd w:val="clear" w:color="auto" w:fill="FFFFFF"/>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PSPM/2022/24826 A</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MARIA TERESA BARRON BELINCHON</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050739278J</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01/03/2023</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29/04/2019</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marzo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500,00</w:t>
            </w:r>
          </w:p>
        </w:tc>
      </w:tr>
      <w:tr w:rsidR="00E86FC1" w:rsidTr="00E86FC1">
        <w:trPr>
          <w:trHeight w:val="300"/>
          <w:tblHeader/>
        </w:trPr>
        <w:tc>
          <w:tcPr>
            <w:tcW w:w="1548" w:type="dxa"/>
            <w:shd w:val="clear" w:color="auto" w:fill="FFFFFF"/>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PSPM/2022/24826 S</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MARIA TERESA BARRON BELINCHON</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050739278J</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01/03/2023</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25/10/2020</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De 1 de marzo de 2023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500,00</w:t>
            </w:r>
          </w:p>
        </w:tc>
      </w:tr>
      <w:tr w:rsidR="00E86FC1" w:rsidTr="00E86FC1">
        <w:trPr>
          <w:trHeight w:val="300"/>
          <w:tblHeader/>
        </w:trPr>
        <w:tc>
          <w:tcPr>
            <w:tcW w:w="154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PSPM/2023/4014</w:t>
            </w:r>
          </w:p>
        </w:tc>
        <w:tc>
          <w:tcPr>
            <w:tcW w:w="266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MARIO DIAZ DE LA VEGA</w:t>
            </w:r>
          </w:p>
        </w:tc>
        <w:tc>
          <w:tcPr>
            <w:tcW w:w="932"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11432218E</w:t>
            </w:r>
          </w:p>
        </w:tc>
        <w:tc>
          <w:tcPr>
            <w:tcW w:w="1005"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24/03/2023</w:t>
            </w:r>
          </w:p>
        </w:tc>
        <w:tc>
          <w:tcPr>
            <w:tcW w:w="1005" w:type="dxa"/>
            <w:noWrap/>
            <w:vAlign w:val="center"/>
            <w:hideMark/>
          </w:tcPr>
          <w:p w:rsidR="00E86FC1" w:rsidRDefault="00E86FC1">
            <w:pPr>
              <w:rPr>
                <w:rFonts w:eastAsia="Times New Roman" w:cstheme="minorHAnsi"/>
                <w:sz w:val="16"/>
                <w:szCs w:val="16"/>
              </w:rPr>
            </w:pPr>
          </w:p>
        </w:tc>
        <w:tc>
          <w:tcPr>
            <w:tcW w:w="913"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22/02/2019</w:t>
            </w:r>
          </w:p>
        </w:tc>
        <w:tc>
          <w:tcPr>
            <w:tcW w:w="312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24 de marzo a 30 de abril de 2023</w:t>
            </w:r>
          </w:p>
        </w:tc>
        <w:tc>
          <w:tcPr>
            <w:tcW w:w="89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755" w:type="dxa"/>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0,00 </w:t>
            </w:r>
          </w:p>
        </w:tc>
        <w:tc>
          <w:tcPr>
            <w:tcW w:w="709"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64,54 </w:t>
            </w:r>
          </w:p>
        </w:tc>
        <w:tc>
          <w:tcPr>
            <w:tcW w:w="747"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 xml:space="preserve">250,00 </w:t>
            </w:r>
          </w:p>
        </w:tc>
        <w:tc>
          <w:tcPr>
            <w:tcW w:w="978" w:type="dxa"/>
            <w:noWrap/>
            <w:vAlign w:val="center"/>
            <w:hideMark/>
          </w:tcPr>
          <w:p w:rsidR="00E86FC1" w:rsidRDefault="00E86FC1">
            <w:pPr>
              <w:spacing w:after="0" w:line="240" w:lineRule="auto"/>
              <w:jc w:val="center"/>
              <w:rPr>
                <w:rFonts w:eastAsia="Times New Roman" w:cstheme="minorHAnsi"/>
                <w:sz w:val="16"/>
                <w:szCs w:val="16"/>
              </w:rPr>
            </w:pPr>
            <w:r>
              <w:rPr>
                <w:rFonts w:eastAsia="Times New Roman" w:cstheme="minorHAnsi"/>
                <w:sz w:val="16"/>
                <w:szCs w:val="16"/>
              </w:rPr>
              <w:t>314,52</w:t>
            </w:r>
          </w:p>
        </w:tc>
      </w:tr>
      <w:tr w:rsidR="00E86FC1" w:rsidTr="00E86FC1">
        <w:trPr>
          <w:trHeight w:val="300"/>
          <w:tblHeader/>
        </w:trPr>
        <w:tc>
          <w:tcPr>
            <w:tcW w:w="1548" w:type="dxa"/>
            <w:noWrap/>
            <w:vAlign w:val="center"/>
          </w:tcPr>
          <w:p w:rsidR="00E86FC1" w:rsidRDefault="00E86FC1">
            <w:pPr>
              <w:spacing w:after="0" w:line="240" w:lineRule="auto"/>
              <w:jc w:val="center"/>
              <w:rPr>
                <w:rFonts w:eastAsia="Times New Roman" w:cstheme="minorHAnsi"/>
                <w:sz w:val="16"/>
                <w:szCs w:val="16"/>
              </w:rPr>
            </w:pPr>
          </w:p>
        </w:tc>
        <w:tc>
          <w:tcPr>
            <w:tcW w:w="2669" w:type="dxa"/>
            <w:noWrap/>
            <w:vAlign w:val="center"/>
          </w:tcPr>
          <w:p w:rsidR="00E86FC1" w:rsidRDefault="00E86FC1">
            <w:pPr>
              <w:spacing w:after="0" w:line="240" w:lineRule="auto"/>
              <w:jc w:val="center"/>
              <w:rPr>
                <w:rFonts w:eastAsia="Times New Roman" w:cstheme="minorHAnsi"/>
                <w:sz w:val="16"/>
                <w:szCs w:val="16"/>
              </w:rPr>
            </w:pPr>
          </w:p>
        </w:tc>
        <w:tc>
          <w:tcPr>
            <w:tcW w:w="932" w:type="dxa"/>
            <w:noWrap/>
            <w:vAlign w:val="center"/>
          </w:tcPr>
          <w:p w:rsidR="00E86FC1" w:rsidRDefault="00E86FC1">
            <w:pPr>
              <w:spacing w:after="0" w:line="240" w:lineRule="auto"/>
              <w:jc w:val="center"/>
              <w:rPr>
                <w:rFonts w:eastAsia="Times New Roman" w:cstheme="minorHAnsi"/>
                <w:sz w:val="16"/>
                <w:szCs w:val="16"/>
              </w:rPr>
            </w:pPr>
          </w:p>
        </w:tc>
        <w:tc>
          <w:tcPr>
            <w:tcW w:w="1005" w:type="dxa"/>
            <w:noWrap/>
            <w:vAlign w:val="center"/>
          </w:tcPr>
          <w:p w:rsidR="00E86FC1" w:rsidRDefault="00E86FC1">
            <w:pPr>
              <w:spacing w:after="0" w:line="240" w:lineRule="auto"/>
              <w:jc w:val="center"/>
              <w:rPr>
                <w:rFonts w:eastAsia="Times New Roman" w:cstheme="minorHAnsi"/>
                <w:sz w:val="16"/>
                <w:szCs w:val="16"/>
              </w:rPr>
            </w:pPr>
          </w:p>
        </w:tc>
        <w:tc>
          <w:tcPr>
            <w:tcW w:w="1005" w:type="dxa"/>
            <w:noWrap/>
            <w:vAlign w:val="center"/>
          </w:tcPr>
          <w:p w:rsidR="00E86FC1" w:rsidRDefault="00E86FC1">
            <w:pPr>
              <w:spacing w:after="0" w:line="240" w:lineRule="auto"/>
              <w:jc w:val="center"/>
              <w:rPr>
                <w:rFonts w:eastAsia="Times New Roman" w:cstheme="minorHAnsi"/>
                <w:sz w:val="16"/>
                <w:szCs w:val="16"/>
              </w:rPr>
            </w:pPr>
          </w:p>
        </w:tc>
        <w:tc>
          <w:tcPr>
            <w:tcW w:w="913" w:type="dxa"/>
            <w:noWrap/>
            <w:vAlign w:val="center"/>
          </w:tcPr>
          <w:p w:rsidR="00E86FC1" w:rsidRDefault="00E86FC1">
            <w:pPr>
              <w:spacing w:after="0" w:line="240" w:lineRule="auto"/>
              <w:jc w:val="center"/>
              <w:rPr>
                <w:rFonts w:eastAsia="Times New Roman" w:cstheme="minorHAnsi"/>
                <w:sz w:val="16"/>
                <w:szCs w:val="16"/>
              </w:rPr>
            </w:pPr>
          </w:p>
        </w:tc>
        <w:tc>
          <w:tcPr>
            <w:tcW w:w="3127" w:type="dxa"/>
            <w:noWrap/>
            <w:vAlign w:val="center"/>
          </w:tcPr>
          <w:p w:rsidR="00E86FC1" w:rsidRDefault="00E86FC1">
            <w:pPr>
              <w:spacing w:after="0" w:line="240" w:lineRule="auto"/>
              <w:jc w:val="center"/>
              <w:rPr>
                <w:rFonts w:eastAsia="Times New Roman" w:cstheme="minorHAnsi"/>
                <w:sz w:val="16"/>
                <w:szCs w:val="16"/>
              </w:rPr>
            </w:pPr>
          </w:p>
        </w:tc>
        <w:tc>
          <w:tcPr>
            <w:tcW w:w="895" w:type="dxa"/>
            <w:vAlign w:val="center"/>
          </w:tcPr>
          <w:p w:rsidR="00E86FC1" w:rsidRDefault="00E86FC1">
            <w:pPr>
              <w:spacing w:after="0" w:line="240" w:lineRule="auto"/>
              <w:jc w:val="center"/>
              <w:rPr>
                <w:rFonts w:eastAsia="Times New Roman" w:cstheme="minorHAnsi"/>
                <w:sz w:val="16"/>
                <w:szCs w:val="16"/>
              </w:rPr>
            </w:pPr>
          </w:p>
        </w:tc>
        <w:tc>
          <w:tcPr>
            <w:tcW w:w="755" w:type="dxa"/>
            <w:vAlign w:val="center"/>
          </w:tcPr>
          <w:p w:rsidR="00E86FC1" w:rsidRDefault="00E86FC1">
            <w:pPr>
              <w:spacing w:after="0" w:line="240" w:lineRule="auto"/>
              <w:jc w:val="center"/>
              <w:rPr>
                <w:rFonts w:eastAsia="Times New Roman" w:cstheme="minorHAnsi"/>
                <w:sz w:val="16"/>
                <w:szCs w:val="16"/>
              </w:rPr>
            </w:pPr>
          </w:p>
        </w:tc>
        <w:tc>
          <w:tcPr>
            <w:tcW w:w="709" w:type="dxa"/>
            <w:noWrap/>
            <w:vAlign w:val="center"/>
          </w:tcPr>
          <w:p w:rsidR="00E86FC1" w:rsidRDefault="00E86FC1">
            <w:pPr>
              <w:spacing w:after="0" w:line="240" w:lineRule="auto"/>
              <w:jc w:val="center"/>
              <w:rPr>
                <w:rFonts w:eastAsia="Times New Roman" w:cstheme="minorHAnsi"/>
                <w:sz w:val="16"/>
                <w:szCs w:val="16"/>
              </w:rPr>
            </w:pPr>
          </w:p>
        </w:tc>
        <w:tc>
          <w:tcPr>
            <w:tcW w:w="747" w:type="dxa"/>
            <w:noWrap/>
            <w:vAlign w:val="center"/>
            <w:hideMark/>
          </w:tcPr>
          <w:p w:rsidR="00E86FC1" w:rsidRDefault="00E86FC1">
            <w:pPr>
              <w:jc w:val="center"/>
              <w:rPr>
                <w:rFonts w:ascii="Calibri" w:hAnsi="Calibri" w:cs="Calibri"/>
                <w:b/>
                <w:bCs/>
                <w:sz w:val="20"/>
              </w:rPr>
            </w:pPr>
            <w:r>
              <w:rPr>
                <w:rFonts w:ascii="Calibri" w:hAnsi="Calibri" w:cs="Calibri"/>
                <w:b/>
                <w:bCs/>
                <w:sz w:val="20"/>
              </w:rPr>
              <w:t>total</w:t>
            </w:r>
          </w:p>
        </w:tc>
        <w:tc>
          <w:tcPr>
            <w:tcW w:w="978" w:type="dxa"/>
            <w:noWrap/>
            <w:vAlign w:val="center"/>
            <w:hideMark/>
          </w:tcPr>
          <w:p w:rsidR="00E86FC1" w:rsidRDefault="00E86FC1">
            <w:pPr>
              <w:jc w:val="center"/>
              <w:rPr>
                <w:rFonts w:eastAsia="Times New Roman" w:cstheme="minorHAnsi"/>
                <w:sz w:val="16"/>
                <w:szCs w:val="16"/>
              </w:rPr>
            </w:pPr>
            <w:r>
              <w:rPr>
                <w:rFonts w:ascii="Calibri" w:hAnsi="Calibri" w:cs="Calibri"/>
                <w:b/>
                <w:bCs/>
                <w:sz w:val="20"/>
              </w:rPr>
              <w:t>59.599,52</w:t>
            </w:r>
          </w:p>
        </w:tc>
      </w:tr>
    </w:tbl>
    <w:p w:rsidR="00E404AE" w:rsidRDefault="00E404AE"/>
    <w:sectPr w:rsidR="00E404AE" w:rsidSect="00F32D84">
      <w:pgSz w:w="16838" w:h="11906"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CA3716"/>
    <w:multiLevelType w:val="hybridMultilevel"/>
    <w:tmpl w:val="67E2CD30"/>
    <w:lvl w:ilvl="0" w:tplc="AA08789C">
      <w:start w:val="1"/>
      <w:numFmt w:val="lowerLetter"/>
      <w:lvlText w:val="%1)"/>
      <w:lvlJc w:val="left"/>
      <w:pPr>
        <w:ind w:left="1413" w:hanging="660"/>
      </w:pPr>
      <w:rPr>
        <w:rFonts w:hint="default"/>
      </w:rPr>
    </w:lvl>
    <w:lvl w:ilvl="1" w:tplc="0C0A0019" w:tentative="1">
      <w:start w:val="1"/>
      <w:numFmt w:val="lowerLetter"/>
      <w:lvlText w:val="%2."/>
      <w:lvlJc w:val="left"/>
      <w:pPr>
        <w:ind w:left="1833" w:hanging="360"/>
      </w:pPr>
    </w:lvl>
    <w:lvl w:ilvl="2" w:tplc="0C0A001B" w:tentative="1">
      <w:start w:val="1"/>
      <w:numFmt w:val="lowerRoman"/>
      <w:lvlText w:val="%3."/>
      <w:lvlJc w:val="right"/>
      <w:pPr>
        <w:ind w:left="2553" w:hanging="180"/>
      </w:pPr>
    </w:lvl>
    <w:lvl w:ilvl="3" w:tplc="0C0A000F" w:tentative="1">
      <w:start w:val="1"/>
      <w:numFmt w:val="decimal"/>
      <w:lvlText w:val="%4."/>
      <w:lvlJc w:val="left"/>
      <w:pPr>
        <w:ind w:left="3273" w:hanging="360"/>
      </w:pPr>
    </w:lvl>
    <w:lvl w:ilvl="4" w:tplc="0C0A0019" w:tentative="1">
      <w:start w:val="1"/>
      <w:numFmt w:val="lowerLetter"/>
      <w:lvlText w:val="%5."/>
      <w:lvlJc w:val="left"/>
      <w:pPr>
        <w:ind w:left="3993" w:hanging="360"/>
      </w:pPr>
    </w:lvl>
    <w:lvl w:ilvl="5" w:tplc="0C0A001B" w:tentative="1">
      <w:start w:val="1"/>
      <w:numFmt w:val="lowerRoman"/>
      <w:lvlText w:val="%6."/>
      <w:lvlJc w:val="right"/>
      <w:pPr>
        <w:ind w:left="4713" w:hanging="180"/>
      </w:pPr>
    </w:lvl>
    <w:lvl w:ilvl="6" w:tplc="0C0A000F" w:tentative="1">
      <w:start w:val="1"/>
      <w:numFmt w:val="decimal"/>
      <w:lvlText w:val="%7."/>
      <w:lvlJc w:val="left"/>
      <w:pPr>
        <w:ind w:left="5433" w:hanging="360"/>
      </w:pPr>
    </w:lvl>
    <w:lvl w:ilvl="7" w:tplc="0C0A0019" w:tentative="1">
      <w:start w:val="1"/>
      <w:numFmt w:val="lowerLetter"/>
      <w:lvlText w:val="%8."/>
      <w:lvlJc w:val="left"/>
      <w:pPr>
        <w:ind w:left="6153" w:hanging="360"/>
      </w:pPr>
    </w:lvl>
    <w:lvl w:ilvl="8" w:tplc="0C0A001B" w:tentative="1">
      <w:start w:val="1"/>
      <w:numFmt w:val="lowerRoman"/>
      <w:lvlText w:val="%9."/>
      <w:lvlJc w:val="right"/>
      <w:pPr>
        <w:ind w:left="6873" w:hanging="180"/>
      </w:pPr>
    </w:lvl>
  </w:abstractNum>
  <w:abstractNum w:abstractNumId="1">
    <w:nsid w:val="65A52A73"/>
    <w:multiLevelType w:val="hybridMultilevel"/>
    <w:tmpl w:val="6FCE8E54"/>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D84"/>
    <w:rsid w:val="00E404AE"/>
    <w:rsid w:val="00E447E5"/>
    <w:rsid w:val="00E86FC1"/>
    <w:rsid w:val="00F32D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CEC541-BCAC-49E0-9434-5698DF763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next w:val="Normal"/>
    <w:link w:val="Ttulo1Car"/>
    <w:uiPriority w:val="9"/>
    <w:unhideWhenUsed/>
    <w:qFormat/>
    <w:rsid w:val="00F32D84"/>
    <w:pPr>
      <w:keepNext/>
      <w:keepLines/>
      <w:spacing w:after="215"/>
      <w:ind w:left="10" w:right="5" w:hanging="10"/>
      <w:jc w:val="center"/>
      <w:outlineLvl w:val="0"/>
    </w:pPr>
    <w:rPr>
      <w:rFonts w:ascii="Calibri" w:eastAsia="Calibri" w:hAnsi="Calibri" w:cs="Calibri"/>
      <w:b/>
      <w:color w:val="000000"/>
      <w:lang w:eastAsia="es-ES"/>
    </w:rPr>
  </w:style>
  <w:style w:type="paragraph" w:styleId="Ttulo5">
    <w:name w:val="heading 5"/>
    <w:basedOn w:val="Normal"/>
    <w:link w:val="Ttulo5Car"/>
    <w:uiPriority w:val="9"/>
    <w:semiHidden/>
    <w:unhideWhenUsed/>
    <w:qFormat/>
    <w:rsid w:val="00E86FC1"/>
    <w:pPr>
      <w:spacing w:before="100" w:beforeAutospacing="1" w:after="100" w:afterAutospacing="1" w:line="240" w:lineRule="auto"/>
      <w:outlineLvl w:val="4"/>
    </w:pPr>
    <w:rPr>
      <w:rFonts w:ascii="Times New Roman" w:eastAsia="Times New Roman" w:hAnsi="Times New Roman" w:cs="Times New Roman"/>
      <w:b/>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32D84"/>
    <w:rPr>
      <w:rFonts w:ascii="Calibri" w:eastAsia="Calibri" w:hAnsi="Calibri" w:cs="Calibri"/>
      <w:b/>
      <w:color w:val="000000"/>
      <w:lang w:eastAsia="es-ES"/>
    </w:rPr>
  </w:style>
  <w:style w:type="numbering" w:customStyle="1" w:styleId="Sinlista1">
    <w:name w:val="Sin lista1"/>
    <w:next w:val="Sinlista"/>
    <w:uiPriority w:val="99"/>
    <w:semiHidden/>
    <w:unhideWhenUsed/>
    <w:rsid w:val="00F32D84"/>
  </w:style>
  <w:style w:type="table" w:customStyle="1" w:styleId="TableGrid">
    <w:name w:val="TableGrid"/>
    <w:rsid w:val="00F32D84"/>
    <w:pPr>
      <w:spacing w:after="0" w:line="240" w:lineRule="auto"/>
    </w:pPr>
    <w:rPr>
      <w:rFonts w:eastAsiaTheme="minorEastAsia"/>
      <w:lang w:eastAsia="es-ES"/>
    </w:rPr>
    <w:tblPr>
      <w:tblCellMar>
        <w:top w:w="0" w:type="dxa"/>
        <w:left w:w="0" w:type="dxa"/>
        <w:bottom w:w="0" w:type="dxa"/>
        <w:right w:w="0" w:type="dxa"/>
      </w:tblCellMar>
    </w:tblPr>
  </w:style>
  <w:style w:type="paragraph" w:customStyle="1" w:styleId="Car3Car">
    <w:name w:val="Car3 Car"/>
    <w:basedOn w:val="Normal"/>
    <w:semiHidden/>
    <w:rsid w:val="00F32D84"/>
    <w:pPr>
      <w:spacing w:before="60" w:line="240" w:lineRule="exact"/>
      <w:jc w:val="both"/>
    </w:pPr>
    <w:rPr>
      <w:rFonts w:ascii="Verdana" w:eastAsia="Times New Roman" w:hAnsi="Verdana" w:cs="Times New Roman"/>
      <w:color w:val="FF00FF"/>
      <w:sz w:val="20"/>
      <w:szCs w:val="20"/>
      <w:lang w:val="en-US"/>
    </w:rPr>
  </w:style>
  <w:style w:type="paragraph" w:styleId="Encabezado">
    <w:name w:val="header"/>
    <w:basedOn w:val="Normal"/>
    <w:link w:val="EncabezadoCar"/>
    <w:unhideWhenUsed/>
    <w:rsid w:val="00F32D84"/>
    <w:pPr>
      <w:tabs>
        <w:tab w:val="center" w:pos="4252"/>
        <w:tab w:val="right" w:pos="8504"/>
      </w:tabs>
      <w:spacing w:after="0" w:line="240" w:lineRule="auto"/>
      <w:ind w:left="10" w:hanging="10"/>
      <w:jc w:val="both"/>
    </w:pPr>
    <w:rPr>
      <w:rFonts w:ascii="Century Gothic" w:eastAsia="Century Gothic" w:hAnsi="Century Gothic" w:cs="Century Gothic"/>
      <w:color w:val="000000"/>
      <w:sz w:val="20"/>
      <w:lang w:eastAsia="es-ES"/>
    </w:rPr>
  </w:style>
  <w:style w:type="character" w:customStyle="1" w:styleId="EncabezadoCar">
    <w:name w:val="Encabezado Car"/>
    <w:basedOn w:val="Fuentedeprrafopredeter"/>
    <w:link w:val="Encabezado"/>
    <w:rsid w:val="00F32D84"/>
    <w:rPr>
      <w:rFonts w:ascii="Century Gothic" w:eastAsia="Century Gothic" w:hAnsi="Century Gothic" w:cs="Century Gothic"/>
      <w:color w:val="000000"/>
      <w:sz w:val="20"/>
      <w:lang w:eastAsia="es-ES"/>
    </w:rPr>
  </w:style>
  <w:style w:type="paragraph" w:styleId="Piedepgina">
    <w:name w:val="footer"/>
    <w:basedOn w:val="Normal"/>
    <w:link w:val="PiedepginaCar"/>
    <w:uiPriority w:val="99"/>
    <w:unhideWhenUsed/>
    <w:rsid w:val="00F32D84"/>
    <w:pPr>
      <w:tabs>
        <w:tab w:val="center" w:pos="4252"/>
        <w:tab w:val="right" w:pos="8504"/>
      </w:tabs>
      <w:spacing w:after="0" w:line="240" w:lineRule="auto"/>
      <w:ind w:left="10" w:hanging="10"/>
      <w:jc w:val="both"/>
    </w:pPr>
    <w:rPr>
      <w:rFonts w:ascii="Century Gothic" w:eastAsia="Century Gothic" w:hAnsi="Century Gothic" w:cs="Century Gothic"/>
      <w:color w:val="000000"/>
      <w:sz w:val="20"/>
      <w:lang w:eastAsia="es-ES"/>
    </w:rPr>
  </w:style>
  <w:style w:type="character" w:customStyle="1" w:styleId="PiedepginaCar">
    <w:name w:val="Pie de página Car"/>
    <w:basedOn w:val="Fuentedeprrafopredeter"/>
    <w:link w:val="Piedepgina"/>
    <w:uiPriority w:val="99"/>
    <w:rsid w:val="00F32D84"/>
    <w:rPr>
      <w:rFonts w:ascii="Century Gothic" w:eastAsia="Century Gothic" w:hAnsi="Century Gothic" w:cs="Century Gothic"/>
      <w:color w:val="000000"/>
      <w:sz w:val="20"/>
      <w:lang w:eastAsia="es-ES"/>
    </w:rPr>
  </w:style>
  <w:style w:type="paragraph" w:styleId="Textoindependiente">
    <w:name w:val="Body Text"/>
    <w:basedOn w:val="Normal"/>
    <w:link w:val="TextoindependienteCar"/>
    <w:rsid w:val="00F32D84"/>
    <w:pPr>
      <w:spacing w:after="0" w:line="240" w:lineRule="auto"/>
    </w:pPr>
    <w:rPr>
      <w:rFonts w:ascii="Times New Roman" w:eastAsia="Times New Roman" w:hAnsi="Times New Roman" w:cs="Times New Roman"/>
      <w:sz w:val="16"/>
      <w:szCs w:val="20"/>
      <w:lang w:eastAsia="es-ES"/>
    </w:rPr>
  </w:style>
  <w:style w:type="character" w:customStyle="1" w:styleId="TextoindependienteCar">
    <w:name w:val="Texto independiente Car"/>
    <w:basedOn w:val="Fuentedeprrafopredeter"/>
    <w:link w:val="Textoindependiente"/>
    <w:rsid w:val="00F32D84"/>
    <w:rPr>
      <w:rFonts w:ascii="Times New Roman" w:eastAsia="Times New Roman" w:hAnsi="Times New Roman" w:cs="Times New Roman"/>
      <w:sz w:val="16"/>
      <w:szCs w:val="20"/>
      <w:lang w:eastAsia="es-ES"/>
    </w:rPr>
  </w:style>
  <w:style w:type="paragraph" w:styleId="Prrafodelista">
    <w:name w:val="List Paragraph"/>
    <w:basedOn w:val="Normal"/>
    <w:uiPriority w:val="34"/>
    <w:qFormat/>
    <w:rsid w:val="00F32D84"/>
    <w:pPr>
      <w:ind w:left="720"/>
      <w:contextualSpacing/>
    </w:pPr>
  </w:style>
  <w:style w:type="character" w:customStyle="1" w:styleId="Ttulo5Car">
    <w:name w:val="Título 5 Car"/>
    <w:basedOn w:val="Fuentedeprrafopredeter"/>
    <w:link w:val="Ttulo5"/>
    <w:uiPriority w:val="9"/>
    <w:semiHidden/>
    <w:rsid w:val="00E86FC1"/>
    <w:rPr>
      <w:rFonts w:ascii="Times New Roman" w:eastAsia="Times New Roman" w:hAnsi="Times New Roman" w:cs="Times New Roman"/>
      <w:b/>
      <w:bCs/>
      <w:sz w:val="20"/>
      <w:szCs w:val="20"/>
      <w:lang w:eastAsia="es-ES"/>
    </w:rPr>
  </w:style>
  <w:style w:type="paragraph" w:styleId="Textocomentario">
    <w:name w:val="annotation text"/>
    <w:basedOn w:val="Normal"/>
    <w:link w:val="TextocomentarioCar"/>
    <w:uiPriority w:val="99"/>
    <w:semiHidden/>
    <w:unhideWhenUsed/>
    <w:rsid w:val="00E86FC1"/>
    <w:pPr>
      <w:spacing w:after="200" w:line="240" w:lineRule="auto"/>
    </w:pPr>
    <w:rPr>
      <w:sz w:val="20"/>
      <w:szCs w:val="20"/>
    </w:rPr>
  </w:style>
  <w:style w:type="character" w:customStyle="1" w:styleId="TextocomentarioCar">
    <w:name w:val="Texto comentario Car"/>
    <w:basedOn w:val="Fuentedeprrafopredeter"/>
    <w:link w:val="Textocomentario"/>
    <w:uiPriority w:val="99"/>
    <w:semiHidden/>
    <w:rsid w:val="00E86FC1"/>
    <w:rPr>
      <w:sz w:val="20"/>
      <w:szCs w:val="20"/>
    </w:rPr>
  </w:style>
  <w:style w:type="paragraph" w:styleId="Asuntodelcomentario">
    <w:name w:val="annotation subject"/>
    <w:basedOn w:val="Textocomentario"/>
    <w:next w:val="Textocomentario"/>
    <w:link w:val="AsuntodelcomentarioCar"/>
    <w:uiPriority w:val="99"/>
    <w:semiHidden/>
    <w:unhideWhenUsed/>
    <w:rsid w:val="00E86FC1"/>
    <w:rPr>
      <w:b/>
      <w:bCs/>
    </w:rPr>
  </w:style>
  <w:style w:type="character" w:customStyle="1" w:styleId="AsuntodelcomentarioCar">
    <w:name w:val="Asunto del comentario Car"/>
    <w:basedOn w:val="TextocomentarioCar"/>
    <w:link w:val="Asuntodelcomentario"/>
    <w:uiPriority w:val="99"/>
    <w:semiHidden/>
    <w:rsid w:val="00E86FC1"/>
    <w:rPr>
      <w:b/>
      <w:bCs/>
      <w:sz w:val="20"/>
      <w:szCs w:val="20"/>
    </w:rPr>
  </w:style>
  <w:style w:type="paragraph" w:styleId="Textodeglobo">
    <w:name w:val="Balloon Text"/>
    <w:basedOn w:val="Normal"/>
    <w:link w:val="TextodegloboCar"/>
    <w:uiPriority w:val="99"/>
    <w:semiHidden/>
    <w:unhideWhenUsed/>
    <w:rsid w:val="00E86FC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86FC1"/>
    <w:rPr>
      <w:rFonts w:ascii="Tahoma" w:hAnsi="Tahoma" w:cs="Tahoma"/>
      <w:sz w:val="16"/>
      <w:szCs w:val="16"/>
    </w:rPr>
  </w:style>
  <w:style w:type="paragraph" w:customStyle="1" w:styleId="parrafo">
    <w:name w:val="parrafo"/>
    <w:basedOn w:val="Normal"/>
    <w:rsid w:val="00E86FC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E86FC1"/>
    <w:rPr>
      <w:sz w:val="16"/>
      <w:szCs w:val="16"/>
    </w:rPr>
  </w:style>
  <w:style w:type="paragraph" w:styleId="z-Principiodelformulario">
    <w:name w:val="HTML Top of Form"/>
    <w:basedOn w:val="Normal"/>
    <w:next w:val="Normal"/>
    <w:link w:val="z-PrincipiodelformularioCar"/>
    <w:hidden/>
    <w:uiPriority w:val="99"/>
    <w:semiHidden/>
    <w:unhideWhenUsed/>
    <w:rsid w:val="00E86FC1"/>
    <w:pPr>
      <w:pBdr>
        <w:bottom w:val="single" w:sz="6" w:space="1" w:color="auto"/>
      </w:pBdr>
      <w:spacing w:after="0" w:line="276"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E86FC1"/>
    <w:rPr>
      <w:rFonts w:ascii="Arial" w:hAnsi="Arial" w:cs="Arial"/>
      <w:vanish/>
      <w:sz w:val="16"/>
      <w:szCs w:val="16"/>
    </w:rPr>
  </w:style>
  <w:style w:type="character" w:customStyle="1" w:styleId="fuera">
    <w:name w:val="fuera"/>
    <w:basedOn w:val="Fuentedeprrafopredeter"/>
    <w:rsid w:val="00E86FC1"/>
  </w:style>
  <w:style w:type="paragraph" w:styleId="z-Finaldelformulario">
    <w:name w:val="HTML Bottom of Form"/>
    <w:basedOn w:val="Normal"/>
    <w:next w:val="Normal"/>
    <w:link w:val="z-FinaldelformularioCar"/>
    <w:hidden/>
    <w:uiPriority w:val="99"/>
    <w:semiHidden/>
    <w:unhideWhenUsed/>
    <w:rsid w:val="00E86FC1"/>
    <w:pPr>
      <w:pBdr>
        <w:top w:val="single" w:sz="6" w:space="1" w:color="auto"/>
      </w:pBdr>
      <w:spacing w:after="0" w:line="276"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E86FC1"/>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230775">
      <w:bodyDiv w:val="1"/>
      <w:marLeft w:val="0"/>
      <w:marRight w:val="0"/>
      <w:marTop w:val="0"/>
      <w:marBottom w:val="0"/>
      <w:divBdr>
        <w:top w:val="none" w:sz="0" w:space="0" w:color="auto"/>
        <w:left w:val="none" w:sz="0" w:space="0" w:color="auto"/>
        <w:bottom w:val="none" w:sz="0" w:space="0" w:color="auto"/>
        <w:right w:val="none" w:sz="0" w:space="0" w:color="auto"/>
      </w:divBdr>
    </w:div>
    <w:div w:id="963727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2878</Words>
  <Characters>15831</Characters>
  <Application>Microsoft Office Word</Application>
  <DocSecurity>0</DocSecurity>
  <Lines>131</Lines>
  <Paragraphs>37</Paragraphs>
  <ScaleCrop>false</ScaleCrop>
  <Company>PRINCIPADO_DE_ASTURIAS</Company>
  <LinksUpToDate>false</LinksUpToDate>
  <CharactersWithSpaces>18672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FERNANDEZ RODRIGUEZ</dc:creator>
  <cp:keywords/>
  <dc:description/>
  <cp:lastModifiedBy>MARTINA FERNANDEZ RODRIGUEZ</cp:lastModifiedBy>
  <cp:revision>3</cp:revision>
  <dcterms:created xsi:type="dcterms:W3CDTF">2023-06-06T09:04:00Z</dcterms:created>
  <dcterms:modified xsi:type="dcterms:W3CDTF">2023-06-07T10:32:00Z</dcterms:modified>
</cp:coreProperties>
</file>