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sdetext"/>
        <w:jc w:val="both"/>
        <w:rPr>
          <w:szCs w:val="22"/>
          <w:lang w:val="es-ES"/>
        </w:rPr>
      </w:pPr>
      <w:r>
        <w:rPr>
          <w:b/>
          <w:bCs/>
          <w:szCs w:val="22"/>
          <w:lang w:val="es-ES" w:eastAsia="es-ES"/>
        </w:rPr>
        <w:t>Asunto</w:t>
      </w:r>
      <w:r>
        <w:rPr>
          <w:b/>
          <w:bCs/>
          <w:szCs w:val="22"/>
        </w:rPr>
        <w:t xml:space="preserve">: </w:t>
      </w:r>
      <w:r>
        <w:rPr>
          <w:szCs w:val="22"/>
          <w:lang w:val="es-ES" w:eastAsia="es-ES"/>
        </w:rPr>
        <w:t>Convenio</w:t>
      </w:r>
      <w:r>
        <w:rPr>
          <w:szCs w:val="22"/>
          <w:lang w:val="es-ES"/>
        </w:rPr>
        <w:t xml:space="preserve"> de colaboración entre el  </w:t>
      </w:r>
      <w:r>
        <w:rPr>
          <w:szCs w:val="22"/>
          <w:lang w:val="es-ES"/>
        </w:rPr>
        <w:t xml:space="preserve">Ayuntamiento de Mataró y la </w:t>
      </w:r>
      <w:r>
        <w:rPr>
          <w:i w:val="false"/>
          <w:iCs w:val="false"/>
          <w:szCs w:val="22"/>
          <w:lang w:val="es-ES"/>
        </w:rPr>
        <w:t>Associació Posidònia</w:t>
      </w:r>
      <w:r>
        <w:rPr>
          <w:i/>
          <w:szCs w:val="22"/>
          <w:lang w:val="es-ES"/>
        </w:rPr>
        <w:t xml:space="preserve"> 2021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Órgano: </w:t>
      </w:r>
      <w:r>
        <w:rPr>
          <w:rFonts w:cs="Times New Roman" w:ascii="Times New Roman" w:hAnsi="Times New Roman"/>
          <w:bCs/>
          <w:sz w:val="22"/>
          <w:szCs w:val="22"/>
        </w:rPr>
        <w:t>D</w:t>
      </w:r>
      <w:r>
        <w:rPr>
          <w:rFonts w:cs="Times New Roman" w:ascii="Times New Roman" w:hAnsi="Times New Roman"/>
          <w:bCs/>
          <w:sz w:val="22"/>
          <w:szCs w:val="22"/>
        </w:rPr>
        <w:t>irección de Transición Ecológica, Sostenibilidad y Espacio Público.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Expediente: </w:t>
      </w:r>
      <w:r>
        <w:rPr>
          <w:rFonts w:cs="Times New Roman" w:ascii="Times New Roman" w:hAnsi="Times New Roman"/>
          <w:bCs/>
          <w:sz w:val="22"/>
          <w:szCs w:val="22"/>
        </w:rPr>
        <w:t>2021/92660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              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Cosdetext"/>
        <w:jc w:val="both"/>
        <w:rPr>
          <w:b/>
          <w:szCs w:val="22"/>
          <w:lang w:val="es-ES"/>
        </w:rPr>
      </w:pPr>
      <w:r>
        <w:rPr>
          <w:b/>
          <w:szCs w:val="22"/>
          <w:lang w:val="es-ES"/>
        </w:rPr>
        <w:t>Relación de hechos</w:t>
      </w:r>
    </w:p>
    <w:p>
      <w:pPr>
        <w:pStyle w:val="Cosdetext"/>
        <w:jc w:val="both"/>
        <w:rPr>
          <w:szCs w:val="22"/>
          <w:lang w:val="es-ES"/>
        </w:rPr>
      </w:pPr>
      <w:r>
        <w:rPr>
          <w:szCs w:val="22"/>
          <w:lang w:val="es-ES"/>
        </w:rPr>
      </w:r>
    </w:p>
    <w:p>
      <w:pPr>
        <w:pStyle w:val="BodyText2"/>
        <w:spacing w:lineRule="auto" w:line="240" w:before="0" w:after="0"/>
        <w:jc w:val="both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i w:val="false"/>
          <w:iCs w:val="false"/>
          <w:sz w:val="22"/>
          <w:szCs w:val="22"/>
          <w:lang w:eastAsia="ca-ES"/>
        </w:rPr>
        <w:t>La Associació Posidònia 2021 es una entidad que tiene entre sus objetivos la divulgación relacionada con el ecosistema marino de Mataró y el Maresme y más concretamente la pradera</w:t>
      </w:r>
      <w:bookmarkStart w:id="0" w:name="_GoBack"/>
      <w:bookmarkEnd w:id="0"/>
      <w:r>
        <w:rPr>
          <w:rFonts w:eastAsia="Times New Roman" w:cs="Times New Roman" w:ascii="Times New Roman" w:hAnsi="Times New Roman"/>
          <w:i w:val="false"/>
          <w:iCs w:val="false"/>
          <w:sz w:val="22"/>
          <w:szCs w:val="22"/>
          <w:lang w:eastAsia="ca-ES"/>
        </w:rPr>
        <w:t xml:space="preserve"> de posidonia presente en la zona, también promover la ciencia ciudadana y fomentar la participación popular en actividades y actuaciones relacionadas con el medio marino. Desde el  2016 esta asociación ha desarrollado su actividad en 6 áreas diferentes: científica, educativa, pesca, buceo, imagen submarina i eco turismo.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sz w:val="8"/>
          <w:szCs w:val="22"/>
          <w:lang w:eastAsia="ca-ES"/>
        </w:rPr>
      </w:pPr>
      <w:r>
        <w:rPr>
          <w:rFonts w:eastAsia="Times New Roman" w:cs="Times New Roman" w:ascii="Times New Roman" w:hAnsi="Times New Roman"/>
          <w:i w:val="false"/>
          <w:iCs w:val="false"/>
          <w:sz w:val="8"/>
          <w:szCs w:val="22"/>
          <w:lang w:eastAsia="ca-ES"/>
        </w:rPr>
      </w:r>
    </w:p>
    <w:p>
      <w:pPr>
        <w:pStyle w:val="Normal"/>
        <w:spacing w:lineRule="auto" w:line="240"/>
        <w:jc w:val="both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i w:val="false"/>
          <w:iCs w:val="false"/>
          <w:sz w:val="22"/>
          <w:szCs w:val="22"/>
          <w:lang w:eastAsia="ca-ES"/>
        </w:rPr>
        <w:t>El Plan de Trabajo de la Associació Posidònia 2021, para el 202</w:t>
      </w:r>
      <w:r>
        <w:rPr>
          <w:rFonts w:eastAsia="Times New Roman" w:cs="Times New Roman" w:ascii="Times New Roman" w:hAnsi="Times New Roman"/>
          <w:i w:val="false"/>
          <w:iCs w:val="false"/>
          <w:sz w:val="22"/>
          <w:szCs w:val="22"/>
          <w:lang w:eastAsia="ca-ES"/>
        </w:rPr>
        <w:t>3</w:t>
      </w:r>
      <w:r>
        <w:rPr>
          <w:rFonts w:eastAsia="Times New Roman" w:cs="Times New Roman" w:ascii="Times New Roman" w:hAnsi="Times New Roman"/>
          <w:i w:val="false"/>
          <w:iCs w:val="false"/>
          <w:sz w:val="22"/>
          <w:szCs w:val="22"/>
          <w:lang w:eastAsia="ca-ES"/>
        </w:rPr>
        <w:t>, incluye actuaciones y actividades relacionadas con el respeto y mejora del medio ambiente. Entre otros, el festival cinematográfico al aire libre relacionado con el medio marino, “Posidonia a la fresca”.</w:t>
      </w:r>
    </w:p>
    <w:p>
      <w:pPr>
        <w:pStyle w:val="Cosdetext"/>
        <w:jc w:val="both"/>
        <w:rPr>
          <w:i w:val="false"/>
          <w:i w:val="false"/>
          <w:iCs w:val="false"/>
        </w:rPr>
      </w:pPr>
      <w:r>
        <w:rPr>
          <w:i w:val="false"/>
          <w:iCs w:val="false"/>
          <w:szCs w:val="22"/>
          <w:lang w:val="es-ES" w:eastAsia="ca-ES"/>
        </w:rPr>
        <w:t>En las bases de ejecución del presupuesto municipal del 202</w:t>
      </w:r>
      <w:r>
        <w:rPr>
          <w:i w:val="false"/>
          <w:iCs w:val="false"/>
          <w:szCs w:val="22"/>
          <w:lang w:val="es-ES" w:eastAsia="ca-ES"/>
        </w:rPr>
        <w:t>3</w:t>
      </w:r>
      <w:r>
        <w:rPr>
          <w:i w:val="false"/>
          <w:iCs w:val="false"/>
          <w:szCs w:val="22"/>
          <w:lang w:val="es-ES" w:eastAsia="ca-ES"/>
        </w:rPr>
        <w:t xml:space="preserve"> consta como una subvención nominativa incluida dentro el presupuesto anual una aportación económica a la Associació Posidònia 2021 por un importe de 2.500 € (dos mil quinientos euros) con cargo a la partida 710</w:t>
      </w:r>
      <w:r>
        <w:rPr>
          <w:i w:val="false"/>
          <w:iCs w:val="false"/>
          <w:szCs w:val="22"/>
          <w:lang w:val="es-ES" w:eastAsia="ca-ES"/>
        </w:rPr>
        <w:t>500</w:t>
      </w:r>
      <w:r>
        <w:rPr>
          <w:i w:val="false"/>
          <w:iCs w:val="false"/>
          <w:szCs w:val="22"/>
          <w:lang w:val="es-ES" w:eastAsia="ca-ES"/>
        </w:rPr>
        <w:t xml:space="preserve"> 172210 48900 del presupuesto municipal vigente para el año 202</w:t>
      </w:r>
      <w:r>
        <w:rPr>
          <w:i w:val="false"/>
          <w:iCs w:val="false"/>
          <w:szCs w:val="22"/>
          <w:lang w:val="es-ES" w:eastAsia="ca-ES"/>
        </w:rPr>
        <w:t>3</w:t>
      </w:r>
      <w:r>
        <w:rPr>
          <w:i w:val="false"/>
          <w:iCs w:val="false"/>
          <w:szCs w:val="22"/>
          <w:lang w:val="es-ES" w:eastAsia="ca-ES"/>
        </w:rPr>
        <w:t xml:space="preserve">. </w:t>
      </w:r>
    </w:p>
    <w:p>
      <w:pPr>
        <w:pStyle w:val="Cosdetext"/>
        <w:jc w:val="both"/>
        <w:rPr>
          <w:i w:val="false"/>
          <w:i w:val="false"/>
          <w:iCs w:val="false"/>
          <w:szCs w:val="22"/>
          <w:lang w:val="es-ES"/>
        </w:rPr>
      </w:pPr>
      <w:r>
        <w:rPr>
          <w:i w:val="false"/>
          <w:iCs w:val="false"/>
          <w:szCs w:val="22"/>
          <w:lang w:val="es-ES"/>
        </w:rPr>
      </w:r>
    </w:p>
    <w:p>
      <w:pPr>
        <w:pStyle w:val="Normal"/>
        <w:spacing w:lineRule="auto" w:line="312"/>
        <w:rPr>
          <w:i w:val="false"/>
          <w:i w:val="false"/>
          <w:iCs w:val="false"/>
        </w:rPr>
      </w:pPr>
      <w:r>
        <w:rPr>
          <w:rFonts w:cs="Times New Roman" w:ascii="Times New Roman" w:hAnsi="Times New Roman"/>
          <w:b/>
          <w:i w:val="false"/>
          <w:iCs w:val="false"/>
          <w:sz w:val="22"/>
          <w:szCs w:val="22"/>
        </w:rPr>
        <w:t>Fundamentos de derecho:</w:t>
      </w:r>
    </w:p>
    <w:p>
      <w:pPr>
        <w:pStyle w:val="Pargraf"/>
        <w:widowControl/>
        <w:ind w:left="0" w:right="-57" w:hanging="0"/>
        <w:rPr>
          <w:i w:val="false"/>
          <w:i w:val="false"/>
          <w:iCs w:val="false"/>
        </w:rPr>
      </w:pPr>
      <w:r>
        <w:rPr>
          <w:i w:val="false"/>
          <w:iCs w:val="false"/>
          <w:sz w:val="22"/>
          <w:szCs w:val="22"/>
          <w:lang w:val="es-ES"/>
        </w:rPr>
        <w:t>De conformidad con los artículos 8 i siguientes de la Llei 38/2003, del 17 de noviembre, General de Subvenciones; artículos 23 al 29 del Reglamento de servicios de corporaciones locales; artículos 118 i 119 del Decret</w:t>
      </w:r>
      <w:r>
        <w:rPr>
          <w:i w:val="false"/>
          <w:iCs w:val="false"/>
          <w:sz w:val="22"/>
          <w:szCs w:val="22"/>
          <w:lang w:val="es-ES"/>
        </w:rPr>
        <w:t>o</w:t>
      </w:r>
      <w:r>
        <w:rPr>
          <w:i w:val="false"/>
          <w:iCs w:val="false"/>
          <w:sz w:val="22"/>
          <w:szCs w:val="22"/>
          <w:lang w:val="es-ES"/>
        </w:rPr>
        <w:t xml:space="preserve"> 179/1995 de 13 de junio, por el cual  se aprueba el Reglament d’obres, activitats i serveis dels ens locals; y el artículo 2 </w:t>
      </w:r>
      <w:r>
        <w:rPr>
          <w:i w:val="false"/>
          <w:iCs w:val="false"/>
          <w:sz w:val="22"/>
          <w:szCs w:val="22"/>
          <w:lang w:val="es-ES"/>
        </w:rPr>
        <w:t>y</w:t>
      </w:r>
      <w:r>
        <w:rPr>
          <w:i w:val="false"/>
          <w:iCs w:val="false"/>
          <w:sz w:val="22"/>
          <w:szCs w:val="22"/>
          <w:lang w:val="es-ES"/>
        </w:rPr>
        <w:t xml:space="preserve"> la Disposición adicional segunda de las Bases reguladoras pera la concesión de subvenciones por el A</w:t>
      </w:r>
      <w:r>
        <w:rPr>
          <w:i w:val="false"/>
          <w:iCs w:val="false"/>
          <w:sz w:val="22"/>
          <w:szCs w:val="22"/>
          <w:lang w:val="es-ES"/>
        </w:rPr>
        <w:t>y</w:t>
      </w:r>
      <w:r>
        <w:rPr>
          <w:i w:val="false"/>
          <w:iCs w:val="false"/>
          <w:sz w:val="22"/>
          <w:szCs w:val="22"/>
          <w:lang w:val="es-ES"/>
        </w:rPr>
        <w:t>untam</w:t>
      </w:r>
      <w:r>
        <w:rPr>
          <w:i w:val="false"/>
          <w:iCs w:val="false"/>
          <w:sz w:val="22"/>
          <w:szCs w:val="22"/>
          <w:lang w:val="es-ES"/>
        </w:rPr>
        <w:t>iento</w:t>
      </w:r>
      <w:r>
        <w:rPr>
          <w:i w:val="false"/>
          <w:iCs w:val="false"/>
          <w:sz w:val="22"/>
          <w:szCs w:val="22"/>
          <w:lang w:val="es-ES"/>
        </w:rPr>
        <w:t xml:space="preserve"> de Mataró y sus organismos autónomos.</w:t>
      </w:r>
    </w:p>
    <w:p>
      <w:pPr>
        <w:pStyle w:val="Pargraf"/>
        <w:widowControl/>
        <w:ind w:left="0" w:right="-57" w:hanging="0"/>
        <w:rPr>
          <w:i w:val="false"/>
          <w:i w:val="false"/>
          <w:iCs w:val="false"/>
          <w:sz w:val="22"/>
          <w:szCs w:val="22"/>
          <w:lang w:val="es-ES"/>
        </w:rPr>
      </w:pPr>
      <w:r>
        <w:rPr>
          <w:i w:val="false"/>
          <w:iCs w:val="false"/>
          <w:sz w:val="22"/>
          <w:szCs w:val="22"/>
          <w:lang w:val="es-ES"/>
        </w:rPr>
      </w:r>
    </w:p>
    <w:p>
      <w:pPr>
        <w:pStyle w:val="Pargraf"/>
        <w:widowControl/>
        <w:ind w:left="0" w:right="-57" w:hanging="0"/>
        <w:rPr>
          <w:i w:val="false"/>
          <w:i w:val="false"/>
          <w:iCs w:val="false"/>
        </w:rPr>
      </w:pPr>
      <w:r>
        <w:rPr>
          <w:i w:val="false"/>
          <w:iCs w:val="false"/>
          <w:sz w:val="22"/>
          <w:szCs w:val="22"/>
          <w:lang w:val="es-ES"/>
        </w:rPr>
        <w:t>Haciendo uso de las atribuciones conferidas a la Alcaldía por la Le</w:t>
      </w:r>
      <w:r>
        <w:rPr>
          <w:i w:val="false"/>
          <w:iCs w:val="false"/>
          <w:sz w:val="22"/>
          <w:szCs w:val="22"/>
          <w:lang w:val="es-ES"/>
        </w:rPr>
        <w:t>y</w:t>
      </w:r>
      <w:r>
        <w:rPr>
          <w:i w:val="false"/>
          <w:iCs w:val="false"/>
          <w:sz w:val="22"/>
          <w:szCs w:val="22"/>
          <w:lang w:val="es-ES"/>
        </w:rPr>
        <w:t xml:space="preserve"> 7/85, del 2 de abril, y el resto de disposiciones legales, así como lo que disponen los artículos 19, 20 y 21 de las Bases de ejecución del Presupuesto y en virtud de las competencias delegadas por Resolución de la Alcaldía núm. </w:t>
      </w:r>
      <w:r>
        <w:rPr>
          <w:i w:val="false"/>
          <w:iCs w:val="false"/>
          <w:sz w:val="22"/>
          <w:szCs w:val="22"/>
          <w:lang w:val="es-ES"/>
        </w:rPr>
        <w:t>6495</w:t>
      </w:r>
      <w:r>
        <w:rPr>
          <w:i w:val="false"/>
          <w:iCs w:val="false"/>
          <w:sz w:val="22"/>
          <w:szCs w:val="22"/>
          <w:lang w:val="es-ES"/>
        </w:rPr>
        <w:t xml:space="preserve"> con fecha </w:t>
      </w:r>
      <w:r>
        <w:rPr>
          <w:i w:val="false"/>
          <w:iCs w:val="false"/>
          <w:sz w:val="22"/>
          <w:szCs w:val="22"/>
          <w:lang w:val="es-ES"/>
        </w:rPr>
        <w:t>20 de junio de 2023</w:t>
      </w:r>
      <w:r>
        <w:rPr>
          <w:i w:val="false"/>
          <w:iCs w:val="false"/>
          <w:sz w:val="22"/>
          <w:szCs w:val="22"/>
          <w:lang w:val="es-ES"/>
        </w:rPr>
        <w:t>.</w:t>
      </w:r>
    </w:p>
    <w:p>
      <w:pPr>
        <w:pStyle w:val="Pargraf"/>
        <w:widowControl/>
        <w:ind w:left="0" w:right="-57" w:hanging="0"/>
        <w:rPr>
          <w:i w:val="false"/>
          <w:i w:val="false"/>
          <w:iCs w:val="false"/>
          <w:sz w:val="22"/>
          <w:szCs w:val="22"/>
          <w:lang w:val="es-ES"/>
        </w:rPr>
      </w:pPr>
      <w:r>
        <w:rPr>
          <w:i w:val="false"/>
          <w:iCs w:val="false"/>
          <w:sz w:val="22"/>
          <w:szCs w:val="22"/>
          <w:lang w:val="es-ES"/>
        </w:rPr>
      </w:r>
    </w:p>
    <w:p>
      <w:pPr>
        <w:pStyle w:val="Pargraf"/>
        <w:widowControl/>
        <w:ind w:left="0" w:right="-57" w:hanging="0"/>
        <w:rPr>
          <w:i w:val="false"/>
          <w:i w:val="false"/>
          <w:iCs w:val="false"/>
        </w:rPr>
      </w:pPr>
      <w:r>
        <w:rPr>
          <w:rFonts w:eastAsia="Calibri"/>
          <w:b/>
          <w:i w:val="false"/>
          <w:iCs w:val="false"/>
          <w:sz w:val="22"/>
          <w:szCs w:val="22"/>
          <w:lang w:val="es-ES" w:eastAsia="en-US"/>
        </w:rPr>
        <w:t>RESUELVO:</w:t>
      </w:r>
    </w:p>
    <w:p>
      <w:pPr>
        <w:pStyle w:val="Pargraf"/>
        <w:widowControl/>
        <w:rPr>
          <w:b/>
          <w:i w:val="false"/>
          <w:i w:val="false"/>
          <w:iCs w:val="false"/>
          <w:sz w:val="22"/>
          <w:szCs w:val="22"/>
          <w:lang w:val="es-ES"/>
        </w:rPr>
      </w:pPr>
      <w:r>
        <w:rPr>
          <w:b/>
          <w:i w:val="false"/>
          <w:iCs w:val="false"/>
          <w:sz w:val="22"/>
          <w:szCs w:val="22"/>
          <w:lang w:val="es-ES"/>
        </w:rPr>
      </w:r>
    </w:p>
    <w:p>
      <w:pPr>
        <w:pStyle w:val="Pargraf"/>
        <w:widowControl/>
        <w:rPr>
          <w:i w:val="false"/>
          <w:i w:val="false"/>
          <w:iCs w:val="false"/>
        </w:rPr>
      </w:pPr>
      <w:r>
        <w:rPr>
          <w:b/>
          <w:i w:val="false"/>
          <w:iCs w:val="false"/>
          <w:sz w:val="22"/>
          <w:szCs w:val="22"/>
          <w:lang w:val="es-ES"/>
        </w:rPr>
        <w:t>Primero.-</w:t>
      </w:r>
      <w:r>
        <w:rPr>
          <w:i w:val="false"/>
          <w:iCs w:val="false"/>
          <w:sz w:val="22"/>
          <w:szCs w:val="22"/>
          <w:lang w:val="es-ES"/>
        </w:rPr>
        <w:t xml:space="preserve"> Aprobar el texto  del convenio con la Associació Posidònia 2021 relativo a la subvención nominativa de 2.500 € para  la realización del festival cinematográfico al aire libre relacionado con el medio marino, Posid</w:t>
      </w:r>
      <w:r>
        <w:rPr>
          <w:i w:val="false"/>
          <w:iCs w:val="false"/>
          <w:sz w:val="22"/>
          <w:szCs w:val="22"/>
          <w:lang w:val="es-ES"/>
        </w:rPr>
        <w:t>ò</w:t>
      </w:r>
      <w:r>
        <w:rPr>
          <w:i w:val="false"/>
          <w:iCs w:val="false"/>
          <w:sz w:val="22"/>
          <w:szCs w:val="22"/>
          <w:lang w:val="es-ES"/>
        </w:rPr>
        <w:t xml:space="preserve">nia a la fresca, que contempla el avance del 70% del importe a la firma del convenio y el pago del 30% restante cuando se justifique el gasto. </w:t>
      </w:r>
    </w:p>
    <w:p>
      <w:pPr>
        <w:pStyle w:val="Pargraf"/>
        <w:widowControl/>
        <w:rPr>
          <w:i w:val="false"/>
          <w:i w:val="false"/>
          <w:iCs w:val="false"/>
          <w:sz w:val="22"/>
          <w:szCs w:val="22"/>
          <w:lang w:val="es-ES"/>
        </w:rPr>
      </w:pPr>
      <w:r>
        <w:rPr>
          <w:i w:val="false"/>
          <w:iCs w:val="false"/>
          <w:sz w:val="22"/>
          <w:szCs w:val="22"/>
          <w:lang w:val="es-ES"/>
        </w:rPr>
      </w:r>
    </w:p>
    <w:p>
      <w:pPr>
        <w:pStyle w:val="Pargraf"/>
        <w:widowControl/>
        <w:rPr>
          <w:i w:val="false"/>
          <w:i w:val="false"/>
          <w:iCs w:val="false"/>
        </w:rPr>
      </w:pPr>
      <w:r>
        <w:rPr>
          <w:b/>
          <w:i w:val="false"/>
          <w:iCs w:val="false"/>
          <w:sz w:val="22"/>
          <w:szCs w:val="22"/>
          <w:lang w:val="es-ES"/>
        </w:rPr>
        <w:t>Segundo.-</w:t>
      </w:r>
      <w:r>
        <w:rPr>
          <w:i w:val="false"/>
          <w:iCs w:val="false"/>
          <w:sz w:val="22"/>
          <w:szCs w:val="22"/>
          <w:lang w:val="es-ES"/>
        </w:rPr>
        <w:t xml:space="preserve"> Autorizar y disponer el gasto de 2.500 € (dos mil quinientos euros) con cargo a la partida 710</w:t>
      </w:r>
      <w:r>
        <w:rPr>
          <w:i w:val="false"/>
          <w:iCs w:val="false"/>
          <w:sz w:val="22"/>
          <w:szCs w:val="22"/>
          <w:lang w:val="es-ES"/>
        </w:rPr>
        <w:t>500</w:t>
      </w:r>
      <w:r>
        <w:rPr>
          <w:i w:val="false"/>
          <w:iCs w:val="false"/>
          <w:sz w:val="22"/>
          <w:szCs w:val="22"/>
          <w:lang w:val="es-ES"/>
        </w:rPr>
        <w:t xml:space="preserve"> 172210 48900 del presupuesto municipal vigente de 202</w:t>
      </w:r>
      <w:r>
        <w:rPr>
          <w:i w:val="false"/>
          <w:iCs w:val="false"/>
          <w:sz w:val="22"/>
          <w:szCs w:val="22"/>
          <w:lang w:val="es-ES"/>
        </w:rPr>
        <w:t>3,</w:t>
      </w:r>
    </w:p>
    <w:p>
      <w:pPr>
        <w:pStyle w:val="Pargraf"/>
        <w:widowControl/>
        <w:rPr>
          <w:i w:val="false"/>
          <w:i w:val="false"/>
          <w:iCs w:val="false"/>
          <w:sz w:val="22"/>
          <w:szCs w:val="22"/>
          <w:lang w:val="es-ES"/>
        </w:rPr>
      </w:pPr>
      <w:r>
        <w:rPr>
          <w:i w:val="false"/>
          <w:iCs w:val="false"/>
          <w:sz w:val="22"/>
          <w:szCs w:val="22"/>
          <w:lang w:val="es-ES"/>
        </w:rPr>
      </w:r>
    </w:p>
    <w:p>
      <w:pPr>
        <w:pStyle w:val="Pargraf"/>
        <w:widowControl/>
        <w:rPr>
          <w:i w:val="false"/>
          <w:i w:val="false"/>
          <w:iCs w:val="false"/>
          <w:lang w:val="es-ES" w:eastAsia="ca-ES"/>
        </w:rPr>
      </w:pPr>
      <w:r>
        <w:rPr>
          <w:b/>
          <w:i w:val="false"/>
          <w:iCs w:val="false"/>
          <w:lang w:val="es-ES" w:eastAsia="ca-ES"/>
        </w:rPr>
        <w:t>Tercer</w:t>
      </w:r>
      <w:r>
        <w:rPr>
          <w:b/>
          <w:i w:val="false"/>
          <w:iCs w:val="false"/>
          <w:lang w:val="es-ES" w:eastAsia="ca-ES"/>
        </w:rPr>
        <w:t>o</w:t>
      </w:r>
      <w:r>
        <w:rPr>
          <w:b/>
          <w:i w:val="false"/>
          <w:iCs w:val="false"/>
          <w:lang w:val="es-ES" w:eastAsia="ca-ES"/>
        </w:rPr>
        <w:t>.-</w:t>
      </w:r>
      <w:r>
        <w:rPr>
          <w:i w:val="false"/>
          <w:iCs w:val="false"/>
          <w:lang w:val="es-ES" w:eastAsia="ca-ES"/>
        </w:rPr>
        <w:t xml:space="preserve"> </w:t>
      </w:r>
      <w:r>
        <w:rPr>
          <w:i w:val="false"/>
          <w:iCs w:val="false"/>
          <w:lang w:val="es-ES" w:eastAsia="ca-ES"/>
        </w:rPr>
        <w:t>Dar publicidad de presente acuerdo a la Base de Datos Nacional de Subvenciones y al Registro de subvenciones y ayudas de la Generalitat de Cataluña- RAISC.</w:t>
      </w:r>
    </w:p>
    <w:p>
      <w:pPr>
        <w:pStyle w:val="Pargraf"/>
        <w:widowControl/>
        <w:rPr>
          <w:i w:val="false"/>
          <w:i w:val="false"/>
          <w:iCs w:val="false"/>
          <w:lang w:val="es-ES" w:eastAsia="ca-ES"/>
        </w:rPr>
      </w:pPr>
      <w:r>
        <w:rPr>
          <w:i w:val="false"/>
          <w:iCs w:val="false"/>
          <w:lang w:val="es-ES" w:eastAsia="ca-ES"/>
        </w:rPr>
      </w:r>
    </w:p>
    <w:p>
      <w:pPr>
        <w:pStyle w:val="Pargraf"/>
        <w:widowControl/>
        <w:rPr>
          <w:i w:val="false"/>
          <w:i w:val="false"/>
          <w:iCs w:val="false"/>
          <w:lang w:val="es-ES" w:eastAsia="ca-ES"/>
        </w:rPr>
      </w:pPr>
      <w:r>
        <w:rPr>
          <w:b/>
          <w:i w:val="false"/>
          <w:iCs w:val="false"/>
          <w:sz w:val="22"/>
          <w:szCs w:val="22"/>
          <w:lang w:val="es-ES" w:eastAsia="ca-ES"/>
        </w:rPr>
        <w:t>Cuarto</w:t>
      </w:r>
      <w:r>
        <w:rPr>
          <w:b/>
          <w:i w:val="false"/>
          <w:iCs w:val="false"/>
          <w:sz w:val="22"/>
          <w:szCs w:val="22"/>
          <w:lang w:val="es-ES" w:eastAsia="ca-ES"/>
        </w:rPr>
        <w:t>.-</w:t>
      </w:r>
      <w:r>
        <w:rPr>
          <w:i w:val="false"/>
          <w:iCs w:val="false"/>
          <w:sz w:val="22"/>
          <w:szCs w:val="22"/>
          <w:lang w:val="es-ES" w:eastAsia="ca-ES"/>
        </w:rPr>
        <w:t xml:space="preserve"> Notificar la presente resolución a la Associació Posidònia 2021 y al Servicio de Gestión Económica.</w:t>
      </w:r>
    </w:p>
    <w:p>
      <w:pPr>
        <w:pStyle w:val="Pargraf"/>
        <w:widowControl/>
        <w:rPr>
          <w:sz w:val="22"/>
          <w:szCs w:val="22"/>
          <w:lang w:val="es-ES"/>
        </w:rPr>
      </w:pPr>
      <w:r>
        <w:rPr>
          <w:i w:val="false"/>
          <w:iCs w:val="false"/>
        </w:rPr>
      </w:r>
    </w:p>
    <w:p>
      <w:pPr>
        <w:pStyle w:val="Pargraf"/>
        <w:widowControl/>
        <w:rPr>
          <w:sz w:val="22"/>
          <w:szCs w:val="22"/>
          <w:lang w:val="es-ES"/>
        </w:rPr>
      </w:pPr>
      <w:r>
        <w:rPr>
          <w:i w:val="false"/>
          <w:iCs w:val="false"/>
        </w:rPr>
      </w:r>
    </w:p>
    <w:p>
      <w:pPr>
        <w:pStyle w:val="Pargraf"/>
        <w:widowControl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sectPr>
      <w:headerReference w:type="default" r:id="rId2"/>
      <w:footerReference w:type="default" r:id="rId3"/>
      <w:type w:val="nextPage"/>
      <w:pgSz w:w="11906" w:h="16838"/>
      <w:pgMar w:left="1191" w:right="991" w:gutter="0" w:header="709" w:top="766" w:footer="709" w:bottom="1418"/>
      <w:pgNumType w:fmt="decimal"/>
      <w:formProt w:val="false"/>
      <w:textDirection w:val="lrTb"/>
      <w:docGrid w:type="default" w:linePitch="600" w:charSpace="4915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9639" w:type="dxa"/>
      <w:jc w:val="left"/>
      <w:tblInd w:w="5" w:type="dxa"/>
      <w:tblLayout w:type="fixed"/>
      <w:tblCellMar>
        <w:top w:w="0" w:type="dxa"/>
        <w:left w:w="0" w:type="dxa"/>
        <w:bottom w:w="0" w:type="dxa"/>
        <w:right w:w="0" w:type="dxa"/>
      </w:tblCellMar>
      <w:tblLook w:firstRow="0" w:noVBand="0" w:lastRow="0" w:firstColumn="0" w:lastColumn="0" w:noHBand="0" w:val="0000"/>
    </w:tblPr>
    <w:tblGrid>
      <w:gridCol w:w="6520"/>
      <w:gridCol w:w="3118"/>
    </w:tblGrid>
    <w:tr>
      <w:trPr>
        <w:trHeight w:val="397" w:hRule="exact"/>
      </w:trPr>
      <w:tc>
        <w:tcPr>
          <w:tcW w:w="6520" w:type="dxa"/>
          <w:tcBorders>
            <w:top w:val="single" w:sz="4" w:space="0" w:color="000000"/>
          </w:tcBorders>
          <w:shd w:color="auto" w:fill="auto" w:val="clear"/>
          <w:vAlign w:val="center"/>
        </w:tcPr>
        <w:p>
          <w:pPr>
            <w:pStyle w:val="Piedepgina1"/>
            <w:widowControl w:val="false"/>
            <w:tabs>
              <w:tab w:val="clear" w:pos="2778"/>
              <w:tab w:val="clear" w:pos="7030"/>
              <w:tab w:val="center" w:pos="4252" w:leader="none"/>
              <w:tab w:val="right" w:pos="8504" w:leader="none"/>
            </w:tabs>
            <w:ind w:left="0" w:right="170" w:hanging="0"/>
            <w:rPr/>
          </w:pPr>
          <w:r>
            <w:rPr/>
          </w:r>
        </w:p>
      </w:tc>
      <w:tc>
        <w:tcPr>
          <w:tcW w:w="3118" w:type="dxa"/>
          <w:tcBorders>
            <w:top w:val="single" w:sz="4" w:space="0" w:color="000000"/>
          </w:tcBorders>
          <w:shd w:color="auto" w:fill="auto" w:val="clear"/>
          <w:vAlign w:val="center"/>
        </w:tcPr>
        <w:p>
          <w:pPr>
            <w:pStyle w:val="Piedepgina1"/>
            <w:widowControl w:val="false"/>
            <w:ind w:left="0" w:right="0" w:hanging="0"/>
            <w:jc w:val="right"/>
            <w:rPr/>
          </w:pPr>
          <w:r>
            <w:rPr>
              <w:rFonts w:cs="Arial" w:ascii="Arial" w:hAnsi="Arial"/>
              <w:b/>
              <w:bCs/>
            </w:rPr>
            <w:fldChar w:fldCharType="begin"/>
          </w:r>
          <w:r>
            <w:rPr>
              <w:b/>
              <w:bCs/>
              <w:rFonts w:cs="Arial" w:ascii="Arial" w:hAnsi="Arial"/>
            </w:rPr>
            <w:instrText xml:space="preserve"> PAGE </w:instrText>
          </w:r>
          <w:r>
            <w:rPr>
              <w:b/>
              <w:bCs/>
              <w:rFonts w:cs="Arial" w:ascii="Arial" w:hAnsi="Arial"/>
            </w:rPr>
            <w:fldChar w:fldCharType="separate"/>
          </w:r>
          <w:r>
            <w:rPr>
              <w:b/>
              <w:bCs/>
              <w:rFonts w:cs="Arial" w:ascii="Arial" w:hAnsi="Arial"/>
            </w:rPr>
            <w:t>2</w:t>
          </w:r>
          <w:r>
            <w:rPr>
              <w:b/>
              <w:bCs/>
              <w:rFonts w:cs="Arial" w:ascii="Arial" w:hAnsi="Arial"/>
            </w:rPr>
            <w:fldChar w:fldCharType="end"/>
          </w:r>
        </w:p>
      </w:tc>
    </w:tr>
  </w:tbl>
  <w:p>
    <w:pPr>
      <w:pStyle w:val="Piedepgina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tol"/>
      <w:widowControl/>
      <w:tabs>
        <w:tab w:val="clear" w:pos="709"/>
        <w:tab w:val="left" w:pos="5109" w:leader="none"/>
      </w:tabs>
      <w:spacing w:lineRule="exact" w:line="200" w:before="0" w:after="0"/>
      <w:ind w:left="0" w:right="-57" w:hanging="0"/>
      <w:jc w:val="right"/>
      <w:rPr>
        <w:sz w:val="22"/>
        <w:szCs w:val="22"/>
      </w:rPr>
    </w:pPr>
    <w:r>
      <w:rPr>
        <w:sz w:val="22"/>
        <w:szCs w:val="22"/>
      </w:rPr>
    </w:r>
  </w:p>
  <w:p>
    <w:pPr>
      <w:pStyle w:val="Ttol"/>
      <w:widowControl/>
      <w:tabs>
        <w:tab w:val="clear" w:pos="709"/>
        <w:tab w:val="left" w:pos="5109" w:leader="none"/>
      </w:tabs>
      <w:spacing w:lineRule="exact" w:line="200" w:before="0" w:after="0"/>
      <w:ind w:left="0" w:right="-57" w:hanging="0"/>
      <w:jc w:val="right"/>
      <w:rPr>
        <w:sz w:val="22"/>
        <w:szCs w:val="22"/>
      </w:rPr>
    </w:pPr>
    <w:r>
      <w:rPr>
        <w:sz w:val="22"/>
        <w:szCs w:val="22"/>
      </w:rPr>
    </w:r>
  </w:p>
  <w:tbl>
    <w:tblPr>
      <w:tblW w:w="9633" w:type="dxa"/>
      <w:jc w:val="left"/>
      <w:tblInd w:w="0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0" w:noVBand="0" w:lastRow="0" w:firstColumn="0" w:lastColumn="0" w:noHBand="0" w:val="0000"/>
    </w:tblPr>
    <w:tblGrid>
      <w:gridCol w:w="3118"/>
      <w:gridCol w:w="6514"/>
    </w:tblGrid>
    <w:tr>
      <w:trPr>
        <w:trHeight w:val="338" w:hRule="atLeast"/>
      </w:trPr>
      <w:tc>
        <w:tcPr>
          <w:tcW w:w="3118" w:type="dxa"/>
          <w:tcBorders/>
          <w:shd w:color="auto" w:fill="auto" w:val="clear"/>
        </w:tcPr>
        <w:p>
          <w:pPr>
            <w:pStyle w:val="Normal"/>
            <w:widowControl w:val="false"/>
            <w:spacing w:lineRule="auto" w:line="240" w:before="0" w:after="200"/>
            <w:rPr>
              <w:color w:val="000000"/>
              <w:sz w:val="16"/>
              <w:szCs w:val="16"/>
            </w:rPr>
          </w:pPr>
          <w:r>
            <w:rPr/>
            <w:drawing>
              <wp:inline distT="0" distB="0" distL="0" distR="0">
                <wp:extent cx="1838325" cy="714375"/>
                <wp:effectExtent l="0" t="0" r="0" b="0"/>
                <wp:docPr id="1" name="Imagen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714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14" w:type="dxa"/>
          <w:tcBorders/>
          <w:shd w:color="auto" w:fill="auto" w:val="clear"/>
        </w:tcPr>
        <w:p>
          <w:pPr>
            <w:pStyle w:val="Normal"/>
            <w:widowControl w:val="false"/>
            <w:shd w:val="clear" w:color="auto" w:fill="FFFFFF"/>
            <w:spacing w:lineRule="auto" w:line="240"/>
            <w:jc w:val="right"/>
            <w:rPr>
              <w:b/>
              <w:bCs/>
              <w:i/>
              <w:i/>
              <w:iCs/>
              <w:color w:val="000000"/>
              <w:spacing w:val="-2"/>
              <w:sz w:val="16"/>
              <w:szCs w:val="16"/>
            </w:rPr>
          </w:pPr>
          <w:r>
            <w:rPr>
              <w:b/>
              <w:bCs/>
              <w:i/>
              <w:iCs/>
              <w:color w:val="000000"/>
              <w:spacing w:val="-2"/>
              <w:sz w:val="16"/>
              <w:szCs w:val="16"/>
            </w:rPr>
          </w:r>
        </w:p>
        <w:p>
          <w:pPr>
            <w:pStyle w:val="Normal"/>
            <w:widowControl w:val="false"/>
            <w:shd w:val="clear" w:color="auto" w:fill="FFFFFF"/>
            <w:spacing w:lineRule="auto" w:line="240" w:before="0" w:after="0"/>
            <w:jc w:val="right"/>
            <w:rPr>
              <w:b/>
              <w:bCs/>
              <w:i/>
              <w:i/>
              <w:iCs/>
              <w:color w:val="000000"/>
              <w:spacing w:val="-2"/>
              <w:sz w:val="16"/>
              <w:szCs w:val="16"/>
            </w:rPr>
          </w:pPr>
          <w:r>
            <w:rPr>
              <w:b/>
              <w:bCs/>
              <w:iCs/>
              <w:color w:val="000000"/>
              <w:spacing w:val="-2"/>
              <w:sz w:val="16"/>
              <w:szCs w:val="16"/>
            </w:rPr>
            <w:t>Ajuntament de Mataró</w:t>
          </w:r>
        </w:p>
        <w:p>
          <w:pPr>
            <w:pStyle w:val="Normal"/>
            <w:widowControl w:val="false"/>
            <w:shd w:val="clear" w:color="auto" w:fill="FFFFFF"/>
            <w:spacing w:lineRule="auto" w:line="240" w:before="0" w:after="0"/>
            <w:jc w:val="right"/>
            <w:rPr>
              <w:i/>
              <w:i/>
              <w:iCs/>
              <w:color w:val="000000"/>
              <w:spacing w:val="-2"/>
              <w:sz w:val="16"/>
              <w:szCs w:val="16"/>
            </w:rPr>
          </w:pPr>
          <w:r>
            <w:rPr>
              <w:iCs/>
              <w:color w:val="000000"/>
              <w:spacing w:val="-2"/>
              <w:sz w:val="16"/>
              <w:szCs w:val="16"/>
            </w:rPr>
            <w:t>La Riera, 48</w:t>
          </w:r>
        </w:p>
        <w:p>
          <w:pPr>
            <w:pStyle w:val="Normal"/>
            <w:widowControl w:val="false"/>
            <w:shd w:val="clear" w:color="auto" w:fill="FFFFFF"/>
            <w:spacing w:lineRule="auto" w:line="240" w:before="0" w:after="0"/>
            <w:jc w:val="right"/>
            <w:rPr>
              <w:i/>
              <w:i/>
              <w:iCs/>
              <w:color w:val="2B2BD2"/>
              <w:spacing w:val="-2"/>
              <w:sz w:val="16"/>
              <w:szCs w:val="16"/>
            </w:rPr>
          </w:pPr>
          <w:r>
            <w:rPr>
              <w:iCs/>
              <w:color w:val="2B2BD2"/>
              <w:spacing w:val="-2"/>
              <w:sz w:val="16"/>
              <w:szCs w:val="16"/>
            </w:rPr>
            <w:t xml:space="preserve">www.mataro.cat </w:t>
          </w:r>
        </w:p>
      </w:tc>
    </w:tr>
  </w:tbl>
  <w:p>
    <w:pPr>
      <w:pStyle w:val="Aj11pTtol"/>
      <w:pBdr>
        <w:top w:val="single" w:sz="40" w:space="1" w:color="000000"/>
        <w:bottom w:val="single" w:sz="40" w:space="1" w:color="000000"/>
      </w:pBdr>
      <w:rPr/>
    </w:pPr>
    <w:r>
      <w:rPr>
        <w:rStyle w:val="Aj11pTtolCar"/>
        <w:b/>
        <w:color w:val="A6A6A6"/>
      </w:rPr>
      <w:t>DECRETO</w:t>
    </w:r>
  </w:p>
  <w:p>
    <w:pPr>
      <w:pStyle w:val="Ttol"/>
      <w:widowControl/>
      <w:tabs>
        <w:tab w:val="clear" w:pos="709"/>
        <w:tab w:val="left" w:pos="5109" w:leader="none"/>
      </w:tabs>
      <w:spacing w:lineRule="exact" w:line="200" w:before="0" w:after="0"/>
      <w:ind w:left="0" w:right="-57" w:hanging="0"/>
      <w:jc w:val="right"/>
      <w:rPr>
        <w:sz w:val="16"/>
        <w:szCs w:val="16"/>
      </w:rPr>
    </w:pPr>
    <w:r>
      <w:rPr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Calibri" w:cs="Arial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85990"/>
    <w:pPr>
      <w:widowControl/>
      <w:bidi w:val="0"/>
      <w:spacing w:lineRule="auto" w:line="276" w:before="0" w:after="200"/>
      <w:jc w:val="left"/>
    </w:pPr>
    <w:rPr>
      <w:rFonts w:ascii="Arial" w:hAnsi="Arial" w:eastAsia="Calibri" w:cs="Arial"/>
      <w:color w:val="auto"/>
      <w:kern w:val="0"/>
      <w:sz w:val="20"/>
      <w:szCs w:val="20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qFormat/>
    <w:rsid w:val="00b85990"/>
    <w:rPr>
      <w:rFonts w:ascii="Arial" w:hAnsi="Arial" w:eastAsia="Times New Roman" w:cs="Arial"/>
      <w:sz w:val="24"/>
      <w:szCs w:val="24"/>
      <w:lang w:val="ca-ES" w:eastAsia="ca-ES"/>
    </w:rPr>
  </w:style>
  <w:style w:type="character" w:styleId="TextodegloboCar" w:customStyle="1">
    <w:name w:val="Texto de globo Car"/>
    <w:basedOn w:val="DefaultParagraphFont"/>
    <w:qFormat/>
    <w:rsid w:val="00b85990"/>
    <w:rPr>
      <w:rFonts w:ascii="Tahoma" w:hAnsi="Tahoma" w:eastAsia="Times New Roman" w:cs="Tahoma"/>
      <w:sz w:val="16"/>
      <w:szCs w:val="16"/>
      <w:lang w:val="ca-ES" w:eastAsia="ca-ES"/>
    </w:rPr>
  </w:style>
  <w:style w:type="character" w:styleId="PiedepginaCar" w:customStyle="1">
    <w:name w:val="Pie de página Car"/>
    <w:basedOn w:val="DefaultParagraphFont"/>
    <w:qFormat/>
    <w:rsid w:val="00b85990"/>
    <w:rPr>
      <w:rFonts w:ascii="Times New Roman" w:hAnsi="Times New Roman" w:eastAsia="Times New Roman" w:cs="Times New Roman"/>
      <w:lang w:val="ca-ES" w:eastAsia="ca-ES"/>
    </w:rPr>
  </w:style>
  <w:style w:type="character" w:styleId="Ttulo1Car" w:customStyle="1">
    <w:name w:val="Título 1 Car"/>
    <w:basedOn w:val="DefaultParagraphFont"/>
    <w:qFormat/>
    <w:rsid w:val="00b85990"/>
    <w:rPr>
      <w:rFonts w:ascii="Arial" w:hAnsi="Arial" w:eastAsia="Times New Roman" w:cs="Arial"/>
      <w:b/>
      <w:sz w:val="20"/>
      <w:szCs w:val="20"/>
      <w:lang w:val="ca-ES" w:eastAsia="ca-ES"/>
    </w:rPr>
  </w:style>
  <w:style w:type="character" w:styleId="Objecte" w:customStyle="1">
    <w:name w:val="Objecte"/>
    <w:basedOn w:val="DefaultParagraphFont"/>
    <w:qFormat/>
    <w:rsid w:val="00b85990"/>
    <w:rPr/>
  </w:style>
  <w:style w:type="character" w:styleId="Dataacta" w:customStyle="1">
    <w:name w:val="Data acta"/>
    <w:basedOn w:val="DefaultParagraphFont"/>
    <w:qFormat/>
    <w:rsid w:val="00b85990"/>
    <w:rPr/>
  </w:style>
  <w:style w:type="character" w:styleId="PargrafCar" w:customStyle="1">
    <w:name w:val="Paràgraf Car"/>
    <w:basedOn w:val="DefaultParagraphFont"/>
    <w:qFormat/>
    <w:rsid w:val="00b85990"/>
    <w:rPr>
      <w:rFonts w:ascii="Times New Roman" w:hAnsi="Times New Roman" w:eastAsia="Times New Roman" w:cs="Times New Roman"/>
      <w:sz w:val="24"/>
      <w:szCs w:val="24"/>
      <w:lang w:val="ca-ES" w:eastAsia="ca-ES"/>
    </w:rPr>
  </w:style>
  <w:style w:type="character" w:styleId="AjNormalCar" w:customStyle="1">
    <w:name w:val="Aj Normal Car"/>
    <w:basedOn w:val="PargrafCar"/>
    <w:qFormat/>
    <w:rsid w:val="00b85990"/>
    <w:rPr>
      <w:rFonts w:ascii="Times New Roman" w:hAnsi="Times New Roman" w:eastAsia="Times New Roman" w:cs="Times New Roman"/>
      <w:sz w:val="24"/>
      <w:szCs w:val="24"/>
      <w:lang w:val="ca-ES" w:eastAsia="ca-ES"/>
    </w:rPr>
  </w:style>
  <w:style w:type="character" w:styleId="AjTtolCar" w:customStyle="1">
    <w:name w:val="Aj Títol Car"/>
    <w:basedOn w:val="Ttulo1Car"/>
    <w:qFormat/>
    <w:rsid w:val="00b85990"/>
    <w:rPr>
      <w:rFonts w:ascii="Arial" w:hAnsi="Arial" w:eastAsia="Times New Roman" w:cs="Arial"/>
      <w:b/>
      <w:sz w:val="20"/>
      <w:szCs w:val="20"/>
      <w:lang w:val="ca-ES" w:eastAsia="ca-ES"/>
    </w:rPr>
  </w:style>
  <w:style w:type="character" w:styleId="PlaceholderText">
    <w:name w:val="Placeholder Text"/>
    <w:basedOn w:val="DefaultParagraphFont"/>
    <w:qFormat/>
    <w:rsid w:val="00b85990"/>
    <w:rPr>
      <w:color w:val="808080"/>
    </w:rPr>
  </w:style>
  <w:style w:type="character" w:styleId="Annotationreference">
    <w:name w:val="annotation reference"/>
    <w:basedOn w:val="DefaultParagraphFont"/>
    <w:qFormat/>
    <w:rsid w:val="00b85990"/>
    <w:rPr>
      <w:sz w:val="16"/>
      <w:szCs w:val="16"/>
    </w:rPr>
  </w:style>
  <w:style w:type="character" w:styleId="TextocomentarioCar" w:customStyle="1">
    <w:name w:val="Texto comentario Car"/>
    <w:basedOn w:val="DefaultParagraphFont"/>
    <w:qFormat/>
    <w:rsid w:val="00b85990"/>
    <w:rPr>
      <w:rFonts w:ascii="Times New Roman" w:hAnsi="Times New Roman" w:eastAsia="Times New Roman" w:cs="Times New Roman"/>
      <w:sz w:val="20"/>
      <w:szCs w:val="20"/>
      <w:lang w:val="ca-ES" w:eastAsia="ca-ES"/>
    </w:rPr>
  </w:style>
  <w:style w:type="character" w:styleId="AsuntodelcomentarioCar" w:customStyle="1">
    <w:name w:val="Asunto del comentario Car"/>
    <w:basedOn w:val="TextocomentarioCar"/>
    <w:qFormat/>
    <w:rsid w:val="00b85990"/>
    <w:rPr>
      <w:rFonts w:ascii="Times New Roman" w:hAnsi="Times New Roman" w:eastAsia="Times New Roman" w:cs="Times New Roman"/>
      <w:b/>
      <w:bCs/>
      <w:sz w:val="20"/>
      <w:szCs w:val="20"/>
      <w:lang w:val="ca-ES" w:eastAsia="ca-ES"/>
    </w:rPr>
  </w:style>
  <w:style w:type="character" w:styleId="AjTtol8pDtaCar" w:customStyle="1">
    <w:name w:val="Aj Títol 8p Dta Car"/>
    <w:basedOn w:val="EncabezadoCar"/>
    <w:qFormat/>
    <w:rsid w:val="00b85990"/>
    <w:rPr>
      <w:rFonts w:ascii="Arial" w:hAnsi="Arial" w:eastAsia="Times New Roman" w:cs="Arial"/>
      <w:b/>
      <w:sz w:val="16"/>
      <w:szCs w:val="24"/>
      <w:lang w:val="ca-ES" w:eastAsia="ca-ES"/>
    </w:rPr>
  </w:style>
  <w:style w:type="character" w:styleId="EnlladInternet">
    <w:name w:val="Hyperlink"/>
    <w:basedOn w:val="DefaultParagraphFont"/>
    <w:qFormat/>
    <w:rsid w:val="00b85990"/>
    <w:rPr>
      <w:color w:val="0000FF"/>
      <w:u w:val="single"/>
    </w:rPr>
  </w:style>
  <w:style w:type="character" w:styleId="Aj8pDtaCar" w:customStyle="1">
    <w:name w:val="Aj 8p Dta Car"/>
    <w:basedOn w:val="EncabezadoCar"/>
    <w:qFormat/>
    <w:rsid w:val="00b85990"/>
    <w:rPr>
      <w:rFonts w:ascii="Arial" w:hAnsi="Arial" w:eastAsia="Times New Roman" w:cs="Arial"/>
      <w:sz w:val="16"/>
      <w:szCs w:val="24"/>
      <w:lang w:val="ca-ES" w:eastAsia="ca-ES"/>
    </w:rPr>
  </w:style>
  <w:style w:type="character" w:styleId="Aj11pTtolCar" w:customStyle="1">
    <w:name w:val="Aj 11p Tìtol Car"/>
    <w:basedOn w:val="EncabezadoCar"/>
    <w:qFormat/>
    <w:rsid w:val="00b85990"/>
    <w:rPr>
      <w:rFonts w:ascii="Arial" w:hAnsi="Arial" w:eastAsia="Times New Roman" w:cs="Arial"/>
      <w:b/>
      <w:sz w:val="22"/>
      <w:szCs w:val="22"/>
      <w:lang w:val="ca-ES" w:eastAsia="ca-ES"/>
    </w:rPr>
  </w:style>
  <w:style w:type="character" w:styleId="EnlacedeInternet" w:customStyle="1">
    <w:name w:val="Enlace de Internet"/>
    <w:qFormat/>
    <w:rsid w:val="00b85990"/>
    <w:rPr>
      <w:color w:val="000080"/>
      <w:u w:val="single"/>
    </w:rPr>
  </w:style>
  <w:style w:type="character" w:styleId="Vietas" w:customStyle="1">
    <w:name w:val="Viñetas"/>
    <w:qFormat/>
    <w:rsid w:val="00b85990"/>
    <w:rPr>
      <w:rFonts w:ascii="OpenSymbol" w:hAnsi="OpenSymbol" w:eastAsia="OpenSymbol" w:cs="OpenSymbol"/>
    </w:rPr>
  </w:style>
  <w:style w:type="character" w:styleId="EncabezadoCar1" w:customStyle="1">
    <w:name w:val="Encabezado Car1"/>
    <w:basedOn w:val="DefaultParagraphFont"/>
    <w:uiPriority w:val="99"/>
    <w:qFormat/>
    <w:rsid w:val="00754d91"/>
    <w:rPr/>
  </w:style>
  <w:style w:type="character" w:styleId="PiedepginaCar1" w:customStyle="1">
    <w:name w:val="Pie de página Car1"/>
    <w:basedOn w:val="DefaultParagraphFont"/>
    <w:uiPriority w:val="99"/>
    <w:qFormat/>
    <w:rsid w:val="00754d91"/>
    <w:rPr/>
  </w:style>
  <w:style w:type="character" w:styleId="Textoindependiente2Car" w:customStyle="1">
    <w:name w:val="Texto independiente 2 Car"/>
    <w:basedOn w:val="DefaultParagraphFont"/>
    <w:link w:val="BodyText2"/>
    <w:uiPriority w:val="99"/>
    <w:semiHidden/>
    <w:qFormat/>
    <w:rsid w:val="00231ef0"/>
    <w:rPr>
      <w:lang w:val="ca-ES"/>
    </w:rPr>
  </w:style>
  <w:style w:type="paragraph" w:styleId="Encapalament">
    <w:name w:val="Encapçalament"/>
    <w:basedOn w:val="Normal"/>
    <w:next w:val="Cosdel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Cosdeltext">
    <w:name w:val="Body Text"/>
    <w:basedOn w:val="Normal"/>
    <w:rsid w:val="00b85990"/>
    <w:pPr>
      <w:spacing w:lineRule="auto" w:line="288" w:before="0" w:after="140"/>
    </w:pPr>
    <w:rPr/>
  </w:style>
  <w:style w:type="paragraph" w:styleId="Llista">
    <w:name w:val="List"/>
    <w:basedOn w:val="Cosdeltext"/>
    <w:pPr/>
    <w:rPr>
      <w:rFonts w:cs="Arial Unicode M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Arial Unicode MS"/>
    </w:rPr>
  </w:style>
  <w:style w:type="paragraph" w:styleId="Ttulo11" w:customStyle="1">
    <w:name w:val="Título 11"/>
    <w:basedOn w:val="Pargraf"/>
    <w:next w:val="Pargraf"/>
    <w:qFormat/>
    <w:rsid w:val="00b85990"/>
    <w:pPr>
      <w:widowControl/>
      <w:numPr>
        <w:ilvl w:val="0"/>
        <w:numId w:val="1"/>
      </w:numPr>
      <w:tabs>
        <w:tab w:val="clear" w:pos="227"/>
        <w:tab w:val="clear" w:pos="454"/>
        <w:tab w:val="clear" w:pos="680"/>
        <w:tab w:val="clear" w:pos="907"/>
        <w:tab w:val="clear" w:pos="1134"/>
        <w:tab w:val="left" w:pos="85" w:leader="none"/>
        <w:tab w:val="left" w:pos="312" w:leader="none"/>
        <w:tab w:val="left" w:pos="538" w:leader="none"/>
        <w:tab w:val="left" w:pos="765" w:leader="none"/>
        <w:tab w:val="left" w:pos="992" w:leader="none"/>
      </w:tabs>
      <w:spacing w:lineRule="exact" w:line="280" w:before="120" w:after="120"/>
      <w:ind w:left="142" w:right="142" w:hanging="0"/>
      <w:outlineLvl w:val="0"/>
    </w:pPr>
    <w:rPr>
      <w:rFonts w:ascii="Arial" w:hAnsi="Arial" w:cs="Arial"/>
      <w:b/>
      <w:sz w:val="20"/>
      <w:szCs w:val="20"/>
    </w:rPr>
  </w:style>
  <w:style w:type="paragraph" w:styleId="Ttol">
    <w:name w:val="Title"/>
    <w:basedOn w:val="LO-Normal"/>
    <w:qFormat/>
    <w:rsid w:val="00b85990"/>
    <w:pPr>
      <w:spacing w:before="240" w:after="480"/>
      <w:ind w:left="0" w:right="0" w:hanging="0"/>
    </w:pPr>
    <w:rPr>
      <w:rFonts w:ascii="Arial" w:hAnsi="Arial" w:cs="Arial"/>
      <w:sz w:val="24"/>
      <w:szCs w:val="24"/>
    </w:rPr>
  </w:style>
  <w:style w:type="paragraph" w:styleId="LO-Normal" w:customStyle="1">
    <w:name w:val="LO-Normal"/>
    <w:qFormat/>
    <w:rsid w:val="00b85990"/>
    <w:pPr>
      <w:widowControl w:val="false"/>
      <w:suppressAutoHyphens w:val="true"/>
      <w:bidi w:val="0"/>
      <w:spacing w:lineRule="auto" w:line="240" w:before="0" w:after="0"/>
      <w:ind w:left="1474" w:right="794" w:hanging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ca-ES" w:eastAsia="ca-ES" w:bidi="ar-SA"/>
    </w:rPr>
  </w:style>
  <w:style w:type="paragraph" w:styleId="BalloonText">
    <w:name w:val="Balloon Text"/>
    <w:basedOn w:val="LO-Normal"/>
    <w:qFormat/>
    <w:rsid w:val="00b85990"/>
    <w:pPr/>
    <w:rPr>
      <w:rFonts w:ascii="Tahoma" w:hAnsi="Tahoma" w:cs="Tahoma"/>
      <w:sz w:val="16"/>
      <w:szCs w:val="16"/>
    </w:rPr>
  </w:style>
  <w:style w:type="paragraph" w:styleId="Piedepgina1" w:customStyle="1">
    <w:name w:val="Pie de página1"/>
    <w:basedOn w:val="LO-Normal"/>
    <w:qFormat/>
    <w:rsid w:val="00b85990"/>
    <w:pPr>
      <w:tabs>
        <w:tab w:val="clear" w:pos="709"/>
        <w:tab w:val="center" w:pos="2778" w:leader="none"/>
        <w:tab w:val="right" w:pos="7030" w:leader="none"/>
      </w:tabs>
    </w:pPr>
    <w:rPr/>
  </w:style>
  <w:style w:type="paragraph" w:styleId="Pargraf" w:customStyle="1">
    <w:name w:val="Paràgraf"/>
    <w:basedOn w:val="LO-Normal"/>
    <w:uiPriority w:val="99"/>
    <w:qFormat/>
    <w:rsid w:val="00b85990"/>
    <w:pPr>
      <w:tabs>
        <w:tab w:val="clear" w:pos="709"/>
        <w:tab w:val="left" w:pos="227" w:leader="none"/>
        <w:tab w:val="left" w:pos="454" w:leader="none"/>
        <w:tab w:val="left" w:pos="680" w:leader="none"/>
        <w:tab w:val="left" w:pos="907" w:leader="none"/>
        <w:tab w:val="left" w:pos="1134" w:leader="none"/>
      </w:tabs>
      <w:ind w:left="0" w:right="0" w:hanging="0"/>
      <w:jc w:val="both"/>
    </w:pPr>
    <w:rPr>
      <w:sz w:val="24"/>
      <w:szCs w:val="24"/>
    </w:rPr>
  </w:style>
  <w:style w:type="paragraph" w:styleId="Taula" w:customStyle="1">
    <w:name w:val="Taula"/>
    <w:basedOn w:val="LO-Normal"/>
    <w:uiPriority w:val="99"/>
    <w:qFormat/>
    <w:rsid w:val="00b85990"/>
    <w:pPr>
      <w:ind w:left="0" w:right="284" w:hanging="0"/>
    </w:pPr>
    <w:rPr>
      <w:sz w:val="24"/>
      <w:szCs w:val="24"/>
    </w:rPr>
  </w:style>
  <w:style w:type="paragraph" w:styleId="AjNormal" w:customStyle="1">
    <w:name w:val="Aj Normal"/>
    <w:basedOn w:val="Pargraf"/>
    <w:qFormat/>
    <w:rsid w:val="00b85990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lineRule="exact" w:line="280" w:before="120" w:after="120"/>
      <w:ind w:left="142" w:right="142" w:hanging="0"/>
    </w:pPr>
    <w:rPr>
      <w:rFonts w:ascii="Arial" w:hAnsi="Arial" w:cs="Arial"/>
      <w:sz w:val="20"/>
      <w:szCs w:val="20"/>
    </w:rPr>
  </w:style>
  <w:style w:type="paragraph" w:styleId="AjTtol" w:customStyle="1">
    <w:name w:val="Aj Títol"/>
    <w:basedOn w:val="Ttulo11"/>
    <w:qFormat/>
    <w:rsid w:val="00b85990"/>
    <w:pPr>
      <w:numPr>
        <w:ilvl w:val="0"/>
        <w:numId w:val="0"/>
      </w:numPr>
      <w:ind w:left="142" w:right="142" w:hanging="0"/>
    </w:pPr>
    <w:rPr/>
  </w:style>
  <w:style w:type="paragraph" w:styleId="Annotationtext">
    <w:name w:val="annotation text"/>
    <w:basedOn w:val="LO-Normal"/>
    <w:qFormat/>
    <w:rsid w:val="00b85990"/>
    <w:pPr/>
    <w:rPr/>
  </w:style>
  <w:style w:type="paragraph" w:styleId="Annotationsubject">
    <w:name w:val="annotation subject"/>
    <w:basedOn w:val="Annotationtext"/>
    <w:next w:val="Annotationtext"/>
    <w:qFormat/>
    <w:rsid w:val="00b85990"/>
    <w:pPr/>
    <w:rPr>
      <w:b/>
      <w:bCs/>
    </w:rPr>
  </w:style>
  <w:style w:type="paragraph" w:styleId="Revision">
    <w:name w:val="Revision"/>
    <w:qFormat/>
    <w:rsid w:val="00b8599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ca-ES" w:eastAsia="ca-ES" w:bidi="ar-SA"/>
    </w:rPr>
  </w:style>
  <w:style w:type="paragraph" w:styleId="AjTtol8pDta" w:customStyle="1">
    <w:name w:val="Aj Títol 8p Dta"/>
    <w:basedOn w:val="Ttol"/>
    <w:qFormat/>
    <w:rsid w:val="00b85990"/>
    <w:pPr>
      <w:widowControl/>
      <w:tabs>
        <w:tab w:val="clear" w:pos="709"/>
        <w:tab w:val="left" w:pos="5109" w:leader="none"/>
      </w:tabs>
      <w:spacing w:before="240" w:after="280"/>
      <w:ind w:left="0" w:right="-57" w:hanging="0"/>
      <w:jc w:val="right"/>
    </w:pPr>
    <w:rPr>
      <w:b/>
      <w:sz w:val="16"/>
    </w:rPr>
  </w:style>
  <w:style w:type="paragraph" w:styleId="Aj8pDta" w:customStyle="1">
    <w:name w:val="Aj 8p Dta"/>
    <w:basedOn w:val="Ttol"/>
    <w:qFormat/>
    <w:rsid w:val="00b85990"/>
    <w:pPr>
      <w:widowControl/>
      <w:tabs>
        <w:tab w:val="clear" w:pos="709"/>
        <w:tab w:val="left" w:pos="5109" w:leader="none"/>
      </w:tabs>
      <w:spacing w:before="240" w:after="280"/>
      <w:ind w:left="0" w:right="-57" w:hanging="0"/>
      <w:jc w:val="right"/>
    </w:pPr>
    <w:rPr>
      <w:sz w:val="16"/>
    </w:rPr>
  </w:style>
  <w:style w:type="paragraph" w:styleId="Aj11pTtol" w:customStyle="1">
    <w:name w:val="Aj 11p Tìtol"/>
    <w:basedOn w:val="Ttol"/>
    <w:qFormat/>
    <w:rsid w:val="00b85990"/>
    <w:pPr>
      <w:spacing w:before="240" w:after="0"/>
      <w:ind w:left="0" w:right="-57" w:hanging="0"/>
    </w:pPr>
    <w:rPr>
      <w:b/>
      <w:sz w:val="22"/>
      <w:szCs w:val="22"/>
    </w:rPr>
  </w:style>
  <w:style w:type="paragraph" w:styleId="Encabezado1" w:customStyle="1">
    <w:name w:val="Encabezado1"/>
    <w:basedOn w:val="Normal"/>
    <w:qFormat/>
    <w:rsid w:val="00b85990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ntenidodelatabla" w:customStyle="1">
    <w:name w:val="Contenido de la tabla"/>
    <w:basedOn w:val="Normal"/>
    <w:qFormat/>
    <w:rsid w:val="00b85990"/>
    <w:pPr>
      <w:suppressLineNumbers/>
    </w:pPr>
    <w:rPr/>
  </w:style>
  <w:style w:type="paragraph" w:styleId="Capaleraipeu">
    <w:name w:val="Capçalera i peu"/>
    <w:basedOn w:val="Normal"/>
    <w:qFormat/>
    <w:pPr/>
    <w:rPr/>
  </w:style>
  <w:style w:type="paragraph" w:styleId="Capalera">
    <w:name w:val="Header"/>
    <w:basedOn w:val="Normal"/>
    <w:link w:val="EncabezadoCar1"/>
    <w:uiPriority w:val="99"/>
    <w:unhideWhenUsed/>
    <w:rsid w:val="00754d91"/>
    <w:pPr>
      <w:tabs>
        <w:tab w:val="clear" w:pos="709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eudepgina">
    <w:name w:val="Footer"/>
    <w:basedOn w:val="Normal"/>
    <w:link w:val="PiedepginaCar1"/>
    <w:uiPriority w:val="99"/>
    <w:unhideWhenUsed/>
    <w:rsid w:val="00754d91"/>
    <w:pPr>
      <w:tabs>
        <w:tab w:val="clear" w:pos="709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sdetext" w:customStyle="1">
    <w:name w:val="Cos de text"/>
    <w:qFormat/>
    <w:rsid w:val="00d84fa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0"/>
      <w:lang w:val="ca-ES" w:eastAsia="es-ES" w:bidi="ar-SA"/>
    </w:rPr>
  </w:style>
  <w:style w:type="paragraph" w:styleId="BodyText2">
    <w:name w:val="Body Text 2"/>
    <w:basedOn w:val="Normal"/>
    <w:link w:val="Textoindependiente2Car"/>
    <w:uiPriority w:val="99"/>
    <w:semiHidden/>
    <w:unhideWhenUsed/>
    <w:qFormat/>
    <w:rsid w:val="00231ef0"/>
    <w:pPr>
      <w:spacing w:lineRule="auto" w:line="480" w:before="0" w:after="12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Application>LibreOffice/7.5.2.2$Windows_X86_64 LibreOffice_project/53bb9681a964705cf672590721dbc85eb4d0c3a2</Application>
  <AppVersion>15.0000</AppVersion>
  <Pages>2</Pages>
  <Words>489</Words>
  <Characters>2644</Characters>
  <CharactersWithSpaces>3134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2020-07-24T10:54:00Z</dcterms:created>
  <dc:creator>Cristian González Murga</dc:creator>
  <dc:description/>
  <dc:language>es-ES</dc:language>
  <cp:lastModifiedBy/>
  <cp:lastPrinted>2018-02-09T12:51:00Z</cp:lastPrinted>
  <dcterms:modified xsi:type="dcterms:W3CDTF">2023-11-08T13:34:37Z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