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89DEC" w14:textId="1B49280B" w:rsidR="00C62578" w:rsidRPr="004F1CAD" w:rsidRDefault="00024576">
      <w:pPr>
        <w:pStyle w:val="Ttulo"/>
        <w:rPr>
          <w:rFonts w:ascii="Verdana" w:hAnsi="Verdana"/>
        </w:rPr>
      </w:pPr>
      <w:bookmarkStart w:id="0" w:name="_Hlk105586858"/>
      <w:r>
        <w:rPr>
          <w:rFonts w:ascii="Verdana" w:hAnsi="Verdana"/>
          <w:noProof/>
        </w:rPr>
        <w:drawing>
          <wp:anchor distT="0" distB="0" distL="114300" distR="114300" simplePos="0" relativeHeight="251659264" behindDoc="0" locked="0" layoutInCell="1" allowOverlap="1" wp14:anchorId="0336A276" wp14:editId="4AE055D2">
            <wp:simplePos x="0" y="0"/>
            <wp:positionH relativeFrom="column">
              <wp:posOffset>2470150</wp:posOffset>
            </wp:positionH>
            <wp:positionV relativeFrom="paragraph">
              <wp:posOffset>-228600</wp:posOffset>
            </wp:positionV>
            <wp:extent cx="581025" cy="957580"/>
            <wp:effectExtent l="0" t="0" r="952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95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B23" w:rsidRPr="004F1CAD">
        <w:rPr>
          <w:rFonts w:ascii="Verdana" w:hAnsi="Verdana"/>
        </w:rPr>
        <w:t>ANEXO</w:t>
      </w:r>
      <w:r w:rsidR="00FE3B23" w:rsidRPr="004F1CAD">
        <w:rPr>
          <w:rFonts w:ascii="Verdana" w:hAnsi="Verdana"/>
          <w:spacing w:val="-1"/>
        </w:rPr>
        <w:t xml:space="preserve"> </w:t>
      </w:r>
      <w:r w:rsidR="00FE3B23" w:rsidRPr="004F1CAD">
        <w:rPr>
          <w:rFonts w:ascii="Verdana" w:hAnsi="Verdana"/>
        </w:rPr>
        <w:t>I</w:t>
      </w:r>
      <w:r>
        <w:rPr>
          <w:rFonts w:ascii="Verdana" w:hAnsi="Verdana"/>
        </w:rPr>
        <w:t>I</w:t>
      </w:r>
    </w:p>
    <w:p w14:paraId="5C1F4990" w14:textId="77777777" w:rsidR="00C62578" w:rsidRDefault="00C62578">
      <w:pPr>
        <w:pStyle w:val="Textoindependiente"/>
        <w:rPr>
          <w:b/>
          <w:sz w:val="20"/>
        </w:rPr>
      </w:pPr>
    </w:p>
    <w:p w14:paraId="3756098E" w14:textId="77777777" w:rsidR="00C62578" w:rsidRDefault="00C62578">
      <w:pPr>
        <w:pStyle w:val="Textoindependiente"/>
        <w:rPr>
          <w:b/>
          <w:sz w:val="20"/>
        </w:rPr>
      </w:pPr>
    </w:p>
    <w:p w14:paraId="7AB96A2B" w14:textId="77777777" w:rsidR="00C62578" w:rsidRDefault="00C62578">
      <w:pPr>
        <w:pStyle w:val="Textoindependiente"/>
        <w:spacing w:before="3"/>
        <w:rPr>
          <w:b/>
          <w:sz w:val="20"/>
        </w:rPr>
      </w:pPr>
    </w:p>
    <w:p w14:paraId="362AEECE" w14:textId="77777777" w:rsidR="00C62578" w:rsidRDefault="00FE3B23">
      <w:pPr>
        <w:spacing w:before="104"/>
        <w:ind w:left="2269" w:right="2323"/>
        <w:jc w:val="center"/>
        <w:rPr>
          <w:rFonts w:ascii="MV Boli"/>
          <w:b/>
          <w:i/>
          <w:sz w:val="23"/>
        </w:rPr>
      </w:pPr>
      <w:r>
        <w:rPr>
          <w:rFonts w:ascii="MV Boli"/>
          <w:b/>
          <w:i/>
          <w:w w:val="95"/>
          <w:sz w:val="23"/>
        </w:rPr>
        <w:t>Ayuntamiento</w:t>
      </w:r>
      <w:r>
        <w:rPr>
          <w:rFonts w:ascii="MV Boli"/>
          <w:b/>
          <w:i/>
          <w:spacing w:val="2"/>
          <w:w w:val="95"/>
          <w:sz w:val="23"/>
        </w:rPr>
        <w:t xml:space="preserve"> </w:t>
      </w:r>
      <w:r>
        <w:rPr>
          <w:rFonts w:ascii="MV Boli"/>
          <w:b/>
          <w:i/>
          <w:w w:val="95"/>
          <w:sz w:val="23"/>
        </w:rPr>
        <w:t>de</w:t>
      </w:r>
      <w:r>
        <w:rPr>
          <w:rFonts w:ascii="MV Boli"/>
          <w:b/>
          <w:i/>
          <w:spacing w:val="6"/>
          <w:w w:val="95"/>
          <w:sz w:val="23"/>
        </w:rPr>
        <w:t xml:space="preserve"> </w:t>
      </w:r>
      <w:r>
        <w:rPr>
          <w:rFonts w:ascii="MV Boli"/>
          <w:b/>
          <w:i/>
          <w:w w:val="95"/>
          <w:sz w:val="23"/>
        </w:rPr>
        <w:t>Benij</w:t>
      </w:r>
      <w:r>
        <w:rPr>
          <w:rFonts w:ascii="MV Boli"/>
          <w:b/>
          <w:i/>
          <w:w w:val="95"/>
          <w:sz w:val="23"/>
        </w:rPr>
        <w:t>ó</w:t>
      </w:r>
      <w:r>
        <w:rPr>
          <w:rFonts w:ascii="MV Boli"/>
          <w:b/>
          <w:i/>
          <w:w w:val="95"/>
          <w:sz w:val="23"/>
        </w:rPr>
        <w:t>far</w:t>
      </w:r>
    </w:p>
    <w:p w14:paraId="55FDE94D" w14:textId="77777777" w:rsidR="00024576" w:rsidRDefault="00024576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  <w:rPr>
          <w:rFonts w:ascii="Verdana" w:hAnsi="Verdana"/>
          <w:b/>
        </w:rPr>
      </w:pPr>
      <w:r w:rsidRPr="00024576">
        <w:rPr>
          <w:rFonts w:ascii="Verdana" w:hAnsi="Verdana"/>
          <w:b/>
        </w:rPr>
        <w:t>CONVOCATORIA DE SUBVENCIONES CON DESTINO A MINIMIZAR EL IMPACTO ECONÓMICO QUE LA CRISIS ESTÁ SUPONIENDO SOBRE PYMES, MICROPYMES, PEQUEÑOS EMPRESARIOS AUTÓNOMOS Y PROFESIONALES DEL MUNICIPIO DE BENIJÓFAR EN EL CONTEXTO DE LA INVASIÓN DE UCRANIA POR PARTE DE RUSIA, ANUALIDAD 2023</w:t>
      </w:r>
    </w:p>
    <w:p w14:paraId="7170D922" w14:textId="77DF8BAA" w:rsidR="00C62578" w:rsidRPr="004F1CAD" w:rsidRDefault="00FE3B23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  <w:rPr>
          <w:rFonts w:ascii="Verdana" w:hAnsi="Verdana"/>
        </w:rPr>
      </w:pPr>
      <w:r w:rsidRPr="004F1CAD">
        <w:rPr>
          <w:rFonts w:ascii="Verdana" w:hAnsi="Verdana"/>
        </w:rPr>
        <w:t>D</w:t>
      </w:r>
      <w:r w:rsidRPr="004F1CAD">
        <w:rPr>
          <w:rFonts w:ascii="Verdana" w:hAnsi="Verdana"/>
          <w:spacing w:val="-5"/>
        </w:rPr>
        <w:t xml:space="preserve"> </w:t>
      </w:r>
      <w:r w:rsidRPr="004F1CAD">
        <w:rPr>
          <w:rFonts w:ascii="Verdana" w:hAnsi="Verdana"/>
        </w:rPr>
        <w:t>/</w:t>
      </w:r>
      <w:r w:rsidRPr="004F1CAD">
        <w:rPr>
          <w:rFonts w:ascii="Verdana" w:hAnsi="Verdana"/>
          <w:spacing w:val="-5"/>
        </w:rPr>
        <w:t xml:space="preserve"> </w:t>
      </w:r>
      <w:r w:rsidRPr="004F1CAD">
        <w:rPr>
          <w:rFonts w:ascii="Verdana" w:hAnsi="Verdana"/>
        </w:rPr>
        <w:t>D.</w:t>
      </w:r>
      <w:r w:rsidRPr="004F1CAD">
        <w:rPr>
          <w:rFonts w:ascii="Verdana" w:hAnsi="Verdana"/>
          <w:spacing w:val="-7"/>
        </w:rPr>
        <w:t xml:space="preserve"> </w:t>
      </w:r>
      <w:r w:rsidRPr="004F1CAD">
        <w:rPr>
          <w:rFonts w:ascii="Verdana" w:hAnsi="Verdana"/>
        </w:rPr>
        <w:t>ª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</w:rPr>
        <w:t>,</w:t>
      </w:r>
      <w:r w:rsidRPr="004F1CAD">
        <w:rPr>
          <w:rFonts w:ascii="Verdana" w:hAnsi="Verdana"/>
          <w:spacing w:val="-11"/>
        </w:rPr>
        <w:t xml:space="preserve"> </w:t>
      </w:r>
      <w:r w:rsidRPr="004F1CAD">
        <w:rPr>
          <w:rFonts w:ascii="Verdana" w:hAnsi="Verdana"/>
        </w:rPr>
        <w:t>con</w:t>
      </w:r>
      <w:r w:rsidRPr="004F1CAD">
        <w:rPr>
          <w:rFonts w:ascii="Verdana" w:hAnsi="Verdana"/>
          <w:spacing w:val="-5"/>
        </w:rPr>
        <w:t xml:space="preserve"> </w:t>
      </w:r>
      <w:r w:rsidRPr="004F1CAD">
        <w:rPr>
          <w:rFonts w:ascii="Verdana" w:hAnsi="Verdana"/>
        </w:rPr>
        <w:t>DNI/NIE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  <w:spacing w:val="-1"/>
        </w:rPr>
        <w:t>,</w:t>
      </w:r>
      <w:r w:rsidRPr="004F1CAD">
        <w:rPr>
          <w:rFonts w:ascii="Verdana" w:hAnsi="Verdana"/>
          <w:spacing w:val="-53"/>
        </w:rPr>
        <w:t xml:space="preserve"> </w:t>
      </w:r>
      <w:r w:rsidRPr="004F1CAD">
        <w:rPr>
          <w:rFonts w:ascii="Verdana" w:hAnsi="Verdana"/>
        </w:rPr>
        <w:t>actuando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en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nombre</w:t>
      </w:r>
      <w:r w:rsidRPr="004F1CAD">
        <w:rPr>
          <w:rFonts w:ascii="Verdana" w:hAnsi="Verdana"/>
          <w:spacing w:val="52"/>
        </w:rPr>
        <w:t xml:space="preserve"> </w:t>
      </w:r>
      <w:r w:rsidRPr="004F1CAD">
        <w:rPr>
          <w:rFonts w:ascii="Verdana" w:hAnsi="Verdana"/>
        </w:rPr>
        <w:t>propio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/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como</w:t>
      </w:r>
      <w:r w:rsidRPr="004F1CAD">
        <w:rPr>
          <w:rFonts w:ascii="Verdana" w:hAnsi="Verdana"/>
          <w:spacing w:val="54"/>
        </w:rPr>
        <w:t xml:space="preserve"> </w:t>
      </w:r>
      <w:r w:rsidRPr="004F1CAD">
        <w:rPr>
          <w:rFonts w:ascii="Verdana" w:hAnsi="Verdana"/>
        </w:rPr>
        <w:t>representante</w:t>
      </w:r>
      <w:r w:rsidRPr="004F1CAD">
        <w:rPr>
          <w:rFonts w:ascii="Verdana" w:hAnsi="Verdana"/>
          <w:spacing w:val="55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52"/>
        </w:rPr>
        <w:t xml:space="preserve"> </w:t>
      </w:r>
      <w:r w:rsidRPr="004F1CAD">
        <w:rPr>
          <w:rFonts w:ascii="Verdana" w:hAnsi="Verdana"/>
        </w:rPr>
        <w:t>la</w:t>
      </w:r>
      <w:r w:rsidRPr="004F1CAD">
        <w:rPr>
          <w:rFonts w:ascii="Verdana" w:hAnsi="Verdana"/>
          <w:spacing w:val="55"/>
        </w:rPr>
        <w:t xml:space="preserve"> </w:t>
      </w:r>
      <w:r w:rsidRPr="004F1CAD">
        <w:rPr>
          <w:rFonts w:ascii="Verdana" w:hAnsi="Verdana"/>
        </w:rPr>
        <w:t>empresa</w:t>
      </w:r>
    </w:p>
    <w:p w14:paraId="1146E53D" w14:textId="524AF381" w:rsidR="00C62578" w:rsidRPr="004F1CAD" w:rsidRDefault="00FE3B23">
      <w:pPr>
        <w:pStyle w:val="Textoindependiente"/>
        <w:tabs>
          <w:tab w:val="left" w:pos="4224"/>
          <w:tab w:val="left" w:pos="6444"/>
        </w:tabs>
        <w:spacing w:line="259" w:lineRule="auto"/>
        <w:ind w:left="102" w:right="155"/>
        <w:jc w:val="both"/>
        <w:rPr>
          <w:rFonts w:ascii="Verdana" w:hAnsi="Verdana"/>
        </w:rPr>
      </w:pPr>
      <w:r w:rsidRPr="004F1CAD">
        <w:rPr>
          <w:rFonts w:ascii="Verdana" w:hAnsi="Verdana"/>
          <w:u w:val="single"/>
        </w:rPr>
        <w:t xml:space="preserve"> 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</w:rPr>
        <w:t>(CIF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</w:rPr>
        <w:t>), de conformidad a las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BASES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REGULADORAS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Y</w:t>
      </w:r>
      <w:r w:rsidRPr="004F1CAD">
        <w:rPr>
          <w:rFonts w:ascii="Verdana" w:hAnsi="Verdana"/>
          <w:spacing w:val="1"/>
        </w:rPr>
        <w:t xml:space="preserve"> </w:t>
      </w:r>
      <w:r w:rsidR="00A0124C" w:rsidRPr="00A0124C">
        <w:rPr>
          <w:rFonts w:ascii="Verdana" w:hAnsi="Verdana"/>
        </w:rPr>
        <w:t>CONVOCATORIA DE SUBVENCIONES CON DESTINO A MINIMIZAR EL IMPACTO ECONÓMICO QUE LA CRISIS ESTÁ SUPONIENDO SOBRE PYMES, MICROPYMES, PEQUEÑOS EMPRESARIOS AUTÓNOMOS Y PROFESIONALES DEL MUNICIPIO DE BENIJÓFAR EN EL CONTEXTO DE LA INVASIÓN DE UCRANIA POR PARTE DE RUSIA, ANUALIDAD 2023</w:t>
      </w:r>
    </w:p>
    <w:p w14:paraId="67D5209C" w14:textId="77777777" w:rsidR="00C62578" w:rsidRPr="004F1CAD" w:rsidRDefault="00C62578">
      <w:pPr>
        <w:pStyle w:val="Textoindependiente"/>
        <w:spacing w:before="2"/>
        <w:rPr>
          <w:rFonts w:ascii="Verdana" w:hAnsi="Verdana"/>
          <w:sz w:val="23"/>
        </w:rPr>
      </w:pPr>
    </w:p>
    <w:p w14:paraId="7650FD80" w14:textId="76D130D3" w:rsidR="00C62578" w:rsidRPr="004F1CAD" w:rsidRDefault="00FE3B23">
      <w:pPr>
        <w:pStyle w:val="Textoindependiente"/>
        <w:ind w:left="2659" w:right="2715"/>
        <w:jc w:val="center"/>
        <w:rPr>
          <w:rFonts w:ascii="Verdana" w:hAnsi="Verdana"/>
        </w:rPr>
      </w:pPr>
      <w:r w:rsidRPr="004F1CAD">
        <w:rPr>
          <w:rFonts w:ascii="Verdana" w:hAnsi="Verdana"/>
        </w:rPr>
        <w:t>DECLARA</w:t>
      </w:r>
      <w:r w:rsidR="00A0124C">
        <w:rPr>
          <w:rFonts w:ascii="Verdana" w:hAnsi="Verdana"/>
          <w:spacing w:val="-4"/>
        </w:rPr>
        <w:t xml:space="preserve"> </w:t>
      </w:r>
      <w:r w:rsidRPr="004F1CAD">
        <w:rPr>
          <w:rFonts w:ascii="Verdana" w:hAnsi="Verdana"/>
        </w:rPr>
        <w:t>RESPONSABLEMENTE</w:t>
      </w:r>
    </w:p>
    <w:p w14:paraId="1C1A08DE" w14:textId="77777777" w:rsidR="00C62578" w:rsidRPr="004F1CAD" w:rsidRDefault="00C62578">
      <w:pPr>
        <w:pStyle w:val="Textoindependiente"/>
        <w:spacing w:before="6"/>
        <w:rPr>
          <w:rFonts w:ascii="Verdana" w:hAnsi="Verdana"/>
          <w:sz w:val="27"/>
        </w:rPr>
      </w:pPr>
    </w:p>
    <w:p w14:paraId="1D7D4F01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 el solicitante es autónomo, pyme o microempresa de conformidad con el Anexo I del Reglamento (UE) n.º 651/2014 de la Comisión Europea, de 17 de junio de 2014.</w:t>
      </w:r>
    </w:p>
    <w:p w14:paraId="6B4C9FB8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 la media de rendimientos netos de los meses por los que se solicita ayuda es igual o inferior a la media de rendimientos netos obtenidos en los mismos meses durante la anualidad 2021.</w:t>
      </w:r>
    </w:p>
    <w:p w14:paraId="7598452F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 el solicitante no tiene deuda pendiente en periodo ejecutivo con el Ayuntamiento de Benijófar, autorizando expresamente a éste a la comprobación de tal información.</w:t>
      </w:r>
    </w:p>
    <w:p w14:paraId="6DA31947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 el solicitante no está incurso en las prohibiciones para obtener la condición de beneficiaria y para ser receptora del pago establecido en la Ley 38/2003, de 17 de noviembre, y en concreto apartados 2 y 3 del artículo 13 y el apartado 5 del artículo 34 de la misma.</w:t>
      </w:r>
    </w:p>
    <w:p w14:paraId="250DA6B7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 el solicitante se compromete al cumplimiento de las obligaciones de las personas beneficiarias de subvenciones, establecidas en el artículo 14 de la Ley 38/2003, de 17 de noviembre.</w:t>
      </w:r>
    </w:p>
    <w:p w14:paraId="17C17FF1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 los gastos presentados en esta convocatoria no han sido presentados para la obtención y justificación de otras ayudas públicas.</w:t>
      </w:r>
    </w:p>
    <w:p w14:paraId="755602A2" w14:textId="77777777" w:rsidR="00760E7B" w:rsidRPr="00760E7B" w:rsidRDefault="00760E7B" w:rsidP="00760E7B">
      <w:pPr>
        <w:pStyle w:val="Textoindependiente"/>
        <w:numPr>
          <w:ilvl w:val="0"/>
          <w:numId w:val="2"/>
        </w:numPr>
        <w:rPr>
          <w:rFonts w:ascii="Verdana" w:hAnsi="Verdana"/>
        </w:rPr>
      </w:pPr>
      <w:r w:rsidRPr="00760E7B">
        <w:rPr>
          <w:rFonts w:ascii="Verdana" w:hAnsi="Verdana"/>
        </w:rPr>
        <w:t>Que, en caso de tratarse de una comunidad de bienes, sociedad civil u otra entidad económica sin personalidad jurídica, no se disolverá hasta que haya transcurrido el plazo de prescripción previsto en los artículos 39 y 65 de la Ley 38/2003, de 17 de noviembre, General de Subvenciones, de acuerdo con lo establecido en el artículo 11 de dicha ley.</w:t>
      </w:r>
    </w:p>
    <w:p w14:paraId="5059AC8D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1B3D7DA8" w14:textId="77777777" w:rsidR="00C62578" w:rsidRPr="004F1CAD" w:rsidRDefault="00C62578">
      <w:pPr>
        <w:pStyle w:val="Textoindependiente"/>
        <w:spacing w:before="8"/>
        <w:rPr>
          <w:rFonts w:ascii="Verdana" w:hAnsi="Verdana"/>
        </w:rPr>
      </w:pPr>
    </w:p>
    <w:p w14:paraId="210A671B" w14:textId="45772ADA" w:rsidR="00C62578" w:rsidRPr="004F1CAD" w:rsidRDefault="00FE3B23">
      <w:pPr>
        <w:pStyle w:val="Textoindependiente"/>
        <w:tabs>
          <w:tab w:val="left" w:pos="2980"/>
          <w:tab w:val="left" w:pos="4941"/>
        </w:tabs>
        <w:ind w:right="157"/>
        <w:jc w:val="right"/>
        <w:rPr>
          <w:rFonts w:ascii="Verdana" w:hAnsi="Verdana"/>
        </w:rPr>
      </w:pPr>
      <w:r w:rsidRPr="004F1CAD">
        <w:rPr>
          <w:rFonts w:ascii="Verdana" w:hAnsi="Verdana"/>
        </w:rPr>
        <w:t>En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Benijófar,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a</w:t>
      </w:r>
      <w:r w:rsidRPr="004F1CAD">
        <w:rPr>
          <w:rFonts w:ascii="Verdana" w:hAnsi="Verdana"/>
          <w:u w:val="single"/>
        </w:rPr>
        <w:tab/>
      </w:r>
      <w:proofErr w:type="spellStart"/>
      <w:r w:rsidRPr="004F1CAD">
        <w:rPr>
          <w:rFonts w:ascii="Verdana" w:hAnsi="Verdana"/>
        </w:rPr>
        <w:t>de</w:t>
      </w:r>
      <w:proofErr w:type="spellEnd"/>
      <w:r w:rsidRPr="004F1CAD">
        <w:rPr>
          <w:rFonts w:ascii="Verdana" w:hAnsi="Verdana"/>
          <w:u w:val="single"/>
        </w:rPr>
        <w:tab/>
      </w:r>
      <w:proofErr w:type="spellStart"/>
      <w:r w:rsidRPr="004F1CAD">
        <w:rPr>
          <w:rFonts w:ascii="Verdana" w:hAnsi="Verdana"/>
        </w:rPr>
        <w:t>de</w:t>
      </w:r>
      <w:proofErr w:type="spellEnd"/>
      <w:r w:rsidRPr="004F1CAD">
        <w:rPr>
          <w:rFonts w:ascii="Verdana" w:hAnsi="Verdana"/>
        </w:rPr>
        <w:t xml:space="preserve"> 202</w:t>
      </w:r>
      <w:r w:rsidR="00024576">
        <w:rPr>
          <w:rFonts w:ascii="Verdana" w:hAnsi="Verdana"/>
        </w:rPr>
        <w:t>3</w:t>
      </w:r>
    </w:p>
    <w:p w14:paraId="27223ED1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67D0A0C1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49B3FB3B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76750B12" w14:textId="435CD6FF" w:rsidR="00C62578" w:rsidRPr="004F1CAD" w:rsidRDefault="00FE3B23" w:rsidP="00A0124C">
      <w:pPr>
        <w:pStyle w:val="Textoindependiente"/>
        <w:tabs>
          <w:tab w:val="left" w:pos="4351"/>
        </w:tabs>
        <w:spacing w:before="198"/>
        <w:ind w:right="105"/>
        <w:rPr>
          <w:rFonts w:ascii="Verdana" w:hAnsi="Verdana"/>
        </w:rPr>
      </w:pPr>
      <w:r w:rsidRPr="004F1CAD">
        <w:rPr>
          <w:rFonts w:ascii="Verdana" w:hAnsi="Verdana"/>
        </w:rPr>
        <w:t xml:space="preserve">Fdo. </w:t>
      </w:r>
      <w:r w:rsidRPr="004F1CAD">
        <w:rPr>
          <w:rFonts w:ascii="Verdana" w:hAnsi="Verdana"/>
          <w:u w:val="single"/>
        </w:rPr>
        <w:t xml:space="preserve"> </w:t>
      </w:r>
      <w:r w:rsidRPr="004F1CAD">
        <w:rPr>
          <w:rFonts w:ascii="Verdana" w:hAnsi="Verdana"/>
          <w:u w:val="single"/>
        </w:rPr>
        <w:tab/>
      </w:r>
      <w:bookmarkEnd w:id="0"/>
    </w:p>
    <w:sectPr w:rsidR="00C62578" w:rsidRPr="004F1CA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451B"/>
    <w:multiLevelType w:val="hybridMultilevel"/>
    <w:tmpl w:val="C750CEE6"/>
    <w:lvl w:ilvl="0" w:tplc="F1E6C672">
      <w:numFmt w:val="bullet"/>
      <w:lvlText w:val="-"/>
      <w:lvlJc w:val="left"/>
      <w:pPr>
        <w:ind w:left="102" w:hanging="137"/>
      </w:pPr>
      <w:rPr>
        <w:rFonts w:ascii="Garamond" w:eastAsia="Garamond" w:hAnsi="Garamond" w:cs="Garamond" w:hint="default"/>
        <w:w w:val="100"/>
        <w:sz w:val="22"/>
        <w:szCs w:val="22"/>
        <w:lang w:val="es-ES" w:eastAsia="en-US" w:bidi="ar-SA"/>
      </w:rPr>
    </w:lvl>
    <w:lvl w:ilvl="1" w:tplc="95707AC2">
      <w:numFmt w:val="bullet"/>
      <w:lvlText w:val="•"/>
      <w:lvlJc w:val="left"/>
      <w:pPr>
        <w:ind w:left="966" w:hanging="137"/>
      </w:pPr>
      <w:rPr>
        <w:rFonts w:hint="default"/>
        <w:lang w:val="es-ES" w:eastAsia="en-US" w:bidi="ar-SA"/>
      </w:rPr>
    </w:lvl>
    <w:lvl w:ilvl="2" w:tplc="C15C5FB8">
      <w:numFmt w:val="bullet"/>
      <w:lvlText w:val="•"/>
      <w:lvlJc w:val="left"/>
      <w:pPr>
        <w:ind w:left="1833" w:hanging="137"/>
      </w:pPr>
      <w:rPr>
        <w:rFonts w:hint="default"/>
        <w:lang w:val="es-ES" w:eastAsia="en-US" w:bidi="ar-SA"/>
      </w:rPr>
    </w:lvl>
    <w:lvl w:ilvl="3" w:tplc="9976C37C">
      <w:numFmt w:val="bullet"/>
      <w:lvlText w:val="•"/>
      <w:lvlJc w:val="left"/>
      <w:pPr>
        <w:ind w:left="2699" w:hanging="137"/>
      </w:pPr>
      <w:rPr>
        <w:rFonts w:hint="default"/>
        <w:lang w:val="es-ES" w:eastAsia="en-US" w:bidi="ar-SA"/>
      </w:rPr>
    </w:lvl>
    <w:lvl w:ilvl="4" w:tplc="F91AE9FA">
      <w:numFmt w:val="bullet"/>
      <w:lvlText w:val="•"/>
      <w:lvlJc w:val="left"/>
      <w:pPr>
        <w:ind w:left="3566" w:hanging="137"/>
      </w:pPr>
      <w:rPr>
        <w:rFonts w:hint="default"/>
        <w:lang w:val="es-ES" w:eastAsia="en-US" w:bidi="ar-SA"/>
      </w:rPr>
    </w:lvl>
    <w:lvl w:ilvl="5" w:tplc="C6C4EE02">
      <w:numFmt w:val="bullet"/>
      <w:lvlText w:val="•"/>
      <w:lvlJc w:val="left"/>
      <w:pPr>
        <w:ind w:left="4433" w:hanging="137"/>
      </w:pPr>
      <w:rPr>
        <w:rFonts w:hint="default"/>
        <w:lang w:val="es-ES" w:eastAsia="en-US" w:bidi="ar-SA"/>
      </w:rPr>
    </w:lvl>
    <w:lvl w:ilvl="6" w:tplc="56F2D2FC">
      <w:numFmt w:val="bullet"/>
      <w:lvlText w:val="•"/>
      <w:lvlJc w:val="left"/>
      <w:pPr>
        <w:ind w:left="5299" w:hanging="137"/>
      </w:pPr>
      <w:rPr>
        <w:rFonts w:hint="default"/>
        <w:lang w:val="es-ES" w:eastAsia="en-US" w:bidi="ar-SA"/>
      </w:rPr>
    </w:lvl>
    <w:lvl w:ilvl="7" w:tplc="957050AA">
      <w:numFmt w:val="bullet"/>
      <w:lvlText w:val="•"/>
      <w:lvlJc w:val="left"/>
      <w:pPr>
        <w:ind w:left="6166" w:hanging="137"/>
      </w:pPr>
      <w:rPr>
        <w:rFonts w:hint="default"/>
        <w:lang w:val="es-ES" w:eastAsia="en-US" w:bidi="ar-SA"/>
      </w:rPr>
    </w:lvl>
    <w:lvl w:ilvl="8" w:tplc="F50C6A3A">
      <w:numFmt w:val="bullet"/>
      <w:lvlText w:val="•"/>
      <w:lvlJc w:val="left"/>
      <w:pPr>
        <w:ind w:left="7033" w:hanging="137"/>
      </w:pPr>
      <w:rPr>
        <w:rFonts w:hint="default"/>
        <w:lang w:val="es-ES" w:eastAsia="en-US" w:bidi="ar-SA"/>
      </w:rPr>
    </w:lvl>
  </w:abstractNum>
  <w:abstractNum w:abstractNumId="1" w15:restartNumberingAfterBreak="0">
    <w:nsid w:val="39912A9E"/>
    <w:multiLevelType w:val="hybridMultilevel"/>
    <w:tmpl w:val="51E0582C"/>
    <w:lvl w:ilvl="0" w:tplc="2928318A">
      <w:numFmt w:val="bullet"/>
      <w:lvlText w:val="-"/>
      <w:lvlJc w:val="left"/>
      <w:pPr>
        <w:ind w:left="582" w:hanging="171"/>
      </w:pPr>
      <w:rPr>
        <w:rFonts w:ascii="Times New Roman" w:eastAsia="Times New Roman" w:hAnsi="Times New Roman" w:cs="Times New Roman" w:hint="default"/>
        <w:w w:val="94"/>
        <w:sz w:val="22"/>
        <w:szCs w:val="22"/>
        <w:lang w:val="es-ES" w:eastAsia="en-US" w:bidi="ar-SA"/>
      </w:rPr>
    </w:lvl>
    <w:lvl w:ilvl="1" w:tplc="CC58DEAE">
      <w:numFmt w:val="bullet"/>
      <w:lvlText w:val="•"/>
      <w:lvlJc w:val="left"/>
      <w:pPr>
        <w:ind w:left="1554" w:hanging="171"/>
      </w:pPr>
      <w:rPr>
        <w:rFonts w:hint="default"/>
        <w:lang w:val="es-ES" w:eastAsia="en-US" w:bidi="ar-SA"/>
      </w:rPr>
    </w:lvl>
    <w:lvl w:ilvl="2" w:tplc="71C89A10">
      <w:numFmt w:val="bullet"/>
      <w:lvlText w:val="•"/>
      <w:lvlJc w:val="left"/>
      <w:pPr>
        <w:ind w:left="2529" w:hanging="171"/>
      </w:pPr>
      <w:rPr>
        <w:rFonts w:hint="default"/>
        <w:lang w:val="es-ES" w:eastAsia="en-US" w:bidi="ar-SA"/>
      </w:rPr>
    </w:lvl>
    <w:lvl w:ilvl="3" w:tplc="009E0D2A">
      <w:numFmt w:val="bullet"/>
      <w:lvlText w:val="•"/>
      <w:lvlJc w:val="left"/>
      <w:pPr>
        <w:ind w:left="3503" w:hanging="171"/>
      </w:pPr>
      <w:rPr>
        <w:rFonts w:hint="default"/>
        <w:lang w:val="es-ES" w:eastAsia="en-US" w:bidi="ar-SA"/>
      </w:rPr>
    </w:lvl>
    <w:lvl w:ilvl="4" w:tplc="4C90C406">
      <w:numFmt w:val="bullet"/>
      <w:lvlText w:val="•"/>
      <w:lvlJc w:val="left"/>
      <w:pPr>
        <w:ind w:left="4478" w:hanging="171"/>
      </w:pPr>
      <w:rPr>
        <w:rFonts w:hint="default"/>
        <w:lang w:val="es-ES" w:eastAsia="en-US" w:bidi="ar-SA"/>
      </w:rPr>
    </w:lvl>
    <w:lvl w:ilvl="5" w:tplc="B94E81E0">
      <w:numFmt w:val="bullet"/>
      <w:lvlText w:val="•"/>
      <w:lvlJc w:val="left"/>
      <w:pPr>
        <w:ind w:left="5453" w:hanging="171"/>
      </w:pPr>
      <w:rPr>
        <w:rFonts w:hint="default"/>
        <w:lang w:val="es-ES" w:eastAsia="en-US" w:bidi="ar-SA"/>
      </w:rPr>
    </w:lvl>
    <w:lvl w:ilvl="6" w:tplc="CFE62E2C">
      <w:numFmt w:val="bullet"/>
      <w:lvlText w:val="•"/>
      <w:lvlJc w:val="left"/>
      <w:pPr>
        <w:ind w:left="6427" w:hanging="171"/>
      </w:pPr>
      <w:rPr>
        <w:rFonts w:hint="default"/>
        <w:lang w:val="es-ES" w:eastAsia="en-US" w:bidi="ar-SA"/>
      </w:rPr>
    </w:lvl>
    <w:lvl w:ilvl="7" w:tplc="AD4A5E66">
      <w:numFmt w:val="bullet"/>
      <w:lvlText w:val="•"/>
      <w:lvlJc w:val="left"/>
      <w:pPr>
        <w:ind w:left="7402" w:hanging="171"/>
      </w:pPr>
      <w:rPr>
        <w:rFonts w:hint="default"/>
        <w:lang w:val="es-ES" w:eastAsia="en-US" w:bidi="ar-SA"/>
      </w:rPr>
    </w:lvl>
    <w:lvl w:ilvl="8" w:tplc="ED9AE524">
      <w:numFmt w:val="bullet"/>
      <w:lvlText w:val="•"/>
      <w:lvlJc w:val="left"/>
      <w:pPr>
        <w:ind w:left="8377" w:hanging="171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78"/>
    <w:rsid w:val="00024576"/>
    <w:rsid w:val="004F1CAD"/>
    <w:rsid w:val="00760E7B"/>
    <w:rsid w:val="00A0124C"/>
    <w:rsid w:val="00C62578"/>
    <w:rsid w:val="00FE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DF3C"/>
  <w15:docId w15:val="{D8A0621C-2757-4FA6-B257-096CE3CF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60"/>
      <w:ind w:left="10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64"/>
      <w:ind w:left="102" w:right="15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Cristian Molina Martínez</cp:lastModifiedBy>
  <cp:revision>4</cp:revision>
  <dcterms:created xsi:type="dcterms:W3CDTF">2023-10-05T10:28:00Z</dcterms:created>
  <dcterms:modified xsi:type="dcterms:W3CDTF">2023-10-05T12:04:00Z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