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 xml:space="preserve">Resolució del president del Fons de Garantia Agrària i Pesquera de les Illes Balears (FOGAIBA) per la qual es convoquen ajudes </w:t>
      </w:r>
      <w:r>
        <w:rPr>
          <w:rFonts w:hint="default" w:ascii="Noto Sans" w:hAnsi="Noto Sans" w:eastAsia="Noto Sans" w:cs="Noto Sans"/>
          <w:b/>
          <w:bCs/>
          <w:i/>
          <w:iCs/>
          <w:sz w:val="22"/>
          <w:szCs w:val="22"/>
          <w:lang w:val="ca"/>
        </w:rPr>
        <w:t>de minimis</w:t>
      </w:r>
      <w:r>
        <w:rPr>
          <w:rFonts w:hint="default" w:ascii="Noto Sans" w:hAnsi="Noto Sans" w:eastAsia="Noto Sans" w:cs="Noto Sans"/>
          <w:b/>
          <w:bCs/>
          <w:sz w:val="22"/>
          <w:szCs w:val="22"/>
          <w:lang w:val="ca"/>
        </w:rPr>
        <w:t xml:space="preserve"> per a fires agràries, monotemàtiques de caragols, concursos morfològics, fires nacionals de formatge de DO d’Espanya i esdeveniments singulars de l’any 2023</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Les celebracions de fires agràries, o monotemàtiques de caragols, i de concursos morfològics de bestiar boví o equí, com també la fira nacional del formatge de DO d’Espanya i d’altres països, són activitats que tenen com a objectiu principal generar un espai de mostra, promoció i difusió de l’activitat agropecuària dels sectors concurrents; traslladar la realitat productiva del camp a la taula, i potenciar les figures de les confraries, sobretot amb un reconeixement quan compleixen els cent any d’història.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Això ha motivat que la Conselleria d’Agricultura, Pesca i Medi Natural vulgui participar en la celebració de concursos morfològics i en els actes de celebració dels centenaris de les confraries pesqueres i també col·laborar en el foment del sector ramader a través de les activitats que organitzen els ajuntaments de les Illes Balears en aquesta matèria. Actualment, les fires d’Inca i Sineu són les fires agràries més arrelades dins el sector ramader.</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D’una banda, l’article 1.2.</w:t>
      </w:r>
      <w:r>
        <w:rPr>
          <w:rFonts w:hint="default" w:ascii="Noto Sans" w:hAnsi="Noto Sans" w:eastAsia="Noto Sans" w:cs="Noto Sans"/>
          <w:i/>
          <w:iCs/>
          <w:sz w:val="22"/>
          <w:szCs w:val="22"/>
          <w:lang w:val="ca"/>
        </w:rPr>
        <w:t>h</w:t>
      </w:r>
      <w:r>
        <w:rPr>
          <w:rFonts w:hint="default" w:ascii="Noto Sans" w:hAnsi="Noto Sans" w:eastAsia="Noto Sans" w:cs="Noto Sans"/>
          <w:sz w:val="22"/>
          <w:szCs w:val="22"/>
          <w:lang w:val="ca"/>
        </w:rPr>
        <w:t xml:space="preserve"> de l’Ordre de la consellera d’Agricultura i Pesca de 10 de març de 2005, per la qual s’estableixen les bases reguladores de les subvencions en els sectors agrari i pesquer, assenyala que són objecte d’aquesta ajuda les activitats de formació, els premis, els certàmens i les fires (</w:t>
      </w:r>
      <w:r>
        <w:rPr>
          <w:rFonts w:hint="default" w:ascii="Noto Sans" w:hAnsi="Noto Sans" w:eastAsia="Noto Sans" w:cs="Noto Sans"/>
          <w:i/>
          <w:iCs/>
          <w:sz w:val="22"/>
          <w:szCs w:val="22"/>
          <w:lang w:val="ca"/>
        </w:rPr>
        <w:t>Butlletí Oficial de les Illes Balears</w:t>
      </w:r>
      <w:r>
        <w:rPr>
          <w:rFonts w:hint="default" w:ascii="Noto Sans" w:hAnsi="Noto Sans" w:eastAsia="Noto Sans" w:cs="Noto Sans"/>
          <w:sz w:val="22"/>
          <w:szCs w:val="22"/>
          <w:lang w:val="ca"/>
        </w:rPr>
        <w:t xml:space="preserve"> núm. 43, de 17 de març de 2005).</w:t>
      </w:r>
    </w:p>
    <w:p>
      <w:pPr>
        <w:pStyle w:val="10"/>
        <w:spacing w:beforeAutospacing="0" w:afterAutospacing="0"/>
        <w:jc w:val="left"/>
        <w:rPr>
          <w:rFonts w:hint="default" w:ascii="Noto Sans" w:hAnsi="Noto Sans" w:eastAsia="Noto Sans" w:cs="Noto Sans"/>
          <w:sz w:val="22"/>
          <w:szCs w:val="22"/>
          <w:lang w:val="es-ES"/>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es-ES"/>
        </w:rPr>
        <w:t>Quan el beneficiari d’una ajuda sigui una empresa dedicada ala producció primària de productes agrícoles, o la seva agrupació</w:t>
      </w:r>
      <w:r>
        <w:rPr>
          <w:rFonts w:hint="default" w:ascii="Noto Sans" w:hAnsi="Noto Sans" w:eastAsia="Noto Sans" w:cs="Noto Sans"/>
          <w:sz w:val="22"/>
          <w:szCs w:val="22"/>
          <w:lang w:val="ca"/>
        </w:rPr>
        <w:t xml:space="preserve"> es concediran d’acord amb el Reglament (UE) núm. 1408/2013 de la Comissió, de 18 de desembre de 2013, relatiu a l’aplicació dels articles 107 i 108 del Tractat de funcionament de la Unió Europea a les ajudes </w:t>
      </w:r>
      <w:r>
        <w:rPr>
          <w:rFonts w:hint="default" w:ascii="Noto Sans" w:hAnsi="Noto Sans" w:eastAsia="Noto Sans" w:cs="Noto Sans"/>
          <w:i/>
          <w:iCs/>
          <w:sz w:val="22"/>
          <w:szCs w:val="22"/>
          <w:lang w:val="ca"/>
        </w:rPr>
        <w:t>de minimis</w:t>
      </w:r>
      <w:r>
        <w:rPr>
          <w:rFonts w:hint="default" w:ascii="Noto Sans" w:hAnsi="Noto Sans" w:eastAsia="Noto Sans" w:cs="Noto Sans"/>
          <w:sz w:val="22"/>
          <w:szCs w:val="22"/>
          <w:lang w:val="ca"/>
        </w:rPr>
        <w:t xml:space="preserve"> en el sector agrícola.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D’altra banda, l’article 2.</w:t>
      </w:r>
      <w:r>
        <w:rPr>
          <w:rFonts w:hint="default" w:ascii="Noto Sans" w:hAnsi="Noto Sans" w:eastAsia="Noto Sans" w:cs="Noto Sans"/>
          <w:i/>
          <w:iCs/>
          <w:sz w:val="22"/>
          <w:szCs w:val="22"/>
          <w:lang w:val="ca"/>
        </w:rPr>
        <w:t>a</w:t>
      </w:r>
      <w:r>
        <w:rPr>
          <w:rFonts w:hint="default" w:ascii="Noto Sans" w:hAnsi="Noto Sans" w:eastAsia="Noto Sans" w:cs="Noto Sans"/>
          <w:sz w:val="22"/>
          <w:szCs w:val="22"/>
          <w:lang w:val="ca"/>
        </w:rPr>
        <w:t xml:space="preserve"> del Decret 64/2005, de 10 de juny, de creació del Fons de Garantia Agrària i Pesquera de les Illes Balears, estableix que el FOGAIBA té per objecte executar la política de la conselleria competent en matèria d’agricultura i pesca referent a l’aplicació de les mesures de foment i millora dels sectors agrari i pesquer, incloses les derivades de la Política Agrícola Comuna i dels fons procedents de l’Instrument Financer d’Orientació de la Pesca (IFOP), de les mesures de desenvolupament rural i d’altres règims d’ajudes que preveu la normativa de la Unió Europea.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A més, l’article 1 de l’Ordre de la consellera d’Agricultura i Pesca de 23 de desembre de 2005, per la qual es disposa l’assumpció de l’execució de la política de millora i foment dels sectors agrari i pesquer per part del Fons de Garantia Agrària i Pesquera de les Illes Balears, estableix que el FOGAIBA assumeix l’execució de la política de la Conselleria d’Agricultura i Pesca referent a l’aplicació de les mesures de foment i millora dels sectors agrari i pesquer a partir de l’1 de gener del 2006.</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Mitjançant el Decret 12/2023, de 10 de juliol, de la presidenta de les Illes Balears, s’estableixen les competències i l’estructura orgànica bàsica de les conselleries de l’Administració de la Comunitat Autònoma de les Illes Balears. Concretament, a l’annex 1 s’acorda l’adscripció del FOGAIBA a la Conselleria d’Agricultura, Pesca i Medi Natural.</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D’acord amb el que disposen l’article 15 del text refós de la Llei de subvencions, aprovat pel Decret legislatiu 2/2005, de 28 de desembre, i l’article 3 de l’Ordre de la consellera d’Agricultura i Pesca, de 10 de març de 2005, per la qual s’estableixen les bases reguladores de les subvencions en els sectors agrari i pesquer, correspon aprovar la convocatòria d’aquestes ajudes mitjançant una resolució.</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Per tot això, en virtut del que estableix l’article 6.1.</w:t>
      </w:r>
      <w:r>
        <w:rPr>
          <w:rFonts w:hint="default" w:ascii="Noto Sans" w:hAnsi="Noto Sans" w:eastAsia="Noto Sans" w:cs="Noto Sans"/>
          <w:i/>
          <w:iCs/>
          <w:sz w:val="22"/>
          <w:szCs w:val="22"/>
          <w:lang w:val="ca"/>
        </w:rPr>
        <w:t>g</w:t>
      </w:r>
      <w:r>
        <w:rPr>
          <w:rFonts w:hint="default" w:ascii="Noto Sans" w:hAnsi="Noto Sans" w:eastAsia="Noto Sans" w:cs="Noto Sans"/>
          <w:sz w:val="22"/>
          <w:szCs w:val="22"/>
          <w:lang w:val="ca"/>
        </w:rPr>
        <w:t xml:space="preserve"> del Decret 64/2005, de 10 de juny, de creació del Fons de Garantia Agrària i Pesquera de les Illes Balears, i a proposta del director gerent del FOGAIBA, dicto la següent</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RESOLUCIÓ</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Primer</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 xml:space="preserve">Objecte de les ajudes i àmbit d’aplicació </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xml:space="preserve">1. S’aprova la convocatòria d’ajudes destinades a la celebració de les fires agràries de Sineu i Inca, monotemàtiques de caragols, els concursos morfològics de bestiar boví i equí, la fira nacional del formatge de DO i la celebració del centenari de les confraries de pescadors, celebrades des de gener deL 2023 fins a la data de sol·licitud d’ajuda, d’acord amb el que estableix l’Ordre de la consellera d’Agricultura i Pesca de 10 de març de 2005, per la qual s’estableixen les bases reguladores de les subvencions en els sectors agrari i pesquer (BOIB núm. 43, de 17 de març de 2005). </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2. L’àmbit territorial d’aplicació de les ajudes és la Comunitat Autònoma de les Illes Balears.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xml:space="preserve">3. Les ajudes a les fires </w:t>
      </w:r>
      <w:r>
        <w:rPr>
          <w:rFonts w:hint="default" w:ascii="Noto Sans" w:hAnsi="Noto Sans" w:eastAsia="Noto Sans" w:cs="Noto Sans"/>
          <w:sz w:val="22"/>
          <w:szCs w:val="22"/>
          <w:lang w:val="es-ES"/>
        </w:rPr>
        <w:t>o concursos morfològics concedides a les organitzacions o associacions</w:t>
      </w:r>
      <w:r>
        <w:rPr>
          <w:rFonts w:hint="default" w:ascii="Noto Sans" w:hAnsi="Noto Sans" w:eastAsia="Noto Sans" w:cs="Noto Sans"/>
          <w:sz w:val="22"/>
          <w:szCs w:val="22"/>
          <w:lang w:val="ca"/>
        </w:rPr>
        <w:t xml:space="preserve"> es concediran d’acord amb el Reglament (UE) núm. 1408/2013 de la Comissió, de 18 de desembre de 2013, relatiu a l’aplicació dels articles 107 i 108 del Tractat de Funcionament de la Unió Europea a les ajudes </w:t>
      </w:r>
      <w:r>
        <w:rPr>
          <w:rFonts w:hint="default" w:ascii="Noto Sans" w:hAnsi="Noto Sans" w:eastAsia="Noto Sans" w:cs="Noto Sans"/>
          <w:i/>
          <w:iCs/>
          <w:sz w:val="22"/>
          <w:szCs w:val="22"/>
          <w:lang w:val="ca"/>
        </w:rPr>
        <w:t>de minimis</w:t>
      </w:r>
      <w:r>
        <w:rPr>
          <w:rFonts w:hint="default" w:ascii="Noto Sans" w:hAnsi="Noto Sans" w:eastAsia="Noto Sans" w:cs="Noto Sans"/>
          <w:sz w:val="22"/>
          <w:szCs w:val="22"/>
          <w:lang w:val="ca"/>
        </w:rPr>
        <w:t xml:space="preserve"> en el sector agrícola.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Segon</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 xml:space="preserve">Import màxim de la convocatòria i finançament </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1. A aquesta convocatòria es destina un import màxim de noranta-cinc mil euros (</w:t>
      </w:r>
      <w:r>
        <w:rPr>
          <w:rFonts w:hint="default" w:ascii="Noto Sans" w:hAnsi="Noto Sans" w:eastAsia="Noto Sans" w:cs="Noto Sans"/>
          <w:sz w:val="22"/>
          <w:szCs w:val="22"/>
          <w:lang w:val="es-ES"/>
        </w:rPr>
        <w:t>110</w:t>
      </w:r>
      <w:r>
        <w:rPr>
          <w:rFonts w:hint="default" w:ascii="Noto Sans" w:hAnsi="Noto Sans" w:eastAsia="Noto Sans" w:cs="Noto Sans"/>
          <w:sz w:val="22"/>
          <w:szCs w:val="22"/>
          <w:lang w:val="ca"/>
        </w:rPr>
        <w:t>.000,00 €) a càrrec dels pressupostos de l’any 2023 del Fons de Garantia Agrària i Pesquera de les Illes Balears (FOGAIBA). Els crèdits que s’hi destinen es podran incrementar amb càrrec als pressupostos del Fons de Garantia Agrària i Pesquera de les Illes Balears.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2. L’import d’aquesta convocatòria es distribuirà de la manera següent:</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xml:space="preserve">- </w:t>
      </w:r>
      <w:r>
        <w:rPr>
          <w:rFonts w:hint="default" w:ascii="Noto Sans" w:hAnsi="Noto Sans" w:eastAsia="Noto Sans" w:cs="Noto Sans"/>
          <w:sz w:val="22"/>
          <w:szCs w:val="22"/>
          <w:lang w:val="es-ES"/>
        </w:rPr>
        <w:t>60</w:t>
      </w:r>
      <w:r>
        <w:rPr>
          <w:rFonts w:hint="default" w:ascii="Noto Sans" w:hAnsi="Noto Sans" w:eastAsia="Noto Sans" w:cs="Noto Sans"/>
          <w:sz w:val="22"/>
          <w:szCs w:val="22"/>
          <w:lang w:val="ca"/>
        </w:rPr>
        <w:t>.000,00 € per a l’actuació que assenyala el punt 1.</w:t>
      </w:r>
      <w:r>
        <w:rPr>
          <w:rFonts w:hint="default" w:ascii="Noto Sans" w:hAnsi="Noto Sans" w:eastAsia="Noto Sans" w:cs="Noto Sans"/>
          <w:i/>
          <w:iCs/>
          <w:sz w:val="22"/>
          <w:szCs w:val="22"/>
          <w:lang w:val="ca"/>
        </w:rPr>
        <w:t>a</w:t>
      </w:r>
      <w:r>
        <w:rPr>
          <w:rFonts w:hint="default" w:ascii="Noto Sans" w:hAnsi="Noto Sans" w:eastAsia="Noto Sans" w:cs="Noto Sans"/>
          <w:sz w:val="22"/>
          <w:szCs w:val="22"/>
          <w:lang w:val="ca"/>
        </w:rPr>
        <w:t xml:space="preserve"> de l’apartat quart d’aquesta convocatòria.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- 20.000,00 € per a les actuacions que assenyala el punt 1.</w:t>
      </w:r>
      <w:r>
        <w:rPr>
          <w:rFonts w:hint="default" w:ascii="Noto Sans" w:hAnsi="Noto Sans" w:eastAsia="Noto Sans" w:cs="Noto Sans"/>
          <w:i/>
          <w:iCs/>
          <w:sz w:val="22"/>
          <w:szCs w:val="22"/>
          <w:lang w:val="ca"/>
        </w:rPr>
        <w:t>b</w:t>
      </w:r>
      <w:r>
        <w:rPr>
          <w:rFonts w:hint="default" w:ascii="Noto Sans" w:hAnsi="Noto Sans" w:eastAsia="Noto Sans" w:cs="Noto Sans"/>
          <w:sz w:val="22"/>
          <w:szCs w:val="22"/>
          <w:lang w:val="ca"/>
        </w:rPr>
        <w:t xml:space="preserve"> de l’apartat quart d’aquesta convocatòria.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- 5.000,00 € per a les actuacions que assenyala el punt 1.</w:t>
      </w:r>
      <w:r>
        <w:rPr>
          <w:rFonts w:hint="default" w:ascii="Noto Sans" w:hAnsi="Noto Sans" w:eastAsia="Noto Sans" w:cs="Noto Sans"/>
          <w:i/>
          <w:iCs/>
          <w:sz w:val="22"/>
          <w:szCs w:val="22"/>
          <w:lang w:val="ca"/>
        </w:rPr>
        <w:t>c</w:t>
      </w:r>
      <w:r>
        <w:rPr>
          <w:rFonts w:hint="default" w:ascii="Noto Sans" w:hAnsi="Noto Sans" w:eastAsia="Noto Sans" w:cs="Noto Sans"/>
          <w:sz w:val="22"/>
          <w:szCs w:val="22"/>
          <w:lang w:val="ca"/>
        </w:rPr>
        <w:t xml:space="preserve"> de l’apartat quart d’aquesta convocatòria.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- 15.000,00 € per a l’actuació que assenyala el punt 1.</w:t>
      </w:r>
      <w:r>
        <w:rPr>
          <w:rFonts w:hint="default" w:ascii="Noto Sans" w:hAnsi="Noto Sans" w:eastAsia="Noto Sans" w:cs="Noto Sans"/>
          <w:i/>
          <w:iCs/>
          <w:sz w:val="22"/>
          <w:szCs w:val="22"/>
          <w:lang w:val="ca"/>
        </w:rPr>
        <w:t>d</w:t>
      </w:r>
      <w:r>
        <w:rPr>
          <w:rFonts w:hint="default" w:ascii="Noto Sans" w:hAnsi="Noto Sans" w:eastAsia="Noto Sans" w:cs="Noto Sans"/>
          <w:sz w:val="22"/>
          <w:szCs w:val="22"/>
          <w:lang w:val="ca"/>
        </w:rPr>
        <w:t xml:space="preserve"> de l’apartat quart d’aquesta convocatòria.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- 10.000,00 € per a l’actuació que assenyala el punt 1.</w:t>
      </w:r>
      <w:r>
        <w:rPr>
          <w:rFonts w:hint="default" w:ascii="Noto Sans" w:hAnsi="Noto Sans" w:eastAsia="Noto Sans" w:cs="Noto Sans"/>
          <w:i/>
          <w:iCs/>
          <w:sz w:val="22"/>
          <w:szCs w:val="22"/>
          <w:lang w:val="ca"/>
        </w:rPr>
        <w:t>e</w:t>
      </w:r>
      <w:r>
        <w:rPr>
          <w:rFonts w:hint="default" w:ascii="Noto Sans" w:hAnsi="Noto Sans" w:eastAsia="Noto Sans" w:cs="Noto Sans"/>
          <w:sz w:val="22"/>
          <w:szCs w:val="22"/>
          <w:lang w:val="ca"/>
        </w:rPr>
        <w:t xml:space="preserve"> de l’apartat quart d’aquesta convocatòria.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Si no es presenten sol·licituds o les sol·licituds presentades no poden cobrir la dotació de l’actuació, el pressupost restant incrementarà les actuacions deficitàries, començant per la que hagi rebut més sol·licituds.</w:t>
      </w:r>
    </w:p>
    <w:p>
      <w:pPr>
        <w:pStyle w:val="10"/>
        <w:spacing w:beforeAutospacing="0" w:afterAutospacing="0"/>
        <w:jc w:val="left"/>
        <w:rPr>
          <w:rFonts w:hint="default" w:ascii="Noto Sans" w:hAnsi="Noto Sans" w:cs="Noto Sans"/>
          <w:sz w:val="22"/>
          <w:szCs w:val="22"/>
          <w:lang w:val="ca"/>
        </w:rPr>
      </w:pPr>
    </w:p>
    <w:p>
      <w:pPr>
        <w:jc w:val="left"/>
        <w:rPr>
          <w:rFonts w:hint="default" w:ascii="Noto Sans" w:hAnsi="Noto Sans" w:eastAsia="Noto Sans" w:cs="Noto Sans"/>
          <w:b/>
          <w:bCs/>
          <w:color w:val="000000"/>
          <w:sz w:val="22"/>
          <w:szCs w:val="22"/>
          <w:lang w:val="ca"/>
        </w:rPr>
      </w:pPr>
      <w:r>
        <w:rPr>
          <w:rFonts w:hint="default" w:ascii="Noto Sans" w:hAnsi="Noto Sans" w:eastAsia="Noto Sans" w:cs="Noto Sans"/>
          <w:b/>
          <w:bCs/>
          <w:color w:val="000000"/>
          <w:sz w:val="22"/>
          <w:szCs w:val="22"/>
          <w:lang w:val="ca"/>
        </w:rPr>
        <w:br w:type="page"/>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Tercer</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Beneficiaris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1. Poden ser beneficiaris de l’actuació que assenyala el punt 1.</w:t>
      </w:r>
      <w:r>
        <w:rPr>
          <w:rFonts w:hint="default" w:ascii="Noto Sans" w:hAnsi="Noto Sans" w:eastAsia="Noto Sans" w:cs="Noto Sans"/>
          <w:i/>
          <w:iCs/>
          <w:sz w:val="22"/>
          <w:szCs w:val="22"/>
          <w:lang w:val="ca"/>
        </w:rPr>
        <w:t>a</w:t>
      </w:r>
      <w:r>
        <w:rPr>
          <w:rFonts w:hint="default" w:ascii="Noto Sans" w:hAnsi="Noto Sans" w:eastAsia="Noto Sans" w:cs="Noto Sans"/>
          <w:sz w:val="22"/>
          <w:szCs w:val="22"/>
          <w:lang w:val="ca"/>
        </w:rPr>
        <w:t xml:space="preserve"> de l’apartat quart d’aquesta convocatòria els ajuntaments de les Illes Balears</w:t>
      </w:r>
      <w:r>
        <w:rPr>
          <w:rFonts w:hint="default" w:ascii="Noto Sans" w:hAnsi="Noto Sans" w:eastAsia="Noto Sans" w:cs="Noto Sans"/>
          <w:sz w:val="22"/>
          <w:szCs w:val="22"/>
          <w:lang w:val="es-ES"/>
        </w:rPr>
        <w:t>, les organitzacions o les associacions</w:t>
      </w:r>
      <w:bookmarkStart w:id="0" w:name="_GoBack"/>
      <w:bookmarkEnd w:id="0"/>
      <w:r>
        <w:rPr>
          <w:rFonts w:hint="default" w:ascii="Noto Sans" w:hAnsi="Noto Sans" w:eastAsia="Noto Sans" w:cs="Noto Sans"/>
          <w:sz w:val="22"/>
          <w:szCs w:val="22"/>
          <w:lang w:val="ca"/>
        </w:rPr>
        <w:t xml:space="preserve"> que organitzin concursos morfològics de bestiar boví o equí en les condicions que assenyala l’apartat quart d’aquesta resolució.</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2. Poden ser beneficiaris de les actuacions que assenyala el punt 1.</w:t>
      </w:r>
      <w:r>
        <w:rPr>
          <w:rFonts w:hint="default" w:ascii="Noto Sans" w:hAnsi="Noto Sans" w:eastAsia="Noto Sans" w:cs="Noto Sans"/>
          <w:i/>
          <w:iCs/>
          <w:sz w:val="22"/>
          <w:szCs w:val="22"/>
          <w:lang w:val="ca"/>
        </w:rPr>
        <w:t>b</w:t>
      </w:r>
      <w:r>
        <w:rPr>
          <w:rFonts w:hint="default" w:ascii="Noto Sans" w:hAnsi="Noto Sans" w:eastAsia="Noto Sans" w:cs="Noto Sans"/>
          <w:sz w:val="22"/>
          <w:szCs w:val="22"/>
          <w:lang w:val="ca"/>
        </w:rPr>
        <w:t xml:space="preserve"> de l’apartat quart d’aquesta convocatòria els ajuntaments que organitzin les fires agràries d’Inca i de Sineu en les condicions que assenyala l’apartat quart d’aquesta resolució.</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3. Poden ser beneficiaris de les actuacions que assenyala el punt 1.</w:t>
      </w:r>
      <w:r>
        <w:rPr>
          <w:rFonts w:hint="default" w:ascii="Noto Sans" w:hAnsi="Noto Sans" w:eastAsia="Noto Sans" w:cs="Noto Sans"/>
          <w:i/>
          <w:iCs/>
          <w:sz w:val="22"/>
          <w:szCs w:val="22"/>
          <w:lang w:val="ca"/>
        </w:rPr>
        <w:t>c</w:t>
      </w:r>
      <w:r>
        <w:rPr>
          <w:rFonts w:hint="default" w:ascii="Noto Sans" w:hAnsi="Noto Sans" w:eastAsia="Noto Sans" w:cs="Noto Sans"/>
          <w:sz w:val="22"/>
          <w:szCs w:val="22"/>
          <w:lang w:val="ca"/>
        </w:rPr>
        <w:t xml:space="preserve"> de l’apartat quart d’aquesta convocatòria les organitzacions o les associacions que organitzin fires monotemàtiques del caragol en les condicions que assenyala l’apartat quart d’aquesta resolució.</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4. Poden ser beneficiaris de les actuacions que assenyala el punt 1.</w:t>
      </w:r>
      <w:r>
        <w:rPr>
          <w:rFonts w:hint="default" w:ascii="Noto Sans" w:hAnsi="Noto Sans" w:eastAsia="Noto Sans" w:cs="Noto Sans"/>
          <w:i/>
          <w:iCs/>
          <w:sz w:val="22"/>
          <w:szCs w:val="22"/>
          <w:lang w:val="ca"/>
        </w:rPr>
        <w:t>d</w:t>
      </w:r>
      <w:r>
        <w:rPr>
          <w:rFonts w:hint="default" w:ascii="Noto Sans" w:hAnsi="Noto Sans" w:eastAsia="Noto Sans" w:cs="Noto Sans"/>
          <w:sz w:val="22"/>
          <w:szCs w:val="22"/>
          <w:lang w:val="ca"/>
        </w:rPr>
        <w:t xml:space="preserve"> de l’apartat quart d’aquesta convocatòria els ajuntaments de les Illes Balears que organitzin una fira nacional del formatge de DO en les condicions que assenyala l’apartat quart d’aquesta resolució.</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5. Poden ser beneficiaris de les actuacions que assenyala el punt 1.</w:t>
      </w:r>
      <w:r>
        <w:rPr>
          <w:rFonts w:hint="default" w:ascii="Noto Sans" w:hAnsi="Noto Sans" w:eastAsia="Noto Sans" w:cs="Noto Sans"/>
          <w:i/>
          <w:iCs/>
          <w:sz w:val="22"/>
          <w:szCs w:val="22"/>
          <w:lang w:val="ca"/>
        </w:rPr>
        <w:t>e</w:t>
      </w:r>
      <w:r>
        <w:rPr>
          <w:rFonts w:hint="default" w:ascii="Noto Sans" w:hAnsi="Noto Sans" w:eastAsia="Noto Sans" w:cs="Noto Sans"/>
          <w:sz w:val="22"/>
          <w:szCs w:val="22"/>
          <w:lang w:val="ca"/>
        </w:rPr>
        <w:t xml:space="preserve"> de l’apartat quart d’aquesta convocatòria les confraries de pescadors que celebrin el centenari en les condicions que assenyala l’apartat quart d’aquesta resolució.</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6. A més dels requisits que estableix el punt anterior, han de complir tots els requisits que preveu l’Ordre de la consellera d’Agricultura i Pesca de 10 de març de 2005, per la qual s’estableixen les bases reguladores de les subvencions en els sectors agrari i pesquer, i els que estableix el Decret legislatiu 2/2005, de 28 de desembre, pel qual s’aprova el text refós de la Llei de subvencions.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7. Els requisits generals que estableixen els punts anterior s’han de mantenir durant un termini no inferior a un any a partir de la data de la resolució de concessió de l’ajuda.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8. No poden ser beneficiàries de les subvencions que preveu aquesta resolució les entitats que concorrin en alguna de les prohibicions que estableixen els apartats 1 i 2 de l’article 10 del text refós de la Llei de subvencions, aprovat mitjançant el Decret legislatiu 2/2005, de 28 de desembre. La justificació de no trobar-se dins d’aquestes prohibicions s’efectuarà de la manera que preveu l’apartat 6 de l’article 10 de la Llei de subvencions.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9. D’acord amb el que disposa l’article 10.1.</w:t>
      </w:r>
      <w:r>
        <w:rPr>
          <w:rFonts w:hint="default" w:ascii="Noto Sans" w:hAnsi="Noto Sans" w:eastAsia="Noto Sans" w:cs="Noto Sans"/>
          <w:i/>
          <w:iCs/>
          <w:sz w:val="22"/>
          <w:szCs w:val="22"/>
          <w:lang w:val="ca"/>
        </w:rPr>
        <w:t>e</w:t>
      </w:r>
      <w:r>
        <w:rPr>
          <w:rFonts w:hint="default" w:ascii="Noto Sans" w:hAnsi="Noto Sans" w:eastAsia="Noto Sans" w:cs="Noto Sans"/>
          <w:sz w:val="22"/>
          <w:szCs w:val="22"/>
          <w:lang w:val="ca"/>
        </w:rPr>
        <w:t xml:space="preserve"> del text refós de la Llei de subvencions, aprovat pel Decret legislatiu 2/2005, de 28 de desembre, es considerarà que els beneficiaris estan al corrent de les obligacions tributàries i amb la Seguretat Social quan es verifiqui el que disposen l’article 38 del Decret 75/2004, de 27 d’agost, de desenvolupament de determinats aspectes de la Llei de finances i de les lleis de pressupostos generals de la Comunitat Autònoma de les Illes Balears, i els articles 18 i 19 del Reial decret 887/2006, de 21 de juliol, pel qual s’aprova el reglament de la Llei 38/2003, de 17 de novembre, general de subvencions. En relació amb les obligacions tributàries, només es comprovarà aquesta circumstància respecte a les obligacions tributàries autonòmiques.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La circumstància d’estar al corrent de les obligacions tributàries estatals i amb la Seguretat Social ha de quedar acreditada abans que es dicti la proposta de resolució de concessió.</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L’acreditació del compliment d’aquest requisit es farà mitjançant la presentació dels certificats que preveu l’article 22 del Reial decret 887/2006. No obstant això, la persona interessada pot autoritzar el FOGAIBA o la Conselleria d’Agricultura, Pesca i Medi Natural perquè comprovi d’ofici el compliment del requisit i, en aquest cas, no caldrà presentar els certificats corresponents. Quan la persona sol·licitant de l’ajuda no estigui obligada a presentar les declaracions o els documents a què es refereixen les obligacions que preveu el paràgraf anterior, n’haurà d’acreditar el compliment mitjançant una declaració responsable.</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10. De conformitat amb el que disposa l’article 11 de la Llei 11/2016, de 28 de juliol, d’igualtat de dones i homes, tampoc no podran ser beneficiàries de les subvencions que preveu aquesta resolució les empreses i les entitats sol·licitants sancionades o condemnades, en els darrers tres anys, per resolució administrativa o sentència judicial fermes per haver exercit o tolerat pràctiques laborals considerades discriminatòries per raó de sexe o de gènere.</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Quart</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Activitats subvencionables</w:t>
      </w:r>
    </w:p>
    <w:p>
      <w:pPr>
        <w:pStyle w:val="10"/>
        <w:spacing w:beforeAutospacing="0" w:afterAutospacing="0"/>
        <w:jc w:val="left"/>
        <w:rPr>
          <w:rFonts w:hint="default" w:ascii="Noto Sans" w:hAnsi="Noto Sans" w:cs="Noto Sans"/>
          <w:sz w:val="22"/>
          <w:szCs w:val="22"/>
        </w:rPr>
      </w:pPr>
      <w:r>
        <w:rPr>
          <w:rFonts w:hint="default" w:ascii="Noto Sans" w:hAnsi="Noto Sans" w:eastAsia="Noto Sans" w:cs="Noto Sans"/>
          <w:sz w:val="22"/>
          <w:szCs w:val="22"/>
          <w:lang w:val="ca"/>
        </w:rPr>
        <w:t>1. Constitueix una activitat subvencionable l’organització o la preparació de les activitats següents des de l’1 de gener del 2023 fins a la data de sol·licitud d’ajuda:</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a</w:t>
      </w:r>
      <w:r>
        <w:rPr>
          <w:rFonts w:hint="default" w:ascii="Noto Sans" w:hAnsi="Noto Sans" w:eastAsia="Noto Sans" w:cs="Noto Sans"/>
          <w:sz w:val="22"/>
          <w:szCs w:val="22"/>
          <w:lang w:val="ca"/>
        </w:rPr>
        <w:t xml:space="preserve">. Concursos morfològics de bestiar boví o equí. </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b</w:t>
      </w:r>
      <w:r>
        <w:rPr>
          <w:rFonts w:hint="default" w:ascii="Noto Sans" w:hAnsi="Noto Sans" w:eastAsia="Noto Sans" w:cs="Noto Sans"/>
          <w:sz w:val="22"/>
          <w:szCs w:val="22"/>
          <w:lang w:val="ca"/>
        </w:rPr>
        <w:t xml:space="preserve">. Fires agràries d’Inca i de Sineu. </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c</w:t>
      </w:r>
      <w:r>
        <w:rPr>
          <w:rFonts w:hint="default" w:ascii="Noto Sans" w:hAnsi="Noto Sans" w:eastAsia="Noto Sans" w:cs="Noto Sans"/>
          <w:sz w:val="22"/>
          <w:szCs w:val="22"/>
          <w:lang w:val="ca"/>
        </w:rPr>
        <w:t xml:space="preserve">. Fires monotemàtiques de caragols. </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d</w:t>
      </w:r>
      <w:r>
        <w:rPr>
          <w:rFonts w:hint="default" w:ascii="Noto Sans" w:hAnsi="Noto Sans" w:eastAsia="Noto Sans" w:cs="Noto Sans"/>
          <w:sz w:val="22"/>
          <w:szCs w:val="22"/>
          <w:lang w:val="ca"/>
        </w:rPr>
        <w:t>. Fires del formatge de DO.</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e</w:t>
      </w:r>
      <w:r>
        <w:rPr>
          <w:rFonts w:hint="default" w:ascii="Noto Sans" w:hAnsi="Noto Sans" w:eastAsia="Noto Sans" w:cs="Noto Sans"/>
          <w:sz w:val="22"/>
          <w:szCs w:val="22"/>
          <w:lang w:val="ca"/>
        </w:rPr>
        <w:t>. Actes de celebració del centenari de confraries de pescadors.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2. Són despeses subvencionables, sempre que estiguin directament relacionades amb l’activitat subvencionable, les següents:</w:t>
      </w:r>
      <w:r>
        <w:rPr>
          <w:rFonts w:hint="default" w:ascii="Noto Sans" w:hAnsi="Noto Sans" w:eastAsia="Noto Sans" w:cs="Noto Sans"/>
          <w:sz w:val="22"/>
          <w:szCs w:val="22"/>
          <w:lang w:val="ca"/>
        </w:rPr>
        <w:br w:type="textWrapping"/>
      </w:r>
      <w:r>
        <w:rPr>
          <w:rFonts w:hint="default" w:ascii="Noto Sans" w:hAnsi="Noto Sans" w:eastAsia="Noto Sans" w:cs="Noto Sans"/>
          <w:sz w:val="22"/>
          <w:szCs w:val="22"/>
          <w:lang w:val="ca"/>
        </w:rPr>
        <w:t>− Publicitat i promoció: inserció de publicitat en premsa i ràdio i pòsters o cartells.</w:t>
      </w:r>
      <w:r>
        <w:rPr>
          <w:rFonts w:hint="default" w:ascii="Noto Sans" w:hAnsi="Noto Sans" w:eastAsia="Noto Sans" w:cs="Noto Sans"/>
          <w:sz w:val="22"/>
          <w:szCs w:val="22"/>
          <w:lang w:val="ca"/>
        </w:rPr>
        <w:br w:type="textWrapping"/>
      </w:r>
      <w:r>
        <w:rPr>
          <w:rFonts w:hint="default" w:ascii="Noto Sans" w:hAnsi="Noto Sans" w:eastAsia="Noto Sans" w:cs="Noto Sans"/>
          <w:sz w:val="22"/>
          <w:szCs w:val="22"/>
          <w:lang w:val="ca"/>
        </w:rPr>
        <w:t>− Adequació del recinte i dels animals: transport i compra de sorra, palla o serradís; lloguer de maquinària i transport d’animals; lloguer o compra de carpes, estands o tanques; contractació d’operaris per muntar i desmuntar i per adequar els animals per a la presentació.</w:t>
      </w:r>
      <w:r>
        <w:rPr>
          <w:rFonts w:hint="default" w:ascii="Noto Sans" w:hAnsi="Noto Sans" w:eastAsia="Noto Sans" w:cs="Noto Sans"/>
          <w:sz w:val="22"/>
          <w:szCs w:val="22"/>
          <w:lang w:val="ca"/>
        </w:rPr>
        <w:br w:type="textWrapping"/>
      </w:r>
      <w:r>
        <w:rPr>
          <w:rFonts w:hint="default" w:ascii="Noto Sans" w:hAnsi="Noto Sans" w:eastAsia="Noto Sans" w:cs="Noto Sans"/>
          <w:sz w:val="22"/>
          <w:szCs w:val="22"/>
          <w:lang w:val="ca"/>
        </w:rPr>
        <w:t>− Contractació de personal: jutges, veterinaris i personal de seguretat.</w:t>
      </w:r>
      <w:r>
        <w:rPr>
          <w:rFonts w:hint="default" w:ascii="Noto Sans" w:hAnsi="Noto Sans" w:eastAsia="Noto Sans" w:cs="Noto Sans"/>
          <w:sz w:val="22"/>
          <w:szCs w:val="22"/>
          <w:lang w:val="ca"/>
        </w:rPr>
        <w:br w:type="textWrapping"/>
      </w:r>
      <w:r>
        <w:rPr>
          <w:rFonts w:hint="default" w:ascii="Noto Sans" w:hAnsi="Noto Sans" w:eastAsia="Noto Sans" w:cs="Noto Sans"/>
          <w:sz w:val="22"/>
          <w:szCs w:val="22"/>
          <w:lang w:val="ca"/>
        </w:rPr>
        <w:t>− Costos generals: aigua, electricitat i neteja.</w:t>
      </w:r>
      <w:r>
        <w:rPr>
          <w:rFonts w:hint="default" w:ascii="Noto Sans" w:hAnsi="Noto Sans" w:eastAsia="Noto Sans" w:cs="Noto Sans"/>
          <w:sz w:val="22"/>
          <w:szCs w:val="22"/>
          <w:lang w:val="ca"/>
        </w:rPr>
        <w:br w:type="textWrapping"/>
      </w:r>
      <w:r>
        <w:rPr>
          <w:rFonts w:hint="default" w:ascii="Noto Sans" w:hAnsi="Noto Sans" w:eastAsia="Noto Sans" w:cs="Noto Sans"/>
          <w:sz w:val="22"/>
          <w:szCs w:val="22"/>
          <w:lang w:val="ca"/>
        </w:rPr>
        <w:t>− Adquisició de material per a la celebració de la fira, concurs o acte.</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br w:type="textWrapping"/>
      </w:r>
      <w:r>
        <w:rPr>
          <w:rFonts w:hint="default" w:ascii="Noto Sans" w:hAnsi="Noto Sans" w:eastAsia="Noto Sans" w:cs="Noto Sans"/>
          <w:sz w:val="22"/>
          <w:szCs w:val="22"/>
          <w:lang w:val="ca"/>
        </w:rPr>
        <w:t>Únicament seran subvencionables les despeses que hagi efectuat i pagat el beneficiari entre l’1 de gener del 2023 i la data de presentació de la sol·licitud d’ajuda.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xml:space="preserve">3. Els concursos morfològics objecte d’ajuda han d’estar autoritzats per la Conselleria d’Agricultura, Pesca i Medi Natural o pel consell insular corresponent, segons la normativa vigent, abans de presentar la sol·licitud, la qual cosa es comprova d’ofici, ja que la presentació de la sol·licitud suposa, tret de manifestació en contra, l’autorització per comprovar-ho. </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4. Únicament se subvenciona una fira o concurs per beneficiari i any i només se subvenciona un beneficiari per fira o concurs morfològic.</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Cinquè</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Quantia de les ajudes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1. L’import de l’ajuda no pot superar el 90% de les despeses efectuades i degudament justificades.</w:t>
      </w:r>
    </w:p>
    <w:p>
      <w:pPr>
        <w:pStyle w:val="10"/>
        <w:spacing w:beforeAutospacing="0" w:afterAutospacing="0"/>
        <w:jc w:val="left"/>
        <w:rPr>
          <w:rFonts w:hint="default" w:ascii="Noto Sans" w:hAnsi="Noto Sans" w:eastAsia="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En tot cas, l’import màxim elegible en concepte de costos generals, que preveu el punt 2 de l’apartat quart, no pot superar el 10% del total del cost elegible.</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2. La quantia màxima de la subvenció que es pot rebre per concurs morfològic de bestiar boví o equí o fira del formatge de DO és de 15.000,00 €. En el cas de fires agràries d'Inca i de Sineu o actes de celebració del centenari de confraries de pescadors, 10.000,00 €, i per a fires monotemàtiques de caragols, 5.000,00 €.</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xml:space="preserve">3. Així mateix, i de conformitat amb el que estableix el punt 2 de l’article tercer del Reglament (UE) núm. 1408/2013 de la Comissió, de 18 de desembre de 2013, relatiu a l’aplicació dels articles 107 i 108 del Tractat de funcionament de la Unió Europea a les ajudes </w:t>
      </w:r>
      <w:r>
        <w:rPr>
          <w:rFonts w:hint="default" w:ascii="Noto Sans" w:hAnsi="Noto Sans" w:eastAsia="Noto Sans" w:cs="Noto Sans"/>
          <w:i/>
          <w:iCs/>
          <w:sz w:val="22"/>
          <w:szCs w:val="22"/>
          <w:lang w:val="ca"/>
        </w:rPr>
        <w:t>de minimis</w:t>
      </w:r>
      <w:r>
        <w:rPr>
          <w:rFonts w:hint="default" w:ascii="Noto Sans" w:hAnsi="Noto Sans" w:eastAsia="Noto Sans" w:cs="Noto Sans"/>
          <w:sz w:val="22"/>
          <w:szCs w:val="22"/>
          <w:lang w:val="ca"/>
        </w:rPr>
        <w:t xml:space="preserve"> en el sector agrícola, la quantia total d’ajudes </w:t>
      </w:r>
      <w:r>
        <w:rPr>
          <w:rFonts w:hint="default" w:ascii="Noto Sans" w:hAnsi="Noto Sans" w:eastAsia="Noto Sans" w:cs="Noto Sans"/>
          <w:i/>
          <w:iCs/>
          <w:sz w:val="22"/>
          <w:szCs w:val="22"/>
          <w:lang w:val="ca"/>
        </w:rPr>
        <w:t>de minimis</w:t>
      </w:r>
      <w:r>
        <w:rPr>
          <w:rFonts w:hint="default" w:ascii="Noto Sans" w:hAnsi="Noto Sans" w:eastAsia="Noto Sans" w:cs="Noto Sans"/>
          <w:sz w:val="22"/>
          <w:szCs w:val="22"/>
          <w:lang w:val="ca"/>
        </w:rPr>
        <w:t xml:space="preserve"> no pot superar els 20.000,00 € per empresa en un període de tres exercicis fiscals.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4. En tot cas, s’aplicaran les normes en matèria de despeses susceptibles de subvenció, comprovació de subvencions i comprovació de valors que estableixen els articles 40, 41 i 42 del Decret legislatiu 2/2005, de 28 de desembre, pel qual s’aprova el text refós de la Llei de subvencions, i l’article 83 del reglament de la Llei 38/2003, de 17 de novembre, general de subvencions, aprovat pel Reial decret 887/2006, de 21 de juliol.</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Sisè</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Sol·licituds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1. El termini de presentació de sol·licituds finalitza el 15 de desembre del 2023 i comença a comptar l’endemà que s’hagi publicat aquesta resolució al BOIB.</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2. Les entitats interessades que compleixin els requisits que preveu aquesta convocatòria han de presentar les sol·licituds d’ajuda, mitjançant el tràmit telemàtic corresponent, disponible a la seu electrònica del FOGAIBA, adreçades al Fons de Garantia Agrària i Pesquera de les Illes Balears (A04026954) d’acord amb el que preveu l’article 66.6 de la Llei 39/2015, del procediment administratiu comú.</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Les sol·licituds s’han de presentar a través de mitjans electrònics, d’acord amb el que preveuen els articles 14.2 i 14.3 de la Llei 39/2015, d’1 d’octubre, del procediment administratiu comú de les administracions públiques.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Cal subministrar totes i cadascuna de les dades que s’indiquen al formulari, així com assumir els compromisos, atorgar les autoritzacions i fer les declaracions que conté aquest formulari.</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Aquestes sol·licituds han d’incloure la documentació següent:</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a</w:t>
      </w:r>
      <w:r>
        <w:rPr>
          <w:rFonts w:hint="default" w:ascii="Noto Sans" w:hAnsi="Noto Sans" w:eastAsia="Noto Sans" w:cs="Noto Sans"/>
          <w:sz w:val="22"/>
          <w:szCs w:val="22"/>
          <w:lang w:val="ca"/>
        </w:rPr>
        <w:t>. Fotocòpia del NIF de l’entitat sol·licitant o, en cas d’ajuntaments, certificat del secretari de l’entitat amb la indicació del nom corresponent.</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b</w:t>
      </w:r>
      <w:r>
        <w:rPr>
          <w:rFonts w:hint="default" w:ascii="Noto Sans" w:hAnsi="Noto Sans" w:eastAsia="Noto Sans" w:cs="Noto Sans"/>
          <w:sz w:val="22"/>
          <w:szCs w:val="22"/>
          <w:lang w:val="ca"/>
        </w:rPr>
        <w:t>. Acreditació de la representació amb la qual actua el sotasignat de la sol·licitud.</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c</w:t>
      </w:r>
      <w:r>
        <w:rPr>
          <w:rFonts w:hint="default" w:ascii="Noto Sans" w:hAnsi="Noto Sans" w:eastAsia="Noto Sans" w:cs="Noto Sans"/>
          <w:sz w:val="22"/>
          <w:szCs w:val="22"/>
          <w:lang w:val="ca"/>
        </w:rPr>
        <w:t>. Memòria de les activitats fetes i dels resultats obtinguts amb indicació, entre d’altres, dels punts següents: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Nom de l’esdeveniment.</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Data de realització.</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Ubicació.</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Descripció i bases del concurs.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d</w:t>
      </w:r>
      <w:r>
        <w:rPr>
          <w:rFonts w:hint="default" w:ascii="Noto Sans" w:hAnsi="Noto Sans" w:eastAsia="Noto Sans" w:cs="Noto Sans"/>
          <w:sz w:val="22"/>
          <w:szCs w:val="22"/>
          <w:lang w:val="ca"/>
        </w:rPr>
        <w:t>. Relació de justificants imputats, d’acord amb el model de l’annex 2 que figura a la pàgina web del FOGAIBA. Se n’ha de facilitar una còpia en format digital.</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e</w:t>
      </w:r>
      <w:r>
        <w:rPr>
          <w:rFonts w:hint="default" w:ascii="Noto Sans" w:hAnsi="Noto Sans" w:eastAsia="Noto Sans" w:cs="Noto Sans"/>
          <w:sz w:val="22"/>
          <w:szCs w:val="22"/>
          <w:lang w:val="ca"/>
        </w:rPr>
        <w:t>. Documentació justificativa de les despeses efectuades.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e</w:t>
      </w:r>
      <w:r>
        <w:rPr>
          <w:rFonts w:hint="default" w:ascii="Noto Sans" w:hAnsi="Noto Sans" w:eastAsia="Noto Sans" w:cs="Noto Sans"/>
          <w:sz w:val="22"/>
          <w:szCs w:val="22"/>
          <w:lang w:val="ca"/>
        </w:rPr>
        <w:t>.1 La justificació de la despesa s’entendrà efectuada mitjançant la presentació de factures pagades que reuneixin els requisits i les formalitats que preveu el Reial decret 1619/2012, de 30 de novembre (BOE núm. 289, d’1 de desembre de 2012), i justificants de pagament.</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Es poden considerar justificants de pagament els documents següents: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1r. Extracte bancari en què quedi identificat el pagament efectuat mitjançant la indicació del concepte, l’import i la identitat del pagador i del destinatari.</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2n. Factura que incorpori l’acreditació del cobrament per part del seu emissor o de la persona responsable de l’empresa amb capacitat de cobrament. A aquest efecte, han de quedar consignats a la factura la data de cobrament; la identificació amb indicació del nom, el NIF i la signatura del declarant del cobrament de la factura, i el segell de l’empresa. Aquest últim és facultatiu si l’emissor és una persona física.</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3r. Comprovant de transferència bancària en el qual quedi identificat el pagament efectuat mitjançant la indicació de l’import i la identificació del pagador i del destinatari.</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4t. Qualsevol altre document de valor probatori equivalent, vàlid en dret, mitjançant el qual s’acrediti la realització efectiva del pagament.</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No s’admeten pagaments en efectiu superiors a 1.000,00 €, segons els termes que preveu l’article 7 de la Llei 7/2012, de 29 d’octubre, de modificació de la normativa tributària i pressupostària i d’adequació a la normativa financera per a la intensificació de les actuacions i la lluita contra el frau.</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i/>
          <w:iCs/>
          <w:sz w:val="22"/>
          <w:szCs w:val="22"/>
          <w:lang w:val="ca"/>
        </w:rPr>
        <w:t>e</w:t>
      </w:r>
      <w:r>
        <w:rPr>
          <w:rFonts w:hint="default" w:ascii="Noto Sans" w:hAnsi="Noto Sans" w:eastAsia="Noto Sans" w:cs="Noto Sans"/>
          <w:sz w:val="22"/>
          <w:szCs w:val="22"/>
          <w:lang w:val="ca"/>
        </w:rPr>
        <w:t>.2. En el cas dels costos generals, es poden justificar la despesa i el pagament mitjançant un certificat de l’interventor de l’entitat en el qual s’indiqui l’import per concepte detallat, amb indicació de la data de realització de la despesa i del pagament.</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Aquesta documentació queda a disposició de l’Agència Tributària i de la Conselleria d’Hisenda i Administracions Públiques per dur a terme qualsevol control que es consideri oportú.</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Quant a la forma de justificació de la despesa efectuada i dels justificants de la despesa, s’aplica el que disposen l’article 30 de la Llei 38/2003, de 17 de novembre, general de subvencions, i els capítols II i III del títol II del Reial decret 887/2006, de 21 de juliol, pel qual s’aprova el reglament de la Llei 38/2003, de 17 de novembre, general de subvencions.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3. La comprovació del DNI del representant de l’agrupació la fa d’ofici el FOGAIBA. En cas que la persona interessada no autoritzi expressament el FOGAIBA o la Conselleria d’Agricultura, Pesca i Medi Natural per obtenir el DNI i els certificats conforme s’està al corrent de les obligacions tributàries, estatals i autonòmiques i amb la Seguretat Social i per comprovar l’autorització del certamen, ha d’aportar els certificats o la documentació corresponents. En cas que no estigui obligada a presentar les declaracions o els documents a què es refereixen les obligacions anteriors, ha de presentar una declaració responsable.</w:t>
      </w:r>
    </w:p>
    <w:p>
      <w:pPr>
        <w:pStyle w:val="18"/>
        <w:jc w:val="left"/>
        <w:rPr>
          <w:rFonts w:hint="default" w:ascii="Noto Sans" w:hAnsi="Noto Sans" w:cs="Noto Sans"/>
          <w:color w:val="000000"/>
          <w:sz w:val="22"/>
          <w:szCs w:val="22"/>
          <w:lang w:val="ca"/>
        </w:rPr>
      </w:pPr>
    </w:p>
    <w:p>
      <w:pPr>
        <w:pStyle w:val="18"/>
        <w:jc w:val="left"/>
        <w:rPr>
          <w:rFonts w:hint="default" w:ascii="Noto Sans" w:hAnsi="Noto Sans" w:cs="Noto Sans"/>
          <w:color w:val="000000"/>
          <w:sz w:val="22"/>
          <w:szCs w:val="22"/>
          <w:lang w:val="ca"/>
        </w:rPr>
      </w:pPr>
      <w:r>
        <w:rPr>
          <w:rFonts w:hint="default" w:ascii="Noto Sans" w:hAnsi="Noto Sans" w:eastAsia="Noto Sans" w:cs="Noto Sans"/>
          <w:color w:val="000000"/>
          <w:sz w:val="22"/>
          <w:szCs w:val="22"/>
          <w:lang w:val="ca"/>
        </w:rPr>
        <w:t xml:space="preserve">4. D’acord amb el que preveu l’article 28 de la Llei 39/2015, d’1 d’octubre, de procediment administratiu comú de les administracions públiques, no cal presentar la documentació o les dades elaborades per qualsevol Administració que es puguin obtenir per mitjans telemàtics o que estiguin en poder del FOGAIBA. En el cas de denegació expressa per aquesta comprovació, caldrà aportar el document corresponent. </w:t>
      </w:r>
    </w:p>
    <w:p>
      <w:pPr>
        <w:pStyle w:val="18"/>
        <w:jc w:val="left"/>
        <w:rPr>
          <w:rFonts w:hint="default" w:ascii="Noto Sans" w:hAnsi="Noto Sans" w:cs="Noto Sans"/>
          <w:color w:val="000000"/>
          <w:sz w:val="22"/>
          <w:szCs w:val="22"/>
          <w:lang w:val="ca"/>
        </w:rPr>
      </w:pPr>
      <w:r>
        <w:rPr>
          <w:rFonts w:hint="default" w:ascii="Noto Sans" w:hAnsi="Noto Sans" w:cs="Noto Sans"/>
          <w:color w:val="000000"/>
          <w:sz w:val="22"/>
          <w:szCs w:val="22"/>
          <w:lang w:val="ca"/>
        </w:rPr>
        <w:t> </w:t>
      </w:r>
    </w:p>
    <w:p>
      <w:pPr>
        <w:pStyle w:val="18"/>
        <w:jc w:val="left"/>
        <w:rPr>
          <w:rFonts w:hint="default" w:ascii="Noto Sans" w:hAnsi="Noto Sans" w:cs="Noto Sans"/>
          <w:color w:val="000000"/>
          <w:sz w:val="22"/>
          <w:szCs w:val="22"/>
          <w:lang w:val="ca"/>
        </w:rPr>
      </w:pPr>
      <w:r>
        <w:rPr>
          <w:rFonts w:hint="default" w:ascii="Noto Sans" w:hAnsi="Noto Sans" w:eastAsia="Noto Sans" w:cs="Noto Sans"/>
          <w:color w:val="000000"/>
          <w:sz w:val="22"/>
          <w:szCs w:val="22"/>
          <w:lang w:val="ca"/>
        </w:rPr>
        <w:t xml:space="preserve">5. Les persones interessades tampoc no estan obligades a presentar dades o documents que elles mateixes hagin aportat davant de qualsevol Administració. A aquest efecte, les persones esmentades han de comunicar en quin moment i davant de quin òrgan administratiu van presentar els documents, i el FOGAIBA és qui els ha d’obtenir electrònicament. Excepcionalment, si el FOGAIBA no pot obtenir els documents esmentats, en pot sol·licitar novament l’aportació a les persones interessades. </w:t>
      </w:r>
    </w:p>
    <w:p>
      <w:pPr>
        <w:pStyle w:val="18"/>
        <w:jc w:val="left"/>
        <w:rPr>
          <w:rFonts w:hint="default" w:ascii="Noto Sans" w:hAnsi="Noto Sans" w:eastAsia="Noto Sans" w:cs="Noto Sans"/>
          <w:color w:val="000000"/>
          <w:sz w:val="22"/>
          <w:szCs w:val="22"/>
          <w:lang w:val="ca"/>
        </w:rPr>
      </w:pPr>
    </w:p>
    <w:p>
      <w:pPr>
        <w:pStyle w:val="18"/>
        <w:jc w:val="left"/>
        <w:rPr>
          <w:rFonts w:hint="default" w:ascii="Noto Sans" w:hAnsi="Noto Sans" w:eastAsia="Noto Sans" w:cs="Noto Sans"/>
          <w:color w:val="000000"/>
          <w:sz w:val="22"/>
          <w:szCs w:val="22"/>
          <w:lang w:val="ca"/>
        </w:rPr>
      </w:pPr>
      <w:r>
        <w:rPr>
          <w:rFonts w:hint="default" w:ascii="Noto Sans" w:hAnsi="Noto Sans" w:eastAsia="Noto Sans" w:cs="Noto Sans"/>
          <w:color w:val="000000"/>
          <w:sz w:val="22"/>
          <w:szCs w:val="22"/>
          <w:lang w:val="ca"/>
        </w:rPr>
        <w:t>En el supòsit d’impossibilitat material d’obtenir el document, abans de la proposta de resolució, l’òrgan competent pot requerir a la persona sol·licitant que el presenti o, per defecte, que acrediti per altres mitjans els requisits als quals es refereix el document.</w:t>
      </w:r>
    </w:p>
    <w:p>
      <w:pPr>
        <w:pStyle w:val="18"/>
        <w:jc w:val="left"/>
        <w:rPr>
          <w:rFonts w:hint="default" w:ascii="Noto Sans" w:hAnsi="Noto Sans" w:eastAsia="Noto Sans" w:cs="Noto Sans"/>
          <w:color w:val="000000"/>
          <w:sz w:val="22"/>
          <w:szCs w:val="22"/>
          <w:lang w:val="ca"/>
        </w:rPr>
      </w:pPr>
    </w:p>
    <w:p>
      <w:pPr>
        <w:pStyle w:val="18"/>
        <w:jc w:val="left"/>
        <w:rPr>
          <w:rFonts w:hint="default" w:ascii="Noto Sans" w:hAnsi="Noto Sans" w:eastAsia="Noto Sans" w:cs="Noto Sans"/>
          <w:color w:val="000000"/>
          <w:sz w:val="22"/>
          <w:szCs w:val="22"/>
          <w:lang w:val="ca"/>
        </w:rPr>
      </w:pPr>
      <w:r>
        <w:rPr>
          <w:rFonts w:hint="default" w:ascii="Noto Sans" w:hAnsi="Noto Sans" w:eastAsia="Noto Sans" w:cs="Noto Sans"/>
          <w:color w:val="000000"/>
          <w:sz w:val="22"/>
          <w:szCs w:val="22"/>
          <w:lang w:val="es-ES"/>
        </w:rPr>
        <w:t xml:space="preserve">6. </w:t>
      </w:r>
      <w:r>
        <w:rPr>
          <w:rFonts w:hint="default" w:ascii="Noto Sans" w:hAnsi="Noto Sans" w:eastAsia="Noto Sans" w:cs="Noto Sans"/>
          <w:color w:val="000000"/>
          <w:sz w:val="22"/>
          <w:szCs w:val="22"/>
          <w:lang w:val="ca"/>
        </w:rPr>
        <w:t>Si la sol·licitud té algun defecte o no adjunta tota la documentació que s’esmenta en els punts anteriors, o bé si els documents que s’hagin de presentar durant la tramitació de l’expedient presenten esmenes o guixades, es requerirà a la persona sol·licitant que, en el termini de deu dies, esmeni el defecte o aporti la documentació, amb la indicació que, si no ho fa, s’entén que desisteixen de la sol·licitud i, amb la resolució prèvia, s’arxivarà l’expedient sense cap altre tràmit.</w:t>
      </w:r>
    </w:p>
    <w:p>
      <w:pPr>
        <w:pStyle w:val="18"/>
        <w:jc w:val="left"/>
        <w:rPr>
          <w:rFonts w:hint="default" w:ascii="Noto Sans" w:hAnsi="Noto Sans" w:eastAsia="Noto Sans" w:cs="Noto Sans"/>
          <w:color w:val="000000"/>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7. La presentació de la sol·licitud suposa l’acceptació, per part de la persona interessada, del que conté aquesta convocatòria, de les bases reguladores que estableix l’Ordre de la consellera d’Agricultura i Pesca de 10 de març de 2005 i de la resta de la normativa aplicable.</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Setè</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Selecció de beneficiaris</w:t>
      </w:r>
    </w:p>
    <w:p>
      <w:pPr>
        <w:pStyle w:val="10"/>
        <w:spacing w:beforeAutospacing="0" w:afterAutospacing="0"/>
        <w:jc w:val="left"/>
        <w:rPr>
          <w:rFonts w:hint="default" w:ascii="Noto Sans" w:hAnsi="Noto Sans" w:cs="Noto Sans"/>
          <w:sz w:val="22"/>
          <w:szCs w:val="22"/>
          <w:lang w:val="ca-ES"/>
        </w:rPr>
      </w:pPr>
      <w:r>
        <w:rPr>
          <w:rFonts w:hint="default" w:ascii="Noto Sans" w:hAnsi="Noto Sans" w:eastAsia="Noto Sans" w:cs="Noto Sans"/>
          <w:sz w:val="22"/>
          <w:szCs w:val="22"/>
          <w:lang w:val="ca"/>
        </w:rPr>
        <w:t>1. La selecció dels beneficiaris es fa mitjançant el procediment individual de selecció de beneficiaris i, en aquest cas, les sol·licituds es poden resoldre individualment, a mesura que entrin en el registre de l’òrgan competent, encara que no hagi finalitzat el termini per presentar sol·licituds de subvenció, sempre que s’hagi presentat tota la documentació requerida, d’acord amb aquesta convocatòria.</w:t>
      </w:r>
    </w:p>
    <w:p>
      <w:pPr>
        <w:pStyle w:val="10"/>
        <w:spacing w:beforeAutospacing="0" w:afterAutospacing="0"/>
        <w:jc w:val="left"/>
        <w:rPr>
          <w:rFonts w:hint="default" w:ascii="Noto Sans" w:hAnsi="Noto Sans" w:cs="Noto Sans"/>
          <w:sz w:val="22"/>
          <w:szCs w:val="22"/>
          <w:lang w:val="ca-ES"/>
        </w:rPr>
      </w:pPr>
    </w:p>
    <w:p>
      <w:pPr>
        <w:pStyle w:val="10"/>
        <w:spacing w:beforeAutospacing="0" w:afterAutospacing="0"/>
        <w:jc w:val="left"/>
        <w:rPr>
          <w:rFonts w:hint="default" w:ascii="Noto Sans" w:hAnsi="Noto Sans" w:cs="Noto Sans"/>
          <w:sz w:val="22"/>
          <w:szCs w:val="22"/>
          <w:lang w:val="ca-ES"/>
        </w:rPr>
      </w:pPr>
      <w:r>
        <w:rPr>
          <w:rFonts w:hint="default" w:ascii="Noto Sans" w:hAnsi="Noto Sans" w:eastAsia="Noto Sans" w:cs="Noto Sans"/>
          <w:sz w:val="22"/>
          <w:szCs w:val="22"/>
          <w:lang w:val="ca-ES"/>
        </w:rPr>
        <w:t xml:space="preserve">2. Si s’exhaureixen els crèdits destinats a la convocatòria abans que acabi el termini per presentar sol·licituds, s’ha de suspendre la concessió de noves ajudes mitjançant una resolució del president del FOGAIBA, que s’ha de publicar al </w:t>
      </w:r>
      <w:r>
        <w:rPr>
          <w:rFonts w:hint="default" w:ascii="Noto Sans" w:hAnsi="Noto Sans" w:eastAsia="Noto Sans" w:cs="Noto Sans"/>
          <w:i/>
          <w:iCs/>
          <w:sz w:val="22"/>
          <w:szCs w:val="22"/>
          <w:lang w:val="ca-ES"/>
        </w:rPr>
        <w:t>Butlletí Oficial de les Illes Balears</w:t>
      </w:r>
      <w:r>
        <w:rPr>
          <w:rFonts w:hint="default" w:ascii="Noto Sans" w:hAnsi="Noto Sans" w:eastAsia="Noto Sans" w:cs="Noto Sans"/>
          <w:sz w:val="22"/>
          <w:szCs w:val="22"/>
          <w:lang w:val="ca-ES"/>
        </w:rPr>
        <w:t>.</w:t>
      </w:r>
    </w:p>
    <w:p>
      <w:pPr>
        <w:pStyle w:val="10"/>
        <w:spacing w:beforeAutospacing="0" w:afterAutospacing="0"/>
        <w:jc w:val="left"/>
        <w:rPr>
          <w:rFonts w:hint="default" w:ascii="Noto Sans" w:hAnsi="Noto Sans" w:cs="Noto Sans"/>
          <w:sz w:val="22"/>
          <w:szCs w:val="22"/>
          <w:lang w:val="ca-ES"/>
        </w:rPr>
      </w:pPr>
    </w:p>
    <w:p>
      <w:pPr>
        <w:jc w:val="left"/>
        <w:rPr>
          <w:rFonts w:hint="default" w:ascii="Noto Sans" w:hAnsi="Noto Sans" w:eastAsia="Noto Sans" w:cs="Noto Sans"/>
          <w:b/>
          <w:bCs/>
          <w:color w:val="000000"/>
          <w:sz w:val="22"/>
          <w:szCs w:val="22"/>
        </w:rPr>
      </w:pPr>
      <w:r>
        <w:rPr>
          <w:rFonts w:hint="default" w:ascii="Noto Sans" w:hAnsi="Noto Sans" w:eastAsia="Noto Sans" w:cs="Noto Sans"/>
          <w:b/>
          <w:bCs/>
          <w:color w:val="000000"/>
          <w:sz w:val="22"/>
          <w:szCs w:val="22"/>
        </w:rPr>
        <w:br w:type="page"/>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Vuitè</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Instrucció del procediment</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1. L’òrgan competent per a la instrucció del procediment de concessió de les ajudes és l’Àrea de Gestió d’Ajudes del FOGAIBA. Aquest òrgan durà a terme, d’ofici, les actuacions necessàries per determinar, conèixer i comprovar les dades en virtut de les quals s’ha de dictar la resolució.</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2. La unitat competent emetrà un informe en el qual s’acreditaran, en cas que sigui favorable, la legalitat de l’ajuda i l’import.</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3. El vicepresident en matèria agrària del FOGAIBA dictarà la resolució dels expedients a proposta del cap del Servei d’Ajudes OCM, de l’Estat i de Pesca, sobre la base de l’informe previ de la unitat competent.</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4. El termini màxim per dictar i notificar la resolució expressa és de sis mesos, a comptar a partir de l’acabament del termini de presentació de sol·licituds, i aquesta resolució s’ha de notificar individualment a les entitats interessades. Si transcorre aquest termini sense que s’hagi notificat cap resolució expressa, s’ha d’entendre desestimada la sol·licitud.</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5. Contra aquesta resolució es pot interposar un recurs d’alçada davant el conseller d’Agricultura, Pesca i Medi Natural en el termini d’un mes, a partir de l’endemà de la notificació de la resolució, d’acord amb el que estableixen l’article 58.4 de la Llei 3/2003, de 26 de març, de règim jurídic de l’Administració de la Comunitat Autònoma de les Illes Balears, i els articles 121 i 122 de la Llei 39/2015, d’1 d’octubre, del procediment administratiu comú de les administracions públiques.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Novè</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Obligacions dels beneficiaris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1. Són obligacions dels beneficiaris les que estableixen l’article 11 del text refós de la Llei de subvencions, aprovat mitjançant el Decret legislatiu 2/2005, i l’article 15 de l’Ordre de la consellera d’Agricultura i Pesca de 10 de març de 2005, per la qual s’estableixen les bases reguladores de les subvencions en els sectors agrari i pesquer.</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2. El règim jurídic aplicable per l’incompliment d’aquestes obligacions és el que preveu el Decret legislatiu 2/2005, de 28 de desembre, pel qual s’aprova el text refós de la Llei de subvencions, i comprèn des del reintegrament de l’ajuda i el pagament de l’interès de demora fins a la imposició de les sancions corresponents.</w:t>
      </w:r>
    </w:p>
    <w:p>
      <w:pPr>
        <w:pStyle w:val="10"/>
        <w:spacing w:beforeAutospacing="0" w:afterAutospacing="0"/>
        <w:jc w:val="left"/>
        <w:rPr>
          <w:rFonts w:hint="default" w:ascii="Noto Sans" w:hAnsi="Noto Sans" w:cs="Noto Sans"/>
          <w:sz w:val="22"/>
          <w:szCs w:val="22"/>
          <w:lang w:val="ca"/>
        </w:rPr>
      </w:pPr>
    </w:p>
    <w:p>
      <w:pPr>
        <w:jc w:val="left"/>
        <w:rPr>
          <w:rFonts w:hint="default" w:ascii="Noto Sans" w:hAnsi="Noto Sans" w:eastAsia="Noto Sans" w:cs="Noto Sans"/>
          <w:b/>
          <w:bCs/>
          <w:color w:val="000000"/>
          <w:sz w:val="22"/>
          <w:szCs w:val="22"/>
          <w:lang w:val="ca"/>
        </w:rPr>
      </w:pPr>
      <w:r>
        <w:rPr>
          <w:rFonts w:hint="default" w:ascii="Noto Sans" w:hAnsi="Noto Sans" w:eastAsia="Noto Sans" w:cs="Noto Sans"/>
          <w:b/>
          <w:bCs/>
          <w:color w:val="000000"/>
          <w:sz w:val="22"/>
          <w:szCs w:val="22"/>
          <w:lang w:val="ca"/>
        </w:rPr>
        <w:br w:type="page"/>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Desè</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Justificació i pagament de les ajudes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El pagament de l’ajuda es farà mitjançant transferència bancària, quan s’hagi dictat la resolució de concessió, amb l’autorització prèvia del director gerent del FOGAIBA, ja que la justificació s’ha fet i acreditat amb caràcter previ a la concessió de l’ajuda.</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Onzè</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Compatibilitats</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Les ajudes objecte d’aquesta convocatòria són compatibles amb les ajudes que la persona beneficiària rebi per a la mateixa finalitat de qualsevol administració pública o d’una altra entitat pública o privada, però l’import rebut, aïlladament o conjuntament, no pot superar en cap cas el valor de les despeses originades per la realització de les activitats.</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Dotzè</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Règim jurídic aplicable</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El règim jurídic aplicable a aquesta convocatòria és el que estableixen l’Ordre de la consellera d’Agricultura i Pesca de 10 de març de 2005, per la qual s’estableixen les bases reguladores de les subvencions en els sectors agrari i pesquer; el Decret legislatiu 2/2005, de 28 de desembre, pel qual s’aprova el text refós de la Llei de subvencions, i els preceptes que siguin aplicables que preveuen la Llei 38/2003, de 17 de novembre, general de subvencions; el Reial decret 887/2006, de 21 de juliol, pel qual s’aprova el reglament de la Llei 38/2003, de 17 de novembre, general de subvencions, i la resta de normativa d’aplicació vigent.</w:t>
      </w:r>
    </w:p>
    <w:p>
      <w:pPr>
        <w:pStyle w:val="10"/>
        <w:spacing w:beforeAutospacing="0" w:afterAutospacing="0"/>
        <w:jc w:val="left"/>
        <w:rPr>
          <w:rFonts w:hint="default" w:ascii="Noto Sans" w:hAnsi="Noto Sans" w:cs="Noto Sans"/>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Tretzè</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b/>
          <w:bCs/>
          <w:sz w:val="22"/>
          <w:szCs w:val="22"/>
          <w:lang w:val="ca"/>
        </w:rPr>
        <w:t>Publicació</w:t>
      </w: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 xml:space="preserve">Aquesta resolució s’ha de comunicar a la Base de Dades Nacional de Subvencions i s’ha de publicar al </w:t>
      </w:r>
      <w:r>
        <w:rPr>
          <w:rFonts w:hint="default" w:ascii="Noto Sans" w:hAnsi="Noto Sans" w:eastAsia="Noto Sans" w:cs="Noto Sans"/>
          <w:i/>
          <w:iCs/>
          <w:sz w:val="22"/>
          <w:szCs w:val="22"/>
          <w:lang w:val="ca"/>
        </w:rPr>
        <w:t>Butlletí Oficial de les Illes Balears</w:t>
      </w:r>
      <w:r>
        <w:rPr>
          <w:rFonts w:hint="default" w:ascii="Noto Sans" w:hAnsi="Noto Sans" w:eastAsia="Noto Sans" w:cs="Noto Sans"/>
          <w:sz w:val="22"/>
          <w:szCs w:val="22"/>
          <w:lang w:val="ca"/>
        </w:rPr>
        <w:t>.</w:t>
      </w:r>
    </w:p>
    <w:p>
      <w:pPr>
        <w:pStyle w:val="10"/>
        <w:spacing w:beforeAutospacing="0" w:afterAutospacing="0"/>
        <w:jc w:val="left"/>
        <w:rPr>
          <w:rFonts w:hint="default" w:ascii="Noto Sans" w:hAnsi="Noto Sans" w:cs="Noto Sans"/>
          <w:sz w:val="22"/>
          <w:szCs w:val="22"/>
          <w:lang w:val="ca"/>
        </w:rPr>
      </w:pPr>
    </w:p>
    <w:p>
      <w:pPr>
        <w:pStyle w:val="10"/>
        <w:keepNext w:val="0"/>
        <w:keepLines w:val="0"/>
        <w:widowControl/>
        <w:suppressLineNumbers w:val="0"/>
        <w:kinsoku/>
        <w:wordWrap/>
        <w:overflowPunct/>
        <w:topLinePunct w:val="0"/>
        <w:autoSpaceDE/>
        <w:autoSpaceDN/>
        <w:bidi w:val="0"/>
        <w:adjustRightInd/>
        <w:snapToGrid/>
        <w:spacing w:beforeAutospacing="0" w:afterAutospacing="0"/>
        <w:jc w:val="left"/>
        <w:textAlignment w:val="auto"/>
        <w:rPr>
          <w:rFonts w:hint="default" w:ascii="Noto Sans" w:hAnsi="Noto Sans" w:eastAsia="Noto Sans" w:cs="Noto Sans"/>
          <w:color w:val="000000"/>
          <w:sz w:val="22"/>
          <w:szCs w:val="22"/>
          <w:lang w:val="ca"/>
        </w:rPr>
      </w:pPr>
      <w:r>
        <w:rPr>
          <w:rFonts w:hint="default" w:ascii="Noto Sans" w:hAnsi="Noto Sans" w:eastAsia="Noto Sans" w:cs="Noto Sans"/>
          <w:color w:val="000000"/>
          <w:sz w:val="22"/>
          <w:szCs w:val="22"/>
          <w:lang w:val="es-ES"/>
        </w:rPr>
        <w:t>En el lloc i data de la signatura electrònica</w:t>
      </w:r>
      <w:r>
        <w:rPr>
          <w:rFonts w:hint="default" w:ascii="Noto Sans" w:hAnsi="Noto Sans" w:eastAsia="Noto Sans" w:cs="Noto Sans"/>
          <w:color w:val="000000"/>
          <w:sz w:val="22"/>
          <w:szCs w:val="22"/>
          <w:lang w:val="ca"/>
        </w:rPr>
        <w:t>,</w:t>
      </w:r>
    </w:p>
    <w:p>
      <w:pPr>
        <w:pStyle w:val="10"/>
        <w:keepNext w:val="0"/>
        <w:keepLines w:val="0"/>
        <w:widowControl/>
        <w:suppressLineNumbers w:val="0"/>
        <w:kinsoku/>
        <w:wordWrap/>
        <w:overflowPunct/>
        <w:topLinePunct w:val="0"/>
        <w:autoSpaceDE/>
        <w:autoSpaceDN/>
        <w:bidi w:val="0"/>
        <w:adjustRightInd/>
        <w:snapToGrid/>
        <w:spacing w:beforeAutospacing="0" w:afterAutospacing="0"/>
        <w:jc w:val="left"/>
        <w:textAlignment w:val="auto"/>
        <w:rPr>
          <w:rFonts w:hint="default" w:ascii="Noto Sans" w:hAnsi="Noto Sans" w:eastAsia="Noto Sans" w:cs="Noto Sans"/>
          <w:color w:val="000000"/>
          <w:sz w:val="22"/>
          <w:szCs w:val="22"/>
          <w:lang w:val="ca"/>
        </w:rPr>
      </w:pPr>
    </w:p>
    <w:p>
      <w:pPr>
        <w:pStyle w:val="10"/>
        <w:spacing w:beforeAutospacing="0" w:afterAutospacing="0"/>
        <w:jc w:val="left"/>
        <w:rPr>
          <w:rFonts w:hint="default" w:ascii="Noto Sans" w:hAnsi="Noto Sans" w:cs="Noto Sans"/>
          <w:sz w:val="22"/>
          <w:szCs w:val="22"/>
          <w:lang w:val="ca"/>
        </w:rPr>
      </w:pPr>
      <w:r>
        <w:rPr>
          <w:rFonts w:hint="default" w:ascii="Noto Sans" w:hAnsi="Noto Sans" w:eastAsia="Noto Sans" w:cs="Noto Sans"/>
          <w:sz w:val="22"/>
          <w:szCs w:val="22"/>
          <w:lang w:val="ca"/>
        </w:rPr>
        <w:t>El president del FOGAIBA</w:t>
      </w:r>
    </w:p>
    <w:p>
      <w:pPr>
        <w:pStyle w:val="10"/>
        <w:spacing w:beforeAutospacing="0" w:afterAutospacing="0"/>
        <w:jc w:val="left"/>
        <w:rPr>
          <w:rFonts w:hint="default" w:ascii="Noto Sans" w:hAnsi="Noto Sans" w:cs="Noto Sans"/>
          <w:sz w:val="22"/>
          <w:szCs w:val="22"/>
        </w:rPr>
      </w:pPr>
      <w:r>
        <w:rPr>
          <w:rFonts w:hint="default" w:ascii="Noto Sans" w:hAnsi="Noto Sans" w:eastAsia="Noto Sans" w:cs="Noto Sans"/>
          <w:b/>
          <w:bCs/>
          <w:sz w:val="22"/>
          <w:szCs w:val="22"/>
          <w:lang w:val="ca"/>
        </w:rPr>
        <w:t>Joan Simonet Pons</w:t>
      </w:r>
    </w:p>
    <w:sectPr>
      <w:headerReference r:id="rId4" w:type="first"/>
      <w:footerReference r:id="rId6" w:type="first"/>
      <w:headerReference r:id="rId3" w:type="default"/>
      <w:footerReference r:id="rId5" w:type="default"/>
      <w:pgSz w:w="11906" w:h="16838"/>
      <w:pgMar w:top="1276" w:right="851" w:bottom="1701" w:left="2552" w:header="709" w:footer="709"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oto Sans">
    <w:panose1 w:val="020B0502040504020204"/>
    <w:charset w:val="00"/>
    <w:family w:val="swiss"/>
    <w:pitch w:val="default"/>
    <w:sig w:usb0="E00002FF" w:usb1="4000001F" w:usb2="08000029" w:usb3="00100000" w:csb0="00000000" w:csb1="00000000"/>
  </w:font>
  <w:font w:name="Tahoma">
    <w:panose1 w:val="020B0604030504040204"/>
    <w:charset w:val="00"/>
    <w:family w:val="swiss"/>
    <w:pitch w:val="default"/>
    <w:sig w:usb0="E1002EFF" w:usb1="C000605B" w:usb2="00000029" w:usb3="00000000" w:csb0="200101FF" w:csb1="20280000"/>
  </w:font>
  <w:font w:name="Bariol Regular">
    <w:panose1 w:val="02000506040000020003"/>
    <w:charset w:val="00"/>
    <w:family w:val="modern"/>
    <w:pitch w:val="default"/>
    <w:sig w:usb0="8000002F" w:usb1="40000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036" w:type="dxa"/>
      <w:tblInd w:w="-15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240" w:type="dxa"/>
        <w:left w:w="108" w:type="dxa"/>
        <w:bottom w:w="0" w:type="dxa"/>
        <w:right w:w="108" w:type="dxa"/>
      </w:tblCellMar>
    </w:tblPr>
    <w:tblGrid>
      <w:gridCol w:w="2723"/>
      <w:gridCol w:w="4589"/>
      <w:gridCol w:w="27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40" w:type="dxa"/>
          <w:left w:w="108" w:type="dxa"/>
          <w:bottom w:w="0" w:type="dxa"/>
          <w:right w:w="108" w:type="dxa"/>
        </w:tblCellMar>
      </w:tblPrEx>
      <w:trPr>
        <w:trHeight w:val="1140" w:hRule="atLeast"/>
      </w:trPr>
      <w:tc>
        <w:tcPr>
          <w:tcW w:w="1985" w:type="dxa"/>
          <w:tcBorders>
            <w:top w:val="nil"/>
            <w:left w:val="nil"/>
            <w:bottom w:val="nil"/>
            <w:right w:val="nil"/>
          </w:tcBorders>
          <w:vAlign w:val="bottom"/>
        </w:tcPr>
        <w:p>
          <w:pPr>
            <w:pStyle w:val="16"/>
            <w:rPr>
              <w:rFonts w:ascii="Noto Sans" w:hAnsi="Noto Sans" w:cs="Noto Sans"/>
              <w:color w:val="000000"/>
              <w:lang w:val="ca-ES"/>
            </w:rPr>
          </w:pPr>
          <w:r>
            <w:fldChar w:fldCharType="begin"/>
          </w:r>
          <w:r>
            <w:instrText xml:space="preserve"> HYPERLINK "http://www.caib.es/govern/organigrama/planol.do?coduo=3229&amp;lang=es" </w:instrText>
          </w:r>
          <w:r>
            <w:fldChar w:fldCharType="separate"/>
          </w:r>
          <w:r>
            <w:rPr>
              <w:rStyle w:val="5"/>
              <w:rFonts w:ascii="Noto Sans" w:hAnsi="Noto Sans"/>
              <w:color w:val="000000"/>
              <w:u w:val="none"/>
              <w:lang w:val="ca-ES"/>
            </w:rPr>
            <w:t>C/ de la Reina Constança, 4</w:t>
          </w:r>
          <w:r>
            <w:rPr>
              <w:rStyle w:val="5"/>
              <w:rFonts w:ascii="Noto Sans" w:hAnsi="Noto Sans"/>
              <w:color w:val="000000"/>
              <w:u w:val="none"/>
              <w:lang w:val="ca-ES"/>
            </w:rPr>
            <w:fldChar w:fldCharType="end"/>
          </w:r>
        </w:p>
        <w:p>
          <w:pPr>
            <w:pStyle w:val="16"/>
            <w:rPr>
              <w:rFonts w:ascii="Noto Sans" w:hAnsi="Noto Sans" w:cs="Noto Sans"/>
              <w:lang w:val="ca-ES"/>
            </w:rPr>
          </w:pPr>
          <w:r>
            <w:rPr>
              <w:rFonts w:ascii="Noto Sans" w:hAnsi="Noto Sans"/>
              <w:lang w:val="ca-ES"/>
            </w:rPr>
            <w:t xml:space="preserve">07006 Palma </w:t>
          </w:r>
        </w:p>
        <w:p>
          <w:pPr>
            <w:pStyle w:val="16"/>
            <w:rPr>
              <w:rFonts w:ascii="Noto Sans" w:hAnsi="Noto Sans" w:cs="Noto Sans"/>
              <w:lang w:val="ca-ES"/>
            </w:rPr>
          </w:pPr>
          <w:r>
            <w:rPr>
              <w:rFonts w:ascii="Noto Sans" w:hAnsi="Noto Sans"/>
              <w:lang w:val="ca-ES"/>
            </w:rPr>
            <w:t>Tel. 971 17 60 76</w:t>
          </w:r>
        </w:p>
        <w:p>
          <w:pPr>
            <w:pStyle w:val="16"/>
            <w:rPr>
              <w:rFonts w:ascii="Noto Sans" w:hAnsi="Noto Sans" w:cs="Noto Sans"/>
            </w:rPr>
          </w:pPr>
          <w:r>
            <w:rPr>
              <w:rFonts w:ascii="Noto Sans" w:hAnsi="Noto Sans"/>
              <w:color w:val="C30045"/>
              <w:lang w:val="ca-ES"/>
            </w:rPr>
            <w:t>http://www.caib.es</w:t>
          </w:r>
        </w:p>
      </w:tc>
      <w:tc>
        <w:tcPr>
          <w:tcW w:w="3345" w:type="dxa"/>
          <w:tcBorders>
            <w:top w:val="nil"/>
            <w:left w:val="nil"/>
            <w:bottom w:val="nil"/>
            <w:right w:val="nil"/>
          </w:tcBorders>
        </w:tcPr>
        <w:p>
          <w:pPr>
            <w:pStyle w:val="16"/>
            <w:jc w:val="center"/>
            <w:rPr>
              <w:rFonts w:ascii="Noto Sans" w:hAnsi="Noto Sans" w:cs="Noto Sans"/>
            </w:rPr>
          </w:pPr>
        </w:p>
      </w:tc>
      <w:tc>
        <w:tcPr>
          <w:tcW w:w="1985" w:type="dxa"/>
          <w:tcBorders>
            <w:top w:val="nil"/>
            <w:left w:val="nil"/>
            <w:bottom w:val="nil"/>
            <w:right w:val="nil"/>
          </w:tcBorders>
          <w:vAlign w:val="bottom"/>
        </w:tcPr>
        <w:p>
          <w:pPr>
            <w:pStyle w:val="17"/>
            <w:rPr>
              <w:rFonts w:ascii="Noto Sans" w:hAnsi="Noto Sans" w:cs="Noto Sans"/>
            </w:rPr>
          </w:pPr>
          <w:r>
            <w:rPr>
              <w:rFonts w:ascii="Noto Sans" w:hAnsi="Noto Sans" w:cs="Noto Sans"/>
            </w:rPr>
            <w:fldChar w:fldCharType="begin"/>
          </w:r>
          <w:r>
            <w:rPr>
              <w:rFonts w:ascii="Noto Sans" w:hAnsi="Noto Sans" w:cs="Noto Sans"/>
            </w:rPr>
            <w:instrText xml:space="preserve">PAGE   \* MERGEFORMAT</w:instrText>
          </w:r>
          <w:r>
            <w:rPr>
              <w:rFonts w:ascii="Noto Sans" w:hAnsi="Noto Sans" w:cs="Noto Sans"/>
            </w:rPr>
            <w:fldChar w:fldCharType="separate"/>
          </w:r>
          <w:r>
            <w:rPr>
              <w:rFonts w:ascii="Noto Sans" w:hAnsi="Noto Sans" w:cs="Noto Sans"/>
            </w:rPr>
            <w:t>2</w:t>
          </w:r>
          <w:r>
            <w:rPr>
              <w:rFonts w:ascii="Noto Sans" w:hAnsi="Noto Sans" w:cs="Noto Sans"/>
            </w:rPr>
            <w:fldChar w:fldCharType="end"/>
          </w:r>
        </w:p>
      </w:tc>
    </w:tr>
  </w:tbl>
  <w:p>
    <w:pPr>
      <w:pStyle w:val="11"/>
      <w:rPr>
        <w:rFonts w:cs="Noto Sans"/>
        <w:sz w:val="15"/>
        <w:szCs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036" w:type="dxa"/>
      <w:tblInd w:w="-15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240" w:type="dxa"/>
        <w:left w:w="108" w:type="dxa"/>
        <w:bottom w:w="0" w:type="dxa"/>
        <w:right w:w="108" w:type="dxa"/>
      </w:tblCellMar>
    </w:tblPr>
    <w:tblGrid>
      <w:gridCol w:w="2723"/>
      <w:gridCol w:w="4589"/>
      <w:gridCol w:w="27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40" w:type="dxa"/>
          <w:left w:w="108" w:type="dxa"/>
          <w:bottom w:w="0" w:type="dxa"/>
          <w:right w:w="108" w:type="dxa"/>
        </w:tblCellMar>
      </w:tblPrEx>
      <w:trPr>
        <w:trHeight w:val="1140" w:hRule="atLeast"/>
      </w:trPr>
      <w:tc>
        <w:tcPr>
          <w:tcW w:w="1985" w:type="dxa"/>
          <w:tcBorders>
            <w:top w:val="nil"/>
            <w:left w:val="nil"/>
            <w:bottom w:val="nil"/>
            <w:right w:val="nil"/>
          </w:tcBorders>
          <w:vAlign w:val="bottom"/>
        </w:tcPr>
        <w:p>
          <w:pPr>
            <w:pStyle w:val="16"/>
            <w:rPr>
              <w:rFonts w:ascii="Noto Sans" w:hAnsi="Noto Sans" w:cs="Noto Sans"/>
              <w:color w:val="000000"/>
            </w:rPr>
          </w:pPr>
          <w:r>
            <w:fldChar w:fldCharType="begin"/>
          </w:r>
          <w:r>
            <w:instrText xml:space="preserve"> HYPERLINK "http://www.caib.es/govern/organigrama/planol.do?coduo=3229&amp;lang=ca" </w:instrText>
          </w:r>
          <w:r>
            <w:fldChar w:fldCharType="separate"/>
          </w:r>
          <w:r>
            <w:rPr>
              <w:rStyle w:val="5"/>
              <w:rFonts w:ascii="Noto Sans" w:hAnsi="Noto Sans" w:cs="Noto Sans"/>
              <w:color w:val="000000"/>
              <w:u w:val="none"/>
            </w:rPr>
            <w:t>C/ de la Reina Constança, 4</w:t>
          </w:r>
          <w:r>
            <w:rPr>
              <w:rStyle w:val="5"/>
              <w:rFonts w:ascii="Noto Sans" w:hAnsi="Noto Sans" w:cs="Noto Sans"/>
              <w:color w:val="000000"/>
              <w:u w:val="none"/>
            </w:rPr>
            <w:fldChar w:fldCharType="end"/>
          </w:r>
        </w:p>
        <w:p>
          <w:pPr>
            <w:pStyle w:val="16"/>
            <w:rPr>
              <w:rFonts w:ascii="Noto Sans" w:hAnsi="Noto Sans" w:cs="Noto Sans"/>
              <w:lang w:val="ca-ES"/>
            </w:rPr>
          </w:pPr>
          <w:r>
            <w:rPr>
              <w:rFonts w:ascii="Noto Sans" w:hAnsi="Noto Sans" w:cs="Noto Sans"/>
              <w:lang w:val="ca-ES"/>
            </w:rPr>
            <w:t xml:space="preserve">07006 Palma </w:t>
          </w:r>
        </w:p>
        <w:p>
          <w:pPr>
            <w:pStyle w:val="16"/>
            <w:rPr>
              <w:rFonts w:ascii="Noto Sans" w:hAnsi="Noto Sans" w:cs="Noto Sans"/>
              <w:lang w:val="ca-ES"/>
            </w:rPr>
          </w:pPr>
          <w:r>
            <w:rPr>
              <w:rFonts w:ascii="Noto Sans" w:hAnsi="Noto Sans" w:cs="Noto Sans"/>
              <w:lang w:val="ca-ES"/>
            </w:rPr>
            <w:t>Tel. 971 17 60 76</w:t>
          </w:r>
        </w:p>
        <w:p>
          <w:pPr>
            <w:pStyle w:val="16"/>
            <w:rPr>
              <w:rFonts w:ascii="Noto Sans" w:hAnsi="Noto Sans" w:cs="Noto Sans"/>
              <w:color w:val="C30045"/>
            </w:rPr>
          </w:pPr>
          <w:r>
            <w:rPr>
              <w:rFonts w:ascii="Noto Sans" w:hAnsi="Noto Sans" w:cs="Noto Sans"/>
              <w:color w:val="C30045"/>
              <w:lang w:val="ca-ES"/>
            </w:rPr>
            <w:t>http://www.caib.es</w:t>
          </w:r>
        </w:p>
      </w:tc>
      <w:tc>
        <w:tcPr>
          <w:tcW w:w="3345" w:type="dxa"/>
          <w:tcBorders>
            <w:top w:val="nil"/>
            <w:left w:val="nil"/>
            <w:bottom w:val="nil"/>
            <w:right w:val="nil"/>
          </w:tcBorders>
        </w:tcPr>
        <w:p>
          <w:pPr>
            <w:pStyle w:val="16"/>
            <w:jc w:val="center"/>
            <w:rPr>
              <w:rFonts w:ascii="Noto Sans" w:hAnsi="Noto Sans" w:cs="Noto Sans"/>
            </w:rPr>
          </w:pPr>
        </w:p>
      </w:tc>
      <w:tc>
        <w:tcPr>
          <w:tcW w:w="1985" w:type="dxa"/>
          <w:tcBorders>
            <w:top w:val="nil"/>
            <w:left w:val="nil"/>
            <w:bottom w:val="nil"/>
            <w:right w:val="nil"/>
          </w:tcBorders>
        </w:tcPr>
        <w:p>
          <w:pPr>
            <w:pStyle w:val="16"/>
            <w:rPr>
              <w:rFonts w:ascii="Noto Sans" w:hAnsi="Noto Sans" w:cs="Noto Sans"/>
            </w:rPr>
          </w:pPr>
        </w:p>
      </w:tc>
    </w:tr>
  </w:tbl>
  <w:p>
    <w:pPr>
      <w:pStyle w:val="11"/>
      <w:rPr>
        <w:rFonts w:cs="Noto Sans"/>
        <w:sz w:val="15"/>
        <w:szCs w:val="15"/>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lang w:val="es-ES" w:eastAsia="es-ES"/>
      </w:rPr>
      <w:drawing>
        <wp:anchor distT="0" distB="0" distL="114300" distR="114300" simplePos="0" relativeHeight="251660288" behindDoc="0" locked="0" layoutInCell="1" allowOverlap="1">
          <wp:simplePos x="0" y="0"/>
          <wp:positionH relativeFrom="column">
            <wp:posOffset>-1153795</wp:posOffset>
          </wp:positionH>
          <wp:positionV relativeFrom="paragraph">
            <wp:posOffset>-135890</wp:posOffset>
          </wp:positionV>
          <wp:extent cx="542925" cy="1590675"/>
          <wp:effectExtent l="0" t="0" r="0" b="0"/>
          <wp:wrapNone/>
          <wp:docPr id="2" name="2 Imagen" descr="Govern_simplifi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 Imagen" descr="Govern_simplificat.png"/>
                  <pic:cNvPicPr>
                    <a:picLocks noChangeAspect="1"/>
                  </pic:cNvPicPr>
                </pic:nvPicPr>
                <pic:blipFill>
                  <a:blip r:embed="rId1"/>
                  <a:stretch>
                    <a:fillRect/>
                  </a:stretch>
                </pic:blipFill>
                <pic:spPr>
                  <a:xfrm>
                    <a:off x="0" y="0"/>
                    <a:ext cx="542925" cy="159067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after="4640"/>
    </w:pPr>
    <w:r>
      <w:rPr>
        <w:rFonts w:ascii="SimSun" w:hAnsi="SimSun" w:eastAsia="SimSun" w:cs="SimSun"/>
        <w:sz w:val="24"/>
        <w:szCs w:val="24"/>
      </w:rPr>
      <w:drawing>
        <wp:anchor distT="0" distB="0" distL="114300" distR="114300" simplePos="0" relativeHeight="251661312" behindDoc="0" locked="0" layoutInCell="1" allowOverlap="1">
          <wp:simplePos x="0" y="0"/>
          <wp:positionH relativeFrom="column">
            <wp:posOffset>-1125855</wp:posOffset>
          </wp:positionH>
          <wp:positionV relativeFrom="paragraph">
            <wp:posOffset>-106680</wp:posOffset>
          </wp:positionV>
          <wp:extent cx="2190750" cy="1304925"/>
          <wp:effectExtent l="0" t="0" r="0" b="0"/>
          <wp:wrapNone/>
          <wp:docPr id="3" name="Imagen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IMG_256"/>
                  <pic:cNvPicPr>
                    <a:picLocks noChangeAspect="1"/>
                  </pic:cNvPicPr>
                </pic:nvPicPr>
                <pic:blipFill>
                  <a:blip r:embed="rId1"/>
                  <a:stretch>
                    <a:fillRect/>
                  </a:stretch>
                </pic:blipFill>
                <pic:spPr>
                  <a:xfrm>
                    <a:off x="0" y="0"/>
                    <a:ext cx="2190750" cy="1304925"/>
                  </a:xfrm>
                  <a:prstGeom prst="rect">
                    <a:avLst/>
                  </a:prstGeom>
                  <a:noFill/>
                  <a:ln>
                    <a:noFill/>
                  </a:ln>
                </pic:spPr>
              </pic:pic>
            </a:graphicData>
          </a:graphic>
        </wp:anchor>
      </w:drawing>
    </w:r>
    <w:r>
      <w:rPr>
        <w:lang w:val="es-ES" w:eastAsia="es-ES"/>
      </w:rPr>
      <mc:AlternateContent>
        <mc:Choice Requires="wps">
          <w:drawing>
            <wp:anchor distT="0" distB="0" distL="114300" distR="114300" simplePos="0" relativeHeight="251659264" behindDoc="0" locked="0" layoutInCell="1" allowOverlap="1">
              <wp:simplePos x="0" y="0"/>
              <wp:positionH relativeFrom="margin">
                <wp:posOffset>1374775</wp:posOffset>
              </wp:positionH>
              <wp:positionV relativeFrom="page">
                <wp:posOffset>1508125</wp:posOffset>
              </wp:positionV>
              <wp:extent cx="4024630" cy="1835785"/>
              <wp:effectExtent l="0" t="0" r="13970" b="12065"/>
              <wp:wrapNone/>
              <wp:docPr id="1" name="Cuadro de texto 9"/>
              <wp:cNvGraphicFramePr/>
              <a:graphic xmlns:a="http://schemas.openxmlformats.org/drawingml/2006/main">
                <a:graphicData uri="http://schemas.microsoft.com/office/word/2010/wordprocessingShape">
                  <wps:wsp>
                    <wps:cNvSpPr txBox="1">
                      <a:spLocks noChangeArrowheads="1"/>
                    </wps:cNvSpPr>
                    <wps:spPr bwMode="auto">
                      <a:xfrm>
                        <a:off x="0" y="0"/>
                        <a:ext cx="4024630" cy="1835785"/>
                      </a:xfrm>
                      <a:prstGeom prst="rect">
                        <a:avLst/>
                      </a:prstGeom>
                      <a:solidFill>
                        <a:srgbClr val="FFFFFF"/>
                      </a:solidFill>
                      <a:ln>
                        <a:noFill/>
                      </a:ln>
                      <a:effectLst/>
                    </wps:spPr>
                    <wps:txbx>
                      <w:txbxContent>
                        <w:p>
                          <w:pPr>
                            <w:ind w:left="2835"/>
                            <w:rPr>
                              <w:sz w:val="16"/>
                              <w:szCs w:val="16"/>
                              <w:lang w:val="es-ES"/>
                            </w:rPr>
                          </w:pPr>
                          <w:r>
                            <w:rPr>
                              <w:sz w:val="16"/>
                              <w:szCs w:val="16"/>
                              <w:lang w:val="es-ES"/>
                            </w:rPr>
                            <w:t>AJ 55/23 - FB</w:t>
                          </w:r>
                        </w:p>
                        <w:p>
                          <w:pPr>
                            <w:ind w:left="2835"/>
                            <w:rPr>
                              <w:sz w:val="16"/>
                              <w:szCs w:val="16"/>
                              <w:lang w:val="es-ES"/>
                            </w:rPr>
                          </w:pPr>
                          <w:r>
                            <w:rPr>
                              <w:sz w:val="16"/>
                              <w:szCs w:val="16"/>
                              <w:lang w:val="es-ES"/>
                            </w:rPr>
                            <w:t>V.</w:t>
                          </w:r>
                          <w:r>
                            <w:rPr>
                              <w:rFonts w:hint="default"/>
                              <w:sz w:val="16"/>
                              <w:szCs w:val="16"/>
                              <w:lang w:val="es-ES"/>
                            </w:rPr>
                            <w:t>4</w:t>
                          </w:r>
                          <w:r>
                            <w:rPr>
                              <w:sz w:val="16"/>
                              <w:szCs w:val="16"/>
                              <w:lang w:val="es-ES"/>
                            </w:rPr>
                            <w:t xml:space="preserve"> – </w:t>
                          </w:r>
                          <w:r>
                            <w:rPr>
                              <w:rFonts w:hint="default"/>
                              <w:sz w:val="16"/>
                              <w:szCs w:val="16"/>
                              <w:lang w:val="es-ES"/>
                            </w:rPr>
                            <w:t>3.10</w:t>
                          </w:r>
                          <w:r>
                            <w:rPr>
                              <w:sz w:val="16"/>
                              <w:szCs w:val="16"/>
                              <w:lang w:val="es-ES"/>
                            </w:rPr>
                            <w:t>.2023</w:t>
                          </w:r>
                        </w:p>
                      </w:txbxContent>
                    </wps:txbx>
                    <wps:bodyPr rot="0" vert="horz" wrap="square" lIns="91440" tIns="45720" rIns="91440" bIns="45720" anchor="t" anchorCtr="0" upright="1">
                      <a:noAutofit/>
                    </wps:bodyPr>
                  </wps:wsp>
                </a:graphicData>
              </a:graphic>
            </wp:anchor>
          </w:drawing>
        </mc:Choice>
        <mc:Fallback>
          <w:pict>
            <v:shape id="Cuadro de texto 9" o:spid="_x0000_s1026" o:spt="202" type="#_x0000_t202" style="position:absolute;left:0pt;margin-left:108.25pt;margin-top:118.75pt;height:144.55pt;width:316.9pt;mso-position-horizontal-relative:margin;mso-position-vertical-relative:page;z-index:251659264;mso-width-relative:page;mso-height-relative:page;" fillcolor="#FFFFFF" filled="t" stroked="f" coordsize="21600,21600" o:gfxdata="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GWPSpzYAAAACwEAAA8AAAAAAAAAAQAgAAAAIgAAAGRycy9kb3ducmV2LnhtbFBLAQIUABQAAAAI&#10;AIdO4kAjynjaJgIAAFMEAAAOAAAAAAAAAAEAIAAAACcBAABkcnMvZTJvRG9jLnhtbFBLBQYAAAAA&#10;BgAGAFkBAAC/BQAAAAA=&#10;">
              <v:fill on="t" focussize="0,0"/>
              <v:stroke on="f"/>
              <v:imagedata o:title=""/>
              <o:lock v:ext="edit" aspectratio="f"/>
              <v:textbox>
                <w:txbxContent>
                  <w:p>
                    <w:pPr>
                      <w:ind w:left="2835"/>
                      <w:rPr>
                        <w:sz w:val="16"/>
                        <w:szCs w:val="16"/>
                        <w:lang w:val="es-ES"/>
                      </w:rPr>
                    </w:pPr>
                    <w:r>
                      <w:rPr>
                        <w:sz w:val="16"/>
                        <w:szCs w:val="16"/>
                        <w:lang w:val="es-ES"/>
                      </w:rPr>
                      <w:t>AJ 55/23 - FB</w:t>
                    </w:r>
                  </w:p>
                  <w:p>
                    <w:pPr>
                      <w:ind w:left="2835"/>
                      <w:rPr>
                        <w:sz w:val="16"/>
                        <w:szCs w:val="16"/>
                        <w:lang w:val="es-ES"/>
                      </w:rPr>
                    </w:pPr>
                    <w:r>
                      <w:rPr>
                        <w:sz w:val="16"/>
                        <w:szCs w:val="16"/>
                        <w:lang w:val="es-ES"/>
                      </w:rPr>
                      <w:t>V.</w:t>
                    </w:r>
                    <w:r>
                      <w:rPr>
                        <w:rFonts w:hint="default"/>
                        <w:sz w:val="16"/>
                        <w:szCs w:val="16"/>
                        <w:lang w:val="es-ES"/>
                      </w:rPr>
                      <w:t>4</w:t>
                    </w:r>
                    <w:r>
                      <w:rPr>
                        <w:sz w:val="16"/>
                        <w:szCs w:val="16"/>
                        <w:lang w:val="es-ES"/>
                      </w:rPr>
                      <w:t xml:space="preserve"> – </w:t>
                    </w:r>
                    <w:r>
                      <w:rPr>
                        <w:rFonts w:hint="default"/>
                        <w:sz w:val="16"/>
                        <w:szCs w:val="16"/>
                        <w:lang w:val="es-ES"/>
                      </w:rPr>
                      <w:t>3.10</w:t>
                    </w:r>
                    <w:r>
                      <w:rPr>
                        <w:sz w:val="16"/>
                        <w:szCs w:val="16"/>
                        <w:lang w:val="es-ES"/>
                      </w:rPr>
                      <w:t>.2023</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attachedTemplate r:id="rId1"/>
  <w:documentProtection w:enforcement="0"/>
  <w:defaultTabStop w:val="708"/>
  <w:hyphenationZone w:val="425"/>
  <w:noPunctuationKerning w:val="1"/>
  <w:characterSpacingControl w:val="doNotCompress"/>
  <w:compat>
    <w:doNotLeaveBackslashAlone/>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5E6136"/>
    <w:rsid w:val="0001132A"/>
    <w:rsid w:val="000156CD"/>
    <w:rsid w:val="00023205"/>
    <w:rsid w:val="000237A9"/>
    <w:rsid w:val="00034A40"/>
    <w:rsid w:val="00036B37"/>
    <w:rsid w:val="00050D54"/>
    <w:rsid w:val="00074F0B"/>
    <w:rsid w:val="00092B9B"/>
    <w:rsid w:val="000950E0"/>
    <w:rsid w:val="000A7669"/>
    <w:rsid w:val="000B1813"/>
    <w:rsid w:val="000B184C"/>
    <w:rsid w:val="000D7FC3"/>
    <w:rsid w:val="0010508B"/>
    <w:rsid w:val="00110FE4"/>
    <w:rsid w:val="00114152"/>
    <w:rsid w:val="001266B7"/>
    <w:rsid w:val="00144C26"/>
    <w:rsid w:val="001B4283"/>
    <w:rsid w:val="001C76E5"/>
    <w:rsid w:val="001D2A3E"/>
    <w:rsid w:val="001D3D05"/>
    <w:rsid w:val="001E5FD1"/>
    <w:rsid w:val="0020001D"/>
    <w:rsid w:val="00222923"/>
    <w:rsid w:val="002266B1"/>
    <w:rsid w:val="002502C7"/>
    <w:rsid w:val="0025741D"/>
    <w:rsid w:val="002635A5"/>
    <w:rsid w:val="00274B69"/>
    <w:rsid w:val="0029653D"/>
    <w:rsid w:val="002C075E"/>
    <w:rsid w:val="002E219A"/>
    <w:rsid w:val="002F1FA3"/>
    <w:rsid w:val="002F3D33"/>
    <w:rsid w:val="00307F7A"/>
    <w:rsid w:val="00322246"/>
    <w:rsid w:val="00323D33"/>
    <w:rsid w:val="00331224"/>
    <w:rsid w:val="003403A6"/>
    <w:rsid w:val="003419D5"/>
    <w:rsid w:val="00357840"/>
    <w:rsid w:val="00373894"/>
    <w:rsid w:val="003866E4"/>
    <w:rsid w:val="00392DD5"/>
    <w:rsid w:val="003C228C"/>
    <w:rsid w:val="003D785A"/>
    <w:rsid w:val="003F6178"/>
    <w:rsid w:val="003F6E57"/>
    <w:rsid w:val="003F771A"/>
    <w:rsid w:val="00466CDE"/>
    <w:rsid w:val="00485578"/>
    <w:rsid w:val="004C6BE5"/>
    <w:rsid w:val="004D2A64"/>
    <w:rsid w:val="0050440F"/>
    <w:rsid w:val="005622F6"/>
    <w:rsid w:val="00574AA6"/>
    <w:rsid w:val="005C057F"/>
    <w:rsid w:val="005E3236"/>
    <w:rsid w:val="006013FF"/>
    <w:rsid w:val="00635971"/>
    <w:rsid w:val="00637409"/>
    <w:rsid w:val="006377DF"/>
    <w:rsid w:val="00651C37"/>
    <w:rsid w:val="006776B5"/>
    <w:rsid w:val="006B4CEB"/>
    <w:rsid w:val="006C5013"/>
    <w:rsid w:val="006F0D2E"/>
    <w:rsid w:val="0072100A"/>
    <w:rsid w:val="007265EF"/>
    <w:rsid w:val="0074473A"/>
    <w:rsid w:val="00750C99"/>
    <w:rsid w:val="0075503B"/>
    <w:rsid w:val="007567B3"/>
    <w:rsid w:val="00762CDE"/>
    <w:rsid w:val="00772EEB"/>
    <w:rsid w:val="00774D29"/>
    <w:rsid w:val="007D487C"/>
    <w:rsid w:val="007D6565"/>
    <w:rsid w:val="007F36BC"/>
    <w:rsid w:val="007F6F4F"/>
    <w:rsid w:val="0081333C"/>
    <w:rsid w:val="0083573F"/>
    <w:rsid w:val="008413FC"/>
    <w:rsid w:val="00842E51"/>
    <w:rsid w:val="008442CE"/>
    <w:rsid w:val="0086470B"/>
    <w:rsid w:val="00872B70"/>
    <w:rsid w:val="00895D5B"/>
    <w:rsid w:val="008A09F1"/>
    <w:rsid w:val="008A0BCD"/>
    <w:rsid w:val="008A3278"/>
    <w:rsid w:val="008A4F91"/>
    <w:rsid w:val="008A636B"/>
    <w:rsid w:val="008B7970"/>
    <w:rsid w:val="008E248C"/>
    <w:rsid w:val="008E5F14"/>
    <w:rsid w:val="008F3D44"/>
    <w:rsid w:val="00901173"/>
    <w:rsid w:val="009A0E69"/>
    <w:rsid w:val="009A3388"/>
    <w:rsid w:val="009B3FD2"/>
    <w:rsid w:val="009D0416"/>
    <w:rsid w:val="009D05A6"/>
    <w:rsid w:val="009F36D4"/>
    <w:rsid w:val="00A2137F"/>
    <w:rsid w:val="00A24F99"/>
    <w:rsid w:val="00A31C73"/>
    <w:rsid w:val="00A32066"/>
    <w:rsid w:val="00A45203"/>
    <w:rsid w:val="00A503A0"/>
    <w:rsid w:val="00A70754"/>
    <w:rsid w:val="00A90ED1"/>
    <w:rsid w:val="00A9443C"/>
    <w:rsid w:val="00A94FEA"/>
    <w:rsid w:val="00AA2E2E"/>
    <w:rsid w:val="00AE7DD6"/>
    <w:rsid w:val="00AF6E68"/>
    <w:rsid w:val="00B049DA"/>
    <w:rsid w:val="00B2463B"/>
    <w:rsid w:val="00B340FE"/>
    <w:rsid w:val="00B4748B"/>
    <w:rsid w:val="00B522DD"/>
    <w:rsid w:val="00B611B6"/>
    <w:rsid w:val="00B615C5"/>
    <w:rsid w:val="00B70D3B"/>
    <w:rsid w:val="00B72590"/>
    <w:rsid w:val="00B86DE2"/>
    <w:rsid w:val="00B96B23"/>
    <w:rsid w:val="00BA5DF3"/>
    <w:rsid w:val="00BB51F3"/>
    <w:rsid w:val="00BF3976"/>
    <w:rsid w:val="00C004FA"/>
    <w:rsid w:val="00C168B0"/>
    <w:rsid w:val="00C24228"/>
    <w:rsid w:val="00C30964"/>
    <w:rsid w:val="00C6481A"/>
    <w:rsid w:val="00C77D5C"/>
    <w:rsid w:val="00C9422E"/>
    <w:rsid w:val="00CC759F"/>
    <w:rsid w:val="00CF5372"/>
    <w:rsid w:val="00D0530C"/>
    <w:rsid w:val="00D12B6D"/>
    <w:rsid w:val="00D26FDD"/>
    <w:rsid w:val="00D40806"/>
    <w:rsid w:val="00D44E04"/>
    <w:rsid w:val="00D616E9"/>
    <w:rsid w:val="00D76585"/>
    <w:rsid w:val="00D911CC"/>
    <w:rsid w:val="00DA5056"/>
    <w:rsid w:val="00DD7696"/>
    <w:rsid w:val="00DF0E12"/>
    <w:rsid w:val="00DF1C34"/>
    <w:rsid w:val="00DF2AFF"/>
    <w:rsid w:val="00DF7C2E"/>
    <w:rsid w:val="00E16ABC"/>
    <w:rsid w:val="00E3324B"/>
    <w:rsid w:val="00E710FA"/>
    <w:rsid w:val="00E922C1"/>
    <w:rsid w:val="00EA0467"/>
    <w:rsid w:val="00EB69B0"/>
    <w:rsid w:val="00ED6E7C"/>
    <w:rsid w:val="00EE3B34"/>
    <w:rsid w:val="00EE77C0"/>
    <w:rsid w:val="00EE7C2F"/>
    <w:rsid w:val="00EF3F93"/>
    <w:rsid w:val="00EF4E56"/>
    <w:rsid w:val="00F1333D"/>
    <w:rsid w:val="00F62DA3"/>
    <w:rsid w:val="00F702BF"/>
    <w:rsid w:val="00F8738C"/>
    <w:rsid w:val="00FB249B"/>
    <w:rsid w:val="00FE6B74"/>
    <w:rsid w:val="00FF6974"/>
    <w:rsid w:val="0BCB7045"/>
    <w:rsid w:val="2ADA0244"/>
    <w:rsid w:val="34923FB9"/>
    <w:rsid w:val="43E35215"/>
    <w:rsid w:val="4F7576D0"/>
    <w:rsid w:val="545E6136"/>
    <w:rsid w:val="5DE5271F"/>
    <w:rsid w:val="6F6A4D47"/>
    <w:rsid w:val="75924C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atentStyles>
  <w:style w:type="paragraph" w:default="1" w:styleId="1">
    <w:name w:val="Normal"/>
    <w:qFormat/>
    <w:uiPriority w:val="0"/>
    <w:rPr>
      <w:rFonts w:ascii="Noto Sans" w:hAnsi="Noto Sans" w:eastAsia="Calibri" w:cs="Times New Roman"/>
      <w:sz w:val="22"/>
      <w:szCs w:val="22"/>
      <w:lang w:val="ca-E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Hyperlink"/>
    <w:basedOn w:val="2"/>
    <w:unhideWhenUsed/>
    <w:qFormat/>
    <w:uiPriority w:val="99"/>
    <w:rPr>
      <w:color w:val="0000FF"/>
      <w:u w:val="single"/>
    </w:rPr>
  </w:style>
  <w:style w:type="paragraph" w:styleId="6">
    <w:name w:val="annotation subject"/>
    <w:basedOn w:val="7"/>
    <w:next w:val="7"/>
    <w:link w:val="20"/>
    <w:semiHidden/>
    <w:unhideWhenUsed/>
    <w:qFormat/>
    <w:uiPriority w:val="99"/>
    <w:rPr>
      <w:b/>
      <w:bCs/>
    </w:rPr>
  </w:style>
  <w:style w:type="paragraph" w:styleId="7">
    <w:name w:val="annotation text"/>
    <w:basedOn w:val="1"/>
    <w:link w:val="19"/>
    <w:semiHidden/>
    <w:unhideWhenUsed/>
    <w:qFormat/>
    <w:uiPriority w:val="99"/>
    <w:rPr>
      <w:sz w:val="20"/>
      <w:szCs w:val="20"/>
    </w:rPr>
  </w:style>
  <w:style w:type="paragraph" w:styleId="8">
    <w:name w:val="Balloon Text"/>
    <w:basedOn w:val="1"/>
    <w:link w:val="13"/>
    <w:unhideWhenUsed/>
    <w:qFormat/>
    <w:uiPriority w:val="99"/>
    <w:rPr>
      <w:rFonts w:ascii="Tahoma" w:hAnsi="Tahoma" w:cs="Tahoma"/>
      <w:sz w:val="16"/>
      <w:szCs w:val="16"/>
    </w:rPr>
  </w:style>
  <w:style w:type="paragraph" w:styleId="9">
    <w:name w:val="header"/>
    <w:basedOn w:val="1"/>
    <w:link w:val="14"/>
    <w:unhideWhenUsed/>
    <w:qFormat/>
    <w:uiPriority w:val="99"/>
    <w:pPr>
      <w:tabs>
        <w:tab w:val="center" w:pos="4252"/>
        <w:tab w:val="right" w:pos="8504"/>
      </w:tabs>
    </w:pPr>
  </w:style>
  <w:style w:type="paragraph" w:styleId="10">
    <w:name w:val="Normal (Web)"/>
    <w:semiHidden/>
    <w:unhideWhenUsed/>
    <w:qFormat/>
    <w:uiPriority w:val="99"/>
    <w:pPr>
      <w:spacing w:beforeAutospacing="1" w:afterAutospacing="1"/>
      <w:jc w:val="both"/>
    </w:pPr>
    <w:rPr>
      <w:rFonts w:ascii="Times New Roman" w:hAnsi="Times New Roman" w:eastAsia="SimSun" w:cs="Times New Roman"/>
      <w:color w:val="000000"/>
      <w:sz w:val="24"/>
      <w:szCs w:val="24"/>
      <w:lang w:val="en-US" w:eastAsia="zh-CN" w:bidi="ar-SA"/>
    </w:rPr>
  </w:style>
  <w:style w:type="paragraph" w:styleId="11">
    <w:name w:val="footer"/>
    <w:basedOn w:val="1"/>
    <w:link w:val="15"/>
    <w:unhideWhenUsed/>
    <w:qFormat/>
    <w:uiPriority w:val="99"/>
    <w:pPr>
      <w:tabs>
        <w:tab w:val="center" w:pos="4252"/>
        <w:tab w:val="right" w:pos="8504"/>
      </w:tabs>
    </w:pPr>
  </w:style>
  <w:style w:type="table" w:styleId="12">
    <w:name w:val="Table Grid"/>
    <w:basedOn w:val="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3">
    <w:name w:val="Texto de globo Car"/>
    <w:basedOn w:val="2"/>
    <w:link w:val="8"/>
    <w:semiHidden/>
    <w:qFormat/>
    <w:uiPriority w:val="99"/>
    <w:rPr>
      <w:rFonts w:ascii="Tahoma" w:hAnsi="Tahoma" w:cs="Tahoma"/>
      <w:sz w:val="16"/>
      <w:szCs w:val="16"/>
    </w:rPr>
  </w:style>
  <w:style w:type="character" w:customStyle="1" w:styleId="14">
    <w:name w:val="Encabezado Car"/>
    <w:basedOn w:val="2"/>
    <w:link w:val="9"/>
    <w:qFormat/>
    <w:uiPriority w:val="99"/>
    <w:rPr>
      <w:rFonts w:ascii="Noto Sans" w:hAnsi="Noto Sans"/>
    </w:rPr>
  </w:style>
  <w:style w:type="character" w:customStyle="1" w:styleId="15">
    <w:name w:val="Pie de página Car"/>
    <w:basedOn w:val="2"/>
    <w:link w:val="11"/>
    <w:qFormat/>
    <w:uiPriority w:val="99"/>
    <w:rPr>
      <w:rFonts w:ascii="Noto Sans" w:hAnsi="Noto Sans"/>
    </w:rPr>
  </w:style>
  <w:style w:type="paragraph" w:customStyle="1" w:styleId="16">
    <w:name w:val="Peu de pàgina"/>
    <w:basedOn w:val="1"/>
    <w:qFormat/>
    <w:uiPriority w:val="0"/>
    <w:pPr>
      <w:widowControl w:val="0"/>
      <w:autoSpaceDE w:val="0"/>
      <w:autoSpaceDN w:val="0"/>
      <w:adjustRightInd w:val="0"/>
      <w:spacing w:line="220" w:lineRule="atLeast"/>
    </w:pPr>
    <w:rPr>
      <w:rFonts w:ascii="Calibri" w:hAnsi="Calibri" w:eastAsia="Times New Roman" w:cs="Bariol Regular"/>
      <w:sz w:val="15"/>
      <w:szCs w:val="15"/>
      <w:lang w:val="es-ES" w:eastAsia="es-ES"/>
    </w:rPr>
  </w:style>
  <w:style w:type="paragraph" w:customStyle="1" w:styleId="17">
    <w:name w:val="Número de pàgina"/>
    <w:basedOn w:val="16"/>
    <w:qFormat/>
    <w:uiPriority w:val="0"/>
    <w:pPr>
      <w:jc w:val="right"/>
    </w:pPr>
    <w:rPr>
      <w:sz w:val="18"/>
      <w:szCs w:val="18"/>
    </w:rPr>
  </w:style>
  <w:style w:type="paragraph" w:customStyle="1" w:styleId="18">
    <w:name w:val="western"/>
    <w:qFormat/>
    <w:uiPriority w:val="0"/>
    <w:rPr>
      <w:rFonts w:ascii="Times New Roman" w:hAnsi="Times New Roman" w:eastAsia="SimSun" w:cs="Times New Roman"/>
      <w:sz w:val="24"/>
      <w:szCs w:val="24"/>
      <w:lang w:val="en-US" w:eastAsia="zh-CN" w:bidi="ar-SA"/>
    </w:rPr>
  </w:style>
  <w:style w:type="character" w:customStyle="1" w:styleId="19">
    <w:name w:val="Texto comentario Car"/>
    <w:basedOn w:val="2"/>
    <w:link w:val="7"/>
    <w:semiHidden/>
    <w:qFormat/>
    <w:uiPriority w:val="99"/>
    <w:rPr>
      <w:rFonts w:ascii="Noto Sans" w:hAnsi="Noto Sans" w:eastAsia="Calibri"/>
      <w:lang w:val="ca-ES" w:eastAsia="en-US"/>
    </w:rPr>
  </w:style>
  <w:style w:type="character" w:customStyle="1" w:styleId="20">
    <w:name w:val="Asunto del comentario Car"/>
    <w:basedOn w:val="19"/>
    <w:link w:val="6"/>
    <w:semiHidden/>
    <w:uiPriority w:val="99"/>
    <w:rPr>
      <w:rFonts w:ascii="Noto Sans" w:hAnsi="Noto Sans" w:eastAsia="Calibri"/>
      <w:b/>
      <w:bCs/>
      <w:lang w:val="ca-ES"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K:\FogaibaSJ\COMPARTIDA%20YANHIRE%20Y%20LAURA\PLANTILLAS%20WORD\NUEVOS%20LOGOS%20AGOSTO%202023\PLANTILLA%20FOGAIBA%20(COLOR).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PLANTILLA FOGAIBA (COLOR).wpt</Template>
  <Pages>11</Pages>
  <Words>3864</Words>
  <Characters>21258</Characters>
  <Lines>177</Lines>
  <Paragraphs>50</Paragraphs>
  <TotalTime>12</TotalTime>
  <ScaleCrop>false</ScaleCrop>
  <LinksUpToDate>false</LinksUpToDate>
  <CharactersWithSpaces>25072</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2023-08-29T08:49:00Z</dcterms:created>
  <dc:creator>u90917</dc:creator>
  <cp:lastModifiedBy>u104097</cp:lastModifiedBy>
  <cp:lastPrinted>2023-09-01T11:36:00Z</cp:lastPrinted>
  <dcterms:modified xsi:type="dcterms:W3CDTF">2023-10-03T10:56:29Z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5D93BCC372A848FFBA6AA6A371C71546_13</vt:lpwstr>
  </property>
  <property fmtid="{D5CDD505-2E9C-101B-9397-08002B2CF9AE}" pid="3" name="KSOProductBuildVer">
    <vt:lpwstr>3082-12.2.0.13215</vt:lpwstr>
  </property>
</Properties>
</file>