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rPr>
          <w:lang w:val="gl-ES" w:eastAsia="zh-CN" w:bidi="hi-IN"/>
        </w:rPr>
      </w:pPr>
      <w:r>
        <w:rPr>
          <w:lang w:val="gl-ES" w:eastAsia="zh-CN" w:bidi="hi-IN"/>
        </w:rPr>
        <w:t>Esta é unha tradución automática da redacción orixinal en galego</w:t>
      </w:r>
    </w:p>
    <w:p>
      <w:pPr>
        <w:pStyle w:val="Cuerpodetexto"/>
        <w:rPr>
          <w:lang w:val="es-ES" w:eastAsia="zh-CN" w:bidi="hi-IN"/>
        </w:rPr>
      </w:pPr>
      <w:r>
        <w:rPr>
          <w:lang w:val="es-ES" w:eastAsia="zh-CN" w:bidi="hi-IN"/>
        </w:rPr>
      </w:r>
    </w:p>
    <w:p>
      <w:pPr>
        <w:pStyle w:val="Cuerpodetexto"/>
        <w:rPr>
          <w:lang w:val="es-ES" w:eastAsia="zh-CN" w:bidi="hi-IN"/>
        </w:rPr>
      </w:pPr>
      <w:r>
        <w:rPr>
          <w:lang w:val="es-ES" w:eastAsia="zh-CN" w:bidi="hi-IN"/>
        </w:rPr>
        <w:t xml:space="preserve">CONVOCATORIA PARA </w:t>
      </w:r>
      <w:r>
        <w:rPr>
          <w:rFonts w:eastAsia="Source Han Sans CN Regular" w:cs="Lohit Devanagari"/>
          <w:color w:val="auto"/>
          <w:kern w:val="2"/>
          <w:sz w:val="21"/>
          <w:szCs w:val="24"/>
          <w:lang w:val="es-ES" w:eastAsia="zh-CN" w:bidi="hi-IN"/>
        </w:rPr>
        <w:t>LA</w:t>
      </w:r>
      <w:r>
        <w:rPr>
          <w:lang w:val="es-ES" w:eastAsia="zh-CN" w:bidi="hi-IN"/>
        </w:rPr>
        <w:t xml:space="preserve"> CONCESIÓN DE BECAS DE COMEDOR ESCOLAR PARA E</w:t>
      </w:r>
      <w:r>
        <w:rPr>
          <w:lang w:val="es-ES" w:eastAsia="zh-CN" w:bidi="hi-IN"/>
        </w:rPr>
        <w:t>L</w:t>
      </w:r>
      <w:r>
        <w:rPr>
          <w:lang w:val="es-ES" w:eastAsia="zh-CN" w:bidi="hi-IN"/>
        </w:rPr>
        <w:t xml:space="preserve"> ALUMNADO DE 2º CICLO DE EDUCACIÓN INFANTIL Y ENSEÑANZA OBLIGATORIA, EN El CURSO ESCOLAR 2023-24.</w:t>
      </w:r>
    </w:p>
    <w:p>
      <w:pPr>
        <w:pStyle w:val="Cuerpodetexto"/>
        <w:rPr>
          <w:lang w:val="es-ES" w:eastAsia="zh-CN" w:bidi="hi-IN"/>
        </w:rPr>
      </w:pPr>
      <w:r>
        <w:rPr>
          <w:lang w:val="es-ES" w:eastAsia="zh-CN" w:bidi="hi-IN"/>
        </w:rPr>
      </w:r>
    </w:p>
    <w:p>
      <w:pPr>
        <w:pStyle w:val="Cuerpodetexto"/>
        <w:rPr>
          <w:lang w:val="es-ES" w:eastAsia="zh-CN" w:bidi="hi-IN"/>
        </w:rPr>
      </w:pPr>
      <w:r>
        <w:rPr>
          <w:lang w:val="es-ES" w:eastAsia="zh-CN" w:bidi="hi-IN"/>
        </w:rPr>
        <w:t>Por el acuerdo adoptado por el Pleno del Ayuntamiento, en su sesión del día 26/09/2013, sobre la Ordenanza reguladora de subvenciones del Ayuntamiento de Rianxo y publicado en el Boletín Oficial de la Provincia núm. 234 del 10/12/2013, se regulan las bases de la convocatoria del procedimiento en régimen de concurrencia competitiva para la concesión de ayudas destinadas a becas de comedor escolar para el alumnado de 2º ciclo de educación Infantil y enseñanza obligatoria (Primaria y Secundaria), en el curso escolar 2023-24.</w:t>
      </w:r>
    </w:p>
    <w:p>
      <w:pPr>
        <w:pStyle w:val="Cuerpodetexto"/>
        <w:rPr>
          <w:lang w:val="es-ES" w:eastAsia="zh-CN" w:bidi="hi-IN"/>
        </w:rPr>
      </w:pPr>
      <w:r>
        <w:rPr>
          <w:lang w:val="es-ES" w:eastAsia="zh-CN" w:bidi="hi-IN"/>
        </w:rPr>
      </w:r>
    </w:p>
    <w:p>
      <w:pPr>
        <w:pStyle w:val="Cuerpodetexto"/>
        <w:rPr>
          <w:lang w:val="es-ES" w:eastAsia="zh-CN" w:bidi="hi-IN"/>
        </w:rPr>
      </w:pPr>
      <w:r>
        <w:rPr>
          <w:lang w:val="es-ES" w:eastAsia="zh-CN" w:bidi="hi-IN"/>
        </w:rPr>
        <w:t>BASE 1. O</w:t>
      </w:r>
      <w:r>
        <w:rPr>
          <w:rFonts w:eastAsia="Source Han Sans CN Regular" w:cs="Lohit Devanagari"/>
          <w:color w:val="auto"/>
          <w:kern w:val="2"/>
          <w:sz w:val="21"/>
          <w:szCs w:val="24"/>
          <w:lang w:val="es-ES" w:eastAsia="zh-CN" w:bidi="hi-IN"/>
        </w:rPr>
        <w:t>BJETO DE LA CONVOCATORIA</w:t>
      </w:r>
    </w:p>
    <w:p>
      <w:pPr>
        <w:pStyle w:val="Cuerpodetexto"/>
        <w:rPr>
          <w:lang w:val="es-ES" w:eastAsia="zh-CN" w:bidi="hi-IN"/>
        </w:rPr>
      </w:pPr>
      <w:r>
        <w:rPr>
          <w:lang w:val="es-ES" w:eastAsia="zh-CN" w:bidi="hi-IN"/>
        </w:rPr>
        <w:t>1. La igualdad de oportunidades ante lo enseño es uno de los retos principales que deben afrontar los poderes públicos para hacer efectivo el derecho de todas las personas a la educación. Una de las medidas fundamentales es el establecimiento de un sistema de bolsas y ayudas que posibiliten el acceso a los estudios de los escolares empadronados en el Ayuntamiento de Rianxo.</w:t>
      </w:r>
    </w:p>
    <w:p>
      <w:pPr>
        <w:pStyle w:val="Cuerpodetexto"/>
        <w:rPr>
          <w:lang w:val="es-ES" w:eastAsia="zh-CN" w:bidi="hi-IN"/>
        </w:rPr>
      </w:pPr>
      <w:r>
        <w:rPr>
          <w:lang w:val="es-ES" w:eastAsia="zh-CN" w:bidi="hi-IN"/>
        </w:rPr>
      </w:r>
    </w:p>
    <w:p>
      <w:pPr>
        <w:pStyle w:val="Cuerpodetexto"/>
        <w:rPr>
          <w:lang w:val="es-ES" w:eastAsia="zh-CN" w:bidi="hi-IN"/>
        </w:rPr>
      </w:pPr>
      <w:r>
        <w:rPr>
          <w:lang w:val="es-ES" w:eastAsia="zh-CN" w:bidi="hi-IN"/>
        </w:rPr>
        <w:t>BASE 2. TIPO DE AYUDAS</w:t>
      </w:r>
    </w:p>
    <w:p>
      <w:pPr>
        <w:pStyle w:val="Cuerpodetexto"/>
        <w:rPr>
          <w:lang w:val="es-ES" w:eastAsia="zh-CN" w:bidi="hi-IN"/>
        </w:rPr>
      </w:pPr>
      <w:r>
        <w:rPr>
          <w:lang w:val="es-ES" w:eastAsia="zh-CN" w:bidi="hi-IN"/>
        </w:rPr>
        <w:t xml:space="preserve">a) Becas de comedor escolar: se otorgarán 25 becas de 200,00 € como máximo cada una para cada crianza usuaria del comedor. </w:t>
      </w:r>
    </w:p>
    <w:p>
      <w:pPr>
        <w:pStyle w:val="Cuerpodetexto"/>
        <w:rPr>
          <w:lang w:val="es-ES" w:eastAsia="zh-CN" w:bidi="hi-IN"/>
        </w:rPr>
      </w:pPr>
      <w:r>
        <w:rPr>
          <w:lang w:val="es-ES" w:eastAsia="zh-CN" w:bidi="hi-IN"/>
        </w:rPr>
      </w:r>
    </w:p>
    <w:p>
      <w:pPr>
        <w:pStyle w:val="Cuerpodetexto"/>
        <w:rPr>
          <w:lang w:val="es-ES" w:eastAsia="zh-CN" w:bidi="hi-IN"/>
        </w:rPr>
      </w:pPr>
      <w:r>
        <w:rPr>
          <w:lang w:val="es-ES" w:eastAsia="zh-CN" w:bidi="hi-IN"/>
        </w:rPr>
        <w:t xml:space="preserve">ARTÍCULO 3. FINANCIACIÓN Y PERÍODO SUBVENCIONABLE DE </w:t>
      </w:r>
      <w:r>
        <w:rPr>
          <w:rFonts w:eastAsia="Source Han Sans CN Regular" w:cs="Lohit Devanagari"/>
          <w:color w:val="auto"/>
          <w:kern w:val="2"/>
          <w:sz w:val="21"/>
          <w:szCs w:val="24"/>
          <w:lang w:val="es-ES" w:eastAsia="zh-CN" w:bidi="hi-IN"/>
        </w:rPr>
        <w:t>LAS</w:t>
      </w:r>
      <w:r>
        <w:rPr>
          <w:lang w:val="es-ES" w:eastAsia="zh-CN" w:bidi="hi-IN"/>
        </w:rPr>
        <w:t xml:space="preserve"> AYUDAS</w:t>
      </w:r>
    </w:p>
    <w:p>
      <w:pPr>
        <w:pStyle w:val="Cuerpodetexto"/>
        <w:rPr>
          <w:lang w:val="es-ES" w:eastAsia="zh-CN" w:bidi="hi-IN"/>
        </w:rPr>
      </w:pPr>
      <w:r>
        <w:rPr>
          <w:lang w:val="es-ES" w:eastAsia="zh-CN" w:bidi="hi-IN"/>
        </w:rPr>
        <w:t>1. Para la concesión de estas ayudas, el ayuntamiento de Rianxo,  destinará  un importe máximo  de 5.000,00€, con cargo a la aplicación presupuestaria 231.48003.</w:t>
      </w:r>
    </w:p>
    <w:p>
      <w:pPr>
        <w:pStyle w:val="Cuerpodetexto"/>
        <w:rPr>
          <w:lang w:val="es-ES" w:eastAsia="zh-CN" w:bidi="hi-IN"/>
        </w:rPr>
      </w:pPr>
      <w:r>
        <w:rPr>
          <w:lang w:val="es-ES" w:eastAsia="zh-CN" w:bidi="hi-IN"/>
        </w:rPr>
        <w:t>2</w:t>
      </w:r>
      <w:r>
        <w:rPr>
          <w:lang w:val="es-ES" w:eastAsia="zh-CN" w:bidi="hi-IN"/>
        </w:rPr>
        <w:t xml:space="preserve">. Se establece la posibilidad de incrementar el importe máximo de esta convocatoria. Este incremento ven condicionado a la existencia de crédito disponible para la misma finalidad en el Presupuesto del 2023, bien como consecuencia de una modificación presupuestaria o por economías en otras convocatorias de ayudas sociales, imputables en el mismo nivel de vinculación jurídica. Para que este importe adicional sea efectivo, deberá aprobarse por Resolución de la Alcaldía, tras las modificaciones presupuestarias que procedan, antes de la resolución de concesión. </w:t>
      </w:r>
    </w:p>
    <w:p>
      <w:pPr>
        <w:pStyle w:val="Cuerpodetexto"/>
        <w:rPr>
          <w:lang w:val="es-ES" w:eastAsia="zh-CN" w:bidi="hi-IN"/>
        </w:rPr>
      </w:pPr>
      <w:r>
        <w:rPr>
          <w:lang w:val="es-ES" w:eastAsia="zh-CN" w:bidi="hi-IN"/>
        </w:rPr>
      </w:r>
    </w:p>
    <w:p>
      <w:pPr>
        <w:pStyle w:val="Cuerpodetexto"/>
        <w:rPr>
          <w:lang w:val="es-ES" w:eastAsia="zh-CN" w:bidi="hi-IN"/>
        </w:rPr>
      </w:pPr>
      <w:r>
        <w:rPr>
          <w:lang w:val="es-ES" w:eastAsia="zh-CN" w:bidi="hi-IN"/>
        </w:rPr>
      </w:r>
    </w:p>
    <w:p>
      <w:pPr>
        <w:pStyle w:val="Cuerpodetexto"/>
        <w:rPr>
          <w:lang w:val="es-ES" w:eastAsia="zh-CN" w:bidi="hi-IN"/>
        </w:rPr>
      </w:pPr>
      <w:r>
        <w:rPr>
          <w:lang w:val="es-ES" w:eastAsia="zh-CN" w:bidi="hi-IN"/>
        </w:rPr>
        <w:t xml:space="preserve">BASE 4. REQUISITOS </w:t>
      </w:r>
    </w:p>
    <w:p>
      <w:pPr>
        <w:pStyle w:val="Cuerpodetexto"/>
        <w:rPr>
          <w:lang w:val="es-ES" w:eastAsia="zh-CN" w:bidi="hi-IN"/>
        </w:rPr>
      </w:pPr>
      <w:r>
        <w:rPr>
          <w:lang w:val="es-ES" w:eastAsia="zh-CN" w:bidi="hi-IN"/>
        </w:rPr>
        <w:t>1. Las ayudas se destinarán a familias con hijos cursando el 2º ciclo educación infantil y enseñanza obligatoria, siempre que  los recursos económicos de la unidad familiar no superen el 1.5 IPREM renta per cápita. En el caso de familias monoparentales, familias con algún menor con discapacidad y/o familias con menores en situación de violencia de género, este límite económico se incrementará un 10% en su renta per cápita.</w:t>
      </w:r>
    </w:p>
    <w:p>
      <w:pPr>
        <w:pStyle w:val="Cuerpodetexto"/>
        <w:rPr>
          <w:lang w:val="es-ES" w:eastAsia="zh-CN" w:bidi="hi-IN"/>
        </w:rPr>
      </w:pPr>
      <w:r>
        <w:rPr>
          <w:lang w:val="es-ES" w:eastAsia="zh-CN" w:bidi="hi-IN"/>
        </w:rPr>
        <w:t>2. Que tengan la residencia y empadronamiento #real y efectivo en el Ayuntamiento de Rianxo.</w:t>
      </w:r>
    </w:p>
    <w:p>
      <w:pPr>
        <w:pStyle w:val="Cuerpodetexto"/>
        <w:rPr>
          <w:lang w:val="es-ES" w:eastAsia="zh-CN" w:bidi="hi-IN"/>
        </w:rPr>
      </w:pPr>
      <w:r>
        <w:rPr>
          <w:lang w:val="es-ES" w:eastAsia="zh-CN" w:bidi="hi-IN"/>
        </w:rPr>
        <w:t>3. Que en el curso escolar 2023-2024 tengan matricula y usen el comedor escolar en un centro de enseñanza del Ayuntamiento de Rianxo.</w:t>
      </w:r>
    </w:p>
    <w:p>
      <w:pPr>
        <w:pStyle w:val="Cuerpodetexto"/>
        <w:rPr>
          <w:lang w:val="es-ES" w:eastAsia="zh-CN" w:bidi="hi-IN"/>
        </w:rPr>
      </w:pPr>
      <w:r>
        <w:rPr>
          <w:lang w:val="es-ES" w:eastAsia="zh-CN" w:bidi="hi-IN"/>
        </w:rPr>
      </w:r>
    </w:p>
    <w:p>
      <w:pPr>
        <w:pStyle w:val="Cuerpodetexto"/>
        <w:rPr>
          <w:lang w:val="es-ES" w:eastAsia="zh-CN" w:bidi="hi-IN"/>
        </w:rPr>
      </w:pPr>
      <w:r>
        <w:rPr>
          <w:lang w:val="es-ES" w:eastAsia="zh-CN" w:bidi="hi-IN"/>
        </w:rPr>
        <w:t xml:space="preserve">BASE 5. Personas destinatarias de las ayudas </w:t>
      </w:r>
    </w:p>
    <w:p>
      <w:pPr>
        <w:pStyle w:val="Cuerpodetexto"/>
        <w:rPr>
          <w:lang w:val="es-ES" w:eastAsia="zh-CN" w:bidi="hi-IN"/>
        </w:rPr>
      </w:pPr>
      <w:r>
        <w:rPr>
          <w:lang w:val="es-ES" w:eastAsia="zh-CN" w:bidi="hi-IN"/>
        </w:rPr>
        <w:t>1. Familias con hijos que cursen sus estudios en un centro educativo del Ayuntamiento de Rianxo y que sean usuarios del comedor escolar.</w:t>
      </w:r>
    </w:p>
    <w:p>
      <w:pPr>
        <w:pStyle w:val="Cuerpodetexto"/>
        <w:rPr>
          <w:lang w:val="es-ES" w:eastAsia="zh-CN" w:bidi="hi-IN"/>
        </w:rPr>
      </w:pPr>
      <w:r>
        <w:rPr>
          <w:lang w:val="es-ES" w:eastAsia="zh-CN" w:bidi="hi-IN"/>
        </w:rPr>
      </w:r>
    </w:p>
    <w:p>
      <w:pPr>
        <w:pStyle w:val="Cuerpodetexto"/>
        <w:rPr>
          <w:lang w:val="es-ES" w:eastAsia="zh-CN" w:bidi="hi-IN"/>
        </w:rPr>
      </w:pPr>
      <w:r>
        <w:rPr>
          <w:lang w:val="es-ES" w:eastAsia="zh-CN" w:bidi="hi-IN"/>
        </w:rPr>
        <w:t>BASE 6. Presentación de solicitudes</w:t>
      </w:r>
    </w:p>
    <w:p>
      <w:pPr>
        <w:pStyle w:val="Cuerpodetexto"/>
        <w:rPr>
          <w:lang w:val="es-ES" w:eastAsia="zh-CN" w:bidi="hi-IN"/>
        </w:rPr>
      </w:pPr>
      <w:r>
        <w:rPr>
          <w:lang w:val="es-ES" w:eastAsia="zh-CN" w:bidi="hi-IN"/>
        </w:rPr>
        <w:t>1. Publicación</w:t>
      </w:r>
    </w:p>
    <w:p>
      <w:pPr>
        <w:pStyle w:val="Cuerpodetexto"/>
        <w:rPr>
          <w:lang w:val="es-ES" w:eastAsia="zh-CN" w:bidi="hi-IN"/>
        </w:rPr>
      </w:pPr>
      <w:r>
        <w:rPr>
          <w:lang w:val="es-ES" w:eastAsia="zh-CN" w:bidi="hi-IN"/>
        </w:rPr>
        <w:t>La convocatoria para la concesión de ayudas destinadas a BECAS DE COMEDOR ESCOLAR PARA El ALUMNADO DE 2º CICLO DE EDUCACIÓN INFANTIL Y ENSEÑANZA OBLIGATORIA (educación primaria y educación secundaria), EN El CURSO ESCOLAR 2023-24, se publicará en la Base de Datos Nacional de Subvenciones (BDNS), en el Boletín Oficial de la Provincia, en el tablero de anuncios del Ayuntamiento de Rianxo, y mediante la difusión de bandos informativos, así como también en la sede electrónica del Ayuntamiento de Rianxo:</w:t>
      </w:r>
    </w:p>
    <w:p>
      <w:pPr>
        <w:pStyle w:val="Cuerpodetexto"/>
        <w:rPr>
          <w:lang w:val="es-ES" w:eastAsia="zh-CN" w:bidi="hi-IN"/>
        </w:rPr>
      </w:pPr>
      <w:r>
        <w:rPr>
          <w:lang w:val="es-ES" w:eastAsia="zh-CN" w:bidi="hi-IN"/>
        </w:rPr>
        <w:t xml:space="preserve"> </w:t>
      </w:r>
      <w:r>
        <w:rPr>
          <w:lang w:val="es-ES" w:eastAsia="zh-CN" w:bidi="hi-IN"/>
        </w:rPr>
        <w:t>https://sede.concelloderianxo.es</w:t>
      </w:r>
    </w:p>
    <w:p>
      <w:pPr>
        <w:pStyle w:val="Cuerpodetexto"/>
        <w:rPr>
          <w:lang w:val="es-ES" w:eastAsia="zh-CN" w:bidi="hi-IN"/>
        </w:rPr>
      </w:pPr>
      <w:r>
        <w:rPr>
          <w:lang w:val="es-ES" w:eastAsia="zh-CN" w:bidi="hi-IN"/>
        </w:rPr>
        <w:t>2. Plazo</w:t>
      </w:r>
    </w:p>
    <w:p>
      <w:pPr>
        <w:pStyle w:val="Cuerpodetexto"/>
        <w:rPr>
          <w:lang w:val="es-ES" w:eastAsia="zh-CN" w:bidi="hi-IN"/>
        </w:rPr>
      </w:pPr>
      <w:r>
        <w:rPr>
          <w:lang w:val="es-ES" w:eastAsia="zh-CN" w:bidi="hi-IN"/>
        </w:rPr>
        <w:t>Quince días hábiles contados a partir de la publicación de la convocatoria en el BOP.</w:t>
      </w:r>
    </w:p>
    <w:p>
      <w:pPr>
        <w:pStyle w:val="Cuerpodetexto"/>
        <w:rPr>
          <w:lang w:val="es-ES" w:eastAsia="zh-CN" w:bidi="hi-IN"/>
        </w:rPr>
      </w:pPr>
      <w:r>
        <w:rPr>
          <w:lang w:val="es-ES" w:eastAsia="zh-CN" w:bidi="hi-IN"/>
        </w:rPr>
        <w:t>3. Lugar</w:t>
      </w:r>
    </w:p>
    <w:p>
      <w:pPr>
        <w:pStyle w:val="Cuerpodetexto"/>
        <w:rPr>
          <w:lang w:val="es-ES" w:eastAsia="zh-CN" w:bidi="hi-IN"/>
        </w:rPr>
      </w:pPr>
      <w:r>
        <w:rPr>
          <w:lang w:val="es-ES" w:eastAsia="zh-CN" w:bidi="hi-IN"/>
        </w:rPr>
        <w:t>En la sede electrónica o en el Registro General del Ayuntamiento de Rianxo.</w:t>
      </w:r>
    </w:p>
    <w:p>
      <w:pPr>
        <w:pStyle w:val="Cuerpodetexto"/>
        <w:rPr>
          <w:lang w:val="es-ES" w:eastAsia="zh-CN" w:bidi="hi-IN"/>
        </w:rPr>
      </w:pPr>
      <w:r>
        <w:rPr>
          <w:lang w:val="es-ES" w:eastAsia="zh-CN" w:bidi="hi-IN"/>
        </w:rPr>
        <w:t>4. Documentación</w:t>
      </w:r>
    </w:p>
    <w:p>
      <w:pPr>
        <w:pStyle w:val="Cuerpodetexto"/>
        <w:rPr>
          <w:lang w:val="es-ES" w:eastAsia="zh-CN" w:bidi="hi-IN"/>
        </w:rPr>
      </w:pPr>
      <w:r>
        <w:rPr>
          <w:lang w:val="es-ES" w:eastAsia="zh-CN" w:bidi="hi-IN"/>
        </w:rPr>
        <w:t>4.1. Genérica:</w:t>
      </w:r>
    </w:p>
    <w:p>
      <w:pPr>
        <w:pStyle w:val="Cuerpodetexto"/>
        <w:rPr>
          <w:lang w:val="es-ES" w:eastAsia="zh-CN" w:bidi="hi-IN"/>
        </w:rPr>
      </w:pPr>
      <w:r>
        <w:rPr>
          <w:lang w:val="es-ES" w:eastAsia="zh-CN" w:bidi="hi-IN"/>
        </w:rPr>
        <w:t>- Modelo de solicitud (disponible en la página web del Ayuntamiento de Rianxo, en el Registro General y en el departamento de Servicios Sociales). La solicitud deberá realizarla lo/a padre/madre/tutor/a legal del/a alumno/a por tratarse de menores de edad.</w:t>
      </w:r>
    </w:p>
    <w:p>
      <w:pPr>
        <w:pStyle w:val="Cuerpodetexto"/>
        <w:rPr>
          <w:lang w:val="es-ES" w:eastAsia="zh-CN" w:bidi="hi-IN"/>
        </w:rPr>
      </w:pPr>
      <w:r>
        <w:rPr>
          <w:lang w:val="es-ES" w:eastAsia="zh-CN" w:bidi="hi-IN"/>
        </w:rPr>
        <w:t>- Anexo 2: Declaración responsable del conjunto de todas las solicitudes efectuadas o concedidas para la misma finalidad de las distintas administraciones públicas competentes y de no estar incurso/a en ninguno de los supuestos que impiden obtener la condición de persona beneficiaria de subvenciones de las administraciones públicas, que encuentran recogidos en el artículo 13 de la Ley 38/2003, general de subvenciones.</w:t>
      </w:r>
    </w:p>
    <w:p>
      <w:pPr>
        <w:pStyle w:val="Cuerpodetexto"/>
        <w:rPr>
          <w:lang w:val="es-ES" w:eastAsia="zh-CN" w:bidi="hi-IN"/>
        </w:rPr>
      </w:pPr>
      <w:r>
        <w:rPr>
          <w:lang w:val="es-ES" w:eastAsia="zh-CN" w:bidi="hi-IN"/>
        </w:rPr>
        <w:t>- Copia del DNI, pasaporte, NIE o documento análogo de todas las personas de la unidad familiar.</w:t>
      </w:r>
    </w:p>
    <w:p>
      <w:pPr>
        <w:pStyle w:val="Cuerpodetexto"/>
        <w:rPr>
          <w:lang w:val="es-ES" w:eastAsia="zh-CN" w:bidi="hi-IN"/>
        </w:rPr>
      </w:pPr>
      <w:r>
        <w:rPr>
          <w:lang w:val="es-ES" w:eastAsia="zh-CN" w:bidi="hi-IN"/>
        </w:rPr>
        <w:t>- Datos bancarios: certificación bancaria del Código IBAN a nombre del/a solicitante cuñada por la entidad bancaria.</w:t>
      </w:r>
    </w:p>
    <w:p>
      <w:pPr>
        <w:pStyle w:val="Cuerpodetexto"/>
        <w:rPr>
          <w:lang w:val="es-ES" w:eastAsia="zh-CN" w:bidi="hi-IN"/>
        </w:rPr>
      </w:pPr>
      <w:r>
        <w:rPr>
          <w:lang w:val="es-ES" w:eastAsia="zh-CN" w:bidi="hi-IN"/>
        </w:rPr>
      </w:r>
    </w:p>
    <w:p>
      <w:pPr>
        <w:pStyle w:val="Cuerpodetexto"/>
        <w:rPr>
          <w:lang w:val="es-ES" w:eastAsia="zh-CN" w:bidi="hi-IN"/>
        </w:rPr>
      </w:pPr>
      <w:r>
        <w:rPr>
          <w:lang w:val="es-ES" w:eastAsia="zh-CN" w:bidi="hi-IN"/>
        </w:rPr>
        <w:t>4.2. Justificación de ingresos:</w:t>
      </w:r>
    </w:p>
    <w:p>
      <w:pPr>
        <w:pStyle w:val="Cuerpodetexto"/>
        <w:rPr>
          <w:lang w:val="es-ES" w:eastAsia="zh-CN" w:bidi="hi-IN"/>
        </w:rPr>
      </w:pPr>
      <w:r>
        <w:rPr>
          <w:lang w:val="es-ES" w:eastAsia="zh-CN" w:bidi="hi-IN"/>
        </w:rPr>
        <w:t>Se está presentada la declaración de la renta:</w:t>
      </w:r>
    </w:p>
    <w:p>
      <w:pPr>
        <w:pStyle w:val="Cuerpodetexto"/>
        <w:rPr>
          <w:lang w:val="es-ES" w:eastAsia="zh-CN" w:bidi="hi-IN"/>
        </w:rPr>
      </w:pPr>
      <w:r>
        <w:rPr>
          <w:lang w:val="es-ES" w:eastAsia="zh-CN" w:bidi="hi-IN"/>
        </w:rPr>
        <w:t>- Copia de la Declaración del IRPF correspondiente al ejercicio 2022</w:t>
      </w:r>
    </w:p>
    <w:p>
      <w:pPr>
        <w:pStyle w:val="Cuerpodetexto"/>
        <w:rPr>
          <w:lang w:val="es-ES" w:eastAsia="zh-CN" w:bidi="hi-IN"/>
        </w:rPr>
      </w:pPr>
      <w:r>
        <w:rPr>
          <w:lang w:val="es-ES" w:eastAsia="zh-CN" w:bidi="hi-IN"/>
        </w:rPr>
        <w:t>Si no está presentada la declaración de la renta:</w:t>
      </w:r>
    </w:p>
    <w:p>
      <w:pPr>
        <w:pStyle w:val="Cuerpodetexto"/>
        <w:rPr>
          <w:lang w:val="es-ES" w:eastAsia="zh-CN" w:bidi="hi-IN"/>
        </w:rPr>
      </w:pPr>
      <w:r>
        <w:rPr>
          <w:lang w:val="es-ES" w:eastAsia="zh-CN" w:bidi="hi-IN"/>
        </w:rPr>
        <w:t>- Certificación expedida por la AEAT de no tener presentada la Declaración del IRPF correspondiente al ejercicio 2022.</w:t>
      </w:r>
    </w:p>
    <w:p>
      <w:pPr>
        <w:pStyle w:val="Cuerpodetexto"/>
        <w:rPr>
          <w:lang w:val="es-ES" w:eastAsia="zh-CN" w:bidi="hi-IN"/>
        </w:rPr>
      </w:pPr>
      <w:r>
        <w:rPr>
          <w:lang w:val="es-ES" w:eastAsia="zh-CN" w:bidi="hi-IN"/>
        </w:rPr>
        <w:t>- Justificantes de ingresos del ejercicio 2022 de todas las personas de la unidad familiar mayores de edad (nóminas, certificado del INEM, certificado de la pensión, etc.) si no aparecen datos económicos en la certificación.</w:t>
      </w:r>
    </w:p>
    <w:p>
      <w:pPr>
        <w:pStyle w:val="Cuerpodetexto"/>
        <w:rPr>
          <w:lang w:val="es-ES" w:eastAsia="zh-CN" w:bidi="hi-IN"/>
        </w:rPr>
      </w:pPr>
      <w:r>
        <w:rPr>
          <w:lang w:val="es-ES" w:eastAsia="zh-CN" w:bidi="hi-IN"/>
        </w:rPr>
      </w:r>
    </w:p>
    <w:p>
      <w:pPr>
        <w:pStyle w:val="Cuerpodetexto"/>
        <w:rPr>
          <w:lang w:val="es-ES" w:eastAsia="zh-CN" w:bidi="hi-IN"/>
        </w:rPr>
      </w:pPr>
      <w:r>
        <w:rPr>
          <w:lang w:val="es-ES" w:eastAsia="zh-CN" w:bidi="hi-IN"/>
        </w:rPr>
        <w:t>4.3. Específica:</w:t>
      </w:r>
    </w:p>
    <w:p>
      <w:pPr>
        <w:pStyle w:val="Cuerpodetexto"/>
        <w:rPr>
          <w:lang w:val="es-ES" w:eastAsia="zh-CN" w:bidi="hi-IN"/>
        </w:rPr>
      </w:pPr>
      <w:r>
        <w:rPr>
          <w:lang w:val="es-ES" w:eastAsia="zh-CN" w:bidi="hi-IN"/>
        </w:rPr>
        <w:t>- Titulo de familia numerosa, si es el caso.</w:t>
      </w:r>
    </w:p>
    <w:p>
      <w:pPr>
        <w:pStyle w:val="Cuerpodetexto"/>
        <w:rPr>
          <w:lang w:val="es-ES" w:eastAsia="zh-CN" w:bidi="hi-IN"/>
        </w:rPr>
      </w:pPr>
      <w:r>
        <w:rPr>
          <w:lang w:val="es-ES" w:eastAsia="zh-CN" w:bidi="hi-IN"/>
        </w:rPr>
        <w:t>- Certificado de discapacidad igual o superior al 33%, si es el caso.</w:t>
      </w:r>
    </w:p>
    <w:p>
      <w:pPr>
        <w:pStyle w:val="Cuerpodetexto"/>
        <w:rPr>
          <w:lang w:val="es-ES" w:eastAsia="zh-CN" w:bidi="hi-IN"/>
        </w:rPr>
      </w:pPr>
      <w:r>
        <w:rPr>
          <w:lang w:val="es-ES" w:eastAsia="zh-CN" w:bidi="hi-IN"/>
        </w:rPr>
        <w:t>- Acreditación de la unidad familiar monoparental, si es el caso, mediante sentencia de separación o divorcio, convenio regulador o resolución de medidas paterno-filiales.</w:t>
      </w:r>
    </w:p>
    <w:p>
      <w:pPr>
        <w:pStyle w:val="Cuerpodetexto"/>
        <w:rPr>
          <w:lang w:val="es-ES" w:eastAsia="zh-CN" w:bidi="hi-IN"/>
        </w:rPr>
      </w:pPr>
      <w:r>
        <w:rPr>
          <w:lang w:val="es-ES" w:eastAsia="zh-CN" w:bidi="hi-IN"/>
        </w:rPr>
        <w:t>- Justificante de gasto de alquiler (anexo 3), si es el caso.</w:t>
      </w:r>
    </w:p>
    <w:p>
      <w:pPr>
        <w:pStyle w:val="Cuerpodetexto"/>
        <w:rPr>
          <w:lang w:val="es-ES" w:eastAsia="zh-CN" w:bidi="hi-IN"/>
        </w:rPr>
      </w:pPr>
      <w:r>
        <w:rPr>
          <w:lang w:val="es-ES" w:eastAsia="zh-CN" w:bidi="hi-IN"/>
        </w:rPr>
        <w:t>- Justificante de hipoteca de la vivienda habitual, si es el caso, en la que consten claramente los datos de la persona titular y declaración responsable (anexo 4) donde deberá constar que se trata de la primera vivienda y que esta es residencia habitual.</w:t>
      </w:r>
    </w:p>
    <w:p>
      <w:pPr>
        <w:pStyle w:val="Cuerpodetexto"/>
        <w:rPr>
          <w:lang w:val="es-ES" w:eastAsia="zh-CN" w:bidi="hi-IN"/>
        </w:rPr>
      </w:pPr>
      <w:r>
        <w:rPr>
          <w:lang w:val="es-ES" w:eastAsia="zh-CN" w:bidi="hi-IN"/>
        </w:rPr>
        <w:t>- Certificado del INEM que acredite la situación  de desempleo y la fecha de alta como demandante de empleo, si es el caso.</w:t>
      </w:r>
    </w:p>
    <w:p>
      <w:pPr>
        <w:pStyle w:val="Cuerpodetexto"/>
        <w:rPr>
          <w:lang w:val="es-ES" w:eastAsia="zh-CN" w:bidi="hi-IN"/>
        </w:rPr>
      </w:pPr>
      <w:r>
        <w:rPr>
          <w:lang w:val="es-ES" w:eastAsia="zh-CN" w:bidi="hi-IN"/>
        </w:rPr>
        <w:t>- Certificado del INEM que acredite ser beneficiario/a o no de alguna prestación económica y la fecha de su inicio y final, si es el caso.</w:t>
      </w:r>
    </w:p>
    <w:p>
      <w:pPr>
        <w:pStyle w:val="Cuerpodetexto"/>
        <w:rPr>
          <w:lang w:val="es-ES" w:eastAsia="zh-CN" w:bidi="hi-IN"/>
        </w:rPr>
      </w:pPr>
      <w:r>
        <w:rPr>
          <w:lang w:val="es-ES" w:eastAsia="zh-CN" w:bidi="hi-IN"/>
        </w:rPr>
        <w:t>- Certificado de la secretaría del centro de enseñanza o copia de la matrícula en caso de que haya algún miembro en la unidad familiar menor de 25 años cursando estudios postobrigatorios o universitarios.</w:t>
      </w:r>
    </w:p>
    <w:p>
      <w:pPr>
        <w:pStyle w:val="Cuerpodetexto"/>
        <w:rPr>
          <w:lang w:val="es-ES" w:eastAsia="zh-CN" w:bidi="hi-IN"/>
        </w:rPr>
      </w:pPr>
      <w:r>
        <w:rPr>
          <w:lang w:val="es-ES" w:eastAsia="zh-CN" w:bidi="hi-IN"/>
        </w:rPr>
        <w:t>- Justificante de la jornada laboral, a través del contrato de trabajo o certificado de empresa.</w:t>
      </w:r>
    </w:p>
    <w:p>
      <w:pPr>
        <w:pStyle w:val="Cuerpodetexto"/>
        <w:rPr>
          <w:lang w:val="es-ES" w:eastAsia="zh-CN" w:bidi="hi-IN"/>
        </w:rPr>
      </w:pPr>
      <w:r>
        <w:rPr>
          <w:lang w:val="es-ES" w:eastAsia="zh-CN" w:bidi="hi-IN"/>
        </w:rPr>
        <w:t>En el formulario de solicitud se autoriza la comprobación, por los Servicios Sociales Comunitarios municipales, de los datos de residencia y convivencia, e incorpora un volante para estos efectos.</w:t>
      </w:r>
    </w:p>
    <w:p>
      <w:pPr>
        <w:pStyle w:val="Cuerpodetexto"/>
        <w:rPr>
          <w:lang w:val="es-ES" w:eastAsia="zh-CN" w:bidi="hi-IN"/>
        </w:rPr>
      </w:pPr>
      <w:r>
        <w:rPr>
          <w:lang w:val="es-ES" w:eastAsia="zh-CN" w:bidi="hi-IN"/>
        </w:rPr>
      </w:r>
    </w:p>
    <w:p>
      <w:pPr>
        <w:pStyle w:val="Cuerpodetexto"/>
        <w:rPr>
          <w:lang w:val="es-ES" w:eastAsia="zh-CN" w:bidi="hi-IN"/>
        </w:rPr>
      </w:pPr>
      <w:r>
        <w:rPr>
          <w:lang w:val="es-ES" w:eastAsia="zh-CN" w:bidi="hi-IN"/>
        </w:rPr>
        <w:t>BASE 7. Criterios de evaluación</w:t>
      </w:r>
    </w:p>
    <w:p>
      <w:pPr>
        <w:pStyle w:val="Cuerpodetexto"/>
        <w:rPr>
          <w:lang w:val="es-ES" w:eastAsia="zh-CN" w:bidi="hi-IN"/>
        </w:rPr>
      </w:pPr>
      <w:r>
        <w:rPr>
          <w:lang w:val="es-ES" w:eastAsia="zh-CN" w:bidi="hi-IN"/>
        </w:rPr>
        <w:t>La Comisión Evaluadora determinará la concesión o denegación segunda los siguientes criterios:</w:t>
      </w:r>
    </w:p>
    <w:p>
      <w:pPr>
        <w:pStyle w:val="Cuerpodetexto"/>
        <w:rPr>
          <w:lang w:val="es-ES" w:eastAsia="zh-CN" w:bidi="hi-IN"/>
        </w:rPr>
      </w:pPr>
      <w:r>
        <w:rPr>
          <w:lang w:val="es-ES" w:eastAsia="zh-CN" w:bidi="hi-IN"/>
        </w:rPr>
        <w:t xml:space="preserve">1. Renta </w:t>
      </w:r>
      <w:r>
        <w:rPr>
          <w:i w:val="false"/>
          <w:iCs w:val="false"/>
          <w:lang w:val="es-ES" w:eastAsia="zh-CN" w:bidi="hi-IN"/>
        </w:rPr>
        <w:t>per</w:t>
      </w:r>
      <w:r>
        <w:rPr>
          <w:lang w:val="es-ES" w:eastAsia="zh-CN" w:bidi="hi-IN"/>
        </w:rPr>
        <w:t xml:space="preserve"> cápita.</w:t>
      </w:r>
    </w:p>
    <w:p>
      <w:pPr>
        <w:pStyle w:val="Cuerpodetexto"/>
        <w:rPr>
          <w:lang w:val="es-ES" w:eastAsia="zh-CN" w:bidi="hi-IN"/>
        </w:rPr>
      </w:pPr>
      <w:r>
        <w:rPr>
          <w:lang w:val="es-ES" w:eastAsia="zh-CN" w:bidi="hi-IN"/>
        </w:rPr>
        <w:t>2. Número de miembros de la unidad familiar.</w:t>
      </w:r>
    </w:p>
    <w:p>
      <w:pPr>
        <w:pStyle w:val="Cuerpodetexto"/>
        <w:rPr>
          <w:lang w:val="es-ES" w:eastAsia="zh-CN" w:bidi="hi-IN"/>
        </w:rPr>
      </w:pPr>
      <w:r>
        <w:rPr>
          <w:lang w:val="es-ES" w:eastAsia="zh-CN" w:bidi="hi-IN"/>
        </w:rPr>
        <w:t>3. Condiciones familiares de la persona solicitante.</w:t>
      </w:r>
    </w:p>
    <w:p>
      <w:pPr>
        <w:pStyle w:val="Cuerpodetexto"/>
        <w:rPr>
          <w:lang w:val="es-ES" w:eastAsia="zh-CN" w:bidi="hi-IN"/>
        </w:rPr>
      </w:pPr>
      <w:r>
        <w:rPr>
          <w:lang w:val="es-ES" w:eastAsia="zh-CN" w:bidi="hi-IN"/>
        </w:rPr>
        <w:t>4. Vivienda.</w:t>
      </w:r>
    </w:p>
    <w:p>
      <w:pPr>
        <w:pStyle w:val="Cuerpodetexto"/>
        <w:rPr>
          <w:lang w:val="es-ES" w:eastAsia="zh-CN" w:bidi="hi-IN"/>
        </w:rPr>
      </w:pPr>
      <w:r>
        <w:rPr>
          <w:lang w:val="es-ES" w:eastAsia="zh-CN" w:bidi="hi-IN"/>
        </w:rPr>
        <w:t>La ponderación de estas situaciones será la siguiente, para cada uno de los criterios:</w:t>
      </w:r>
    </w:p>
    <w:p>
      <w:pPr>
        <w:pStyle w:val="Cuerpodetexto"/>
        <w:rPr>
          <w:lang w:val="es-ES" w:eastAsia="zh-CN" w:bidi="hi-IN"/>
        </w:rPr>
      </w:pPr>
      <w:r>
        <w:rPr>
          <w:lang w:val="es-ES" w:eastAsia="zh-CN" w:bidi="hi-IN"/>
        </w:rPr>
      </w:r>
    </w:p>
    <w:p>
      <w:pPr>
        <w:pStyle w:val="Cuerpodetexto"/>
        <w:rPr>
          <w:lang w:val="es-ES" w:eastAsia="zh-CN" w:bidi="hi-IN"/>
        </w:rPr>
      </w:pPr>
      <w:r>
        <w:rPr>
          <w:lang w:val="es-ES" w:eastAsia="zh-CN" w:bidi="hi-IN"/>
        </w:rPr>
        <w:t>1. Renta per cápita</w:t>
      </w:r>
    </w:p>
    <w:p>
      <w:pPr>
        <w:pStyle w:val="Cuerpodetexto"/>
        <w:rPr/>
      </w:pPr>
      <w:r>
        <w:rPr>
          <w:lang w:val="es-ES" w:eastAsia="zh-CN" w:bidi="hi-IN"/>
        </w:rPr>
        <w:t xml:space="preserve">En aquellas solicitudes que sean valoradas por la declaración del IRPF de 2022, la renta vendrá determinada por la suma de la base imponible general </w:t>
      </w:r>
      <w:r>
        <w:rPr>
          <w:rFonts w:eastAsia="Source Han Sans CN Regular" w:cs="Lohit Devanagari"/>
          <w:color w:val="auto"/>
          <w:kern w:val="2"/>
          <w:sz w:val="21"/>
          <w:szCs w:val="24"/>
          <w:lang w:val="es-ES" w:eastAsia="zh-CN" w:bidi="hi-IN"/>
        </w:rPr>
        <w:t>más la</w:t>
      </w:r>
      <w:r>
        <w:rPr>
          <w:lang w:val="es-ES" w:eastAsia="zh-CN" w:bidi="hi-IN"/>
        </w:rPr>
        <w:t xml:space="preserve"> base imponible del ahorro (recuadros 435 y 460) y dividida esta entre los 12 meses del año y por el número de miembros de la unidad familiar. </w:t>
      </w:r>
    </w:p>
    <w:p>
      <w:pPr>
        <w:pStyle w:val="Cuerpodetexto"/>
        <w:rPr>
          <w:lang w:val="es-ES" w:eastAsia="zh-CN" w:bidi="hi-IN"/>
        </w:rPr>
      </w:pPr>
      <w:r>
        <w:rPr>
          <w:lang w:val="es-ES" w:eastAsia="zh-CN" w:bidi="hi-IN"/>
        </w:rPr>
        <w:t xml:space="preserve">Nos otros casos, se valorarán los ingresos líquidos más la cuantía de la retención del IRPF. </w:t>
      </w:r>
    </w:p>
    <w:p>
      <w:pPr>
        <w:pStyle w:val="Cuerpodetexto"/>
        <w:rPr>
          <w:lang w:val="es-ES" w:eastAsia="zh-CN" w:bidi="hi-IN"/>
        </w:rPr>
      </w:pPr>
      <w:r>
        <w:rPr>
          <w:lang w:val="es-ES" w:eastAsia="zh-CN" w:bidi="hi-IN"/>
        </w:rPr>
        <w:t>En las familias monoparentales, se sumarán los ingresos de la pensión de alimentos se corresponde.</w:t>
      </w:r>
    </w:p>
    <w:p>
      <w:pPr>
        <w:pStyle w:val="Cuerpodetexto"/>
        <w:rPr>
          <w:lang w:val="es-ES" w:eastAsia="zh-CN" w:bidi="hi-IN"/>
        </w:rPr>
      </w:pPr>
      <w:r>
        <w:rPr>
          <w:lang w:val="es-ES" w:eastAsia="zh-CN" w:bidi="hi-IN"/>
        </w:rPr>
        <w:t>RPC mensual de la unidad familiar, referida al Indicador Público de Efectos Múltiples (IPREM)</w:t>
      </w:r>
    </w:p>
    <w:p>
      <w:pPr>
        <w:pStyle w:val="Cuerpodetexto"/>
        <w:rPr>
          <w:lang w:val="es-ES" w:eastAsia="zh-CN" w:bidi="hi-IN"/>
        </w:rPr>
      </w:pPr>
      <w:r>
        <w:rPr>
          <w:lang w:val="es-ES" w:eastAsia="zh-CN" w:bidi="hi-IN"/>
        </w:rPr>
      </w:r>
    </w:p>
    <w:p>
      <w:pPr>
        <w:pStyle w:val="Cuerpodetexto"/>
        <w:rPr>
          <w:lang w:val="es-ES" w:eastAsia="zh-CN" w:bidi="hi-IN"/>
        </w:rPr>
      </w:pPr>
      <w:r>
        <w:rPr>
          <w:lang w:val="es-ES" w:eastAsia="zh-CN" w:bidi="hi-IN"/>
        </w:rPr>
        <w:t>- Inferior al 25% del IPREM: 10 puntos</w:t>
      </w:r>
    </w:p>
    <w:p>
      <w:pPr>
        <w:pStyle w:val="Cuerpodetexto"/>
        <w:rPr>
          <w:lang w:val="es-ES" w:eastAsia="zh-CN" w:bidi="hi-IN"/>
        </w:rPr>
      </w:pPr>
      <w:r>
        <w:rPr>
          <w:lang w:val="es-ES" w:eastAsia="zh-CN" w:bidi="hi-IN"/>
        </w:rPr>
        <w:t>- Entre lo 25% y el 50% del IPREM: 8 puntos</w:t>
      </w:r>
    </w:p>
    <w:p>
      <w:pPr>
        <w:pStyle w:val="Cuerpodetexto"/>
        <w:rPr>
          <w:lang w:val="es-ES" w:eastAsia="zh-CN" w:bidi="hi-IN"/>
        </w:rPr>
      </w:pPr>
      <w:r>
        <w:rPr>
          <w:lang w:val="es-ES" w:eastAsia="zh-CN" w:bidi="hi-IN"/>
        </w:rPr>
        <w:t>- Entre lo 50% y el 75% del IPREM: 6 puntos</w:t>
      </w:r>
    </w:p>
    <w:p>
      <w:pPr>
        <w:pStyle w:val="Cuerpodetexto"/>
        <w:rPr>
          <w:lang w:val="es-ES" w:eastAsia="zh-CN" w:bidi="hi-IN"/>
        </w:rPr>
      </w:pPr>
      <w:r>
        <w:rPr>
          <w:lang w:val="es-ES" w:eastAsia="zh-CN" w:bidi="hi-IN"/>
        </w:rPr>
        <w:t>- Entre lo 75% y el 100% del IPREM: 4 puntos</w:t>
      </w:r>
    </w:p>
    <w:p>
      <w:pPr>
        <w:pStyle w:val="Cuerpodetexto"/>
        <w:rPr>
          <w:lang w:val="es-ES" w:eastAsia="zh-CN" w:bidi="hi-IN"/>
        </w:rPr>
      </w:pPr>
      <w:r>
        <w:rPr>
          <w:lang w:val="es-ES" w:eastAsia="zh-CN" w:bidi="hi-IN"/>
        </w:rPr>
        <w:t>- Entre lo 100% y el 150% del IPREM: 2 puntos</w:t>
      </w:r>
    </w:p>
    <w:p>
      <w:pPr>
        <w:pStyle w:val="Cuerpodetexto"/>
        <w:rPr>
          <w:lang w:val="es-ES" w:eastAsia="zh-CN" w:bidi="hi-IN"/>
        </w:rPr>
      </w:pPr>
      <w:r>
        <w:rPr>
          <w:lang w:val="es-ES" w:eastAsia="zh-CN" w:bidi="hi-IN"/>
        </w:rPr>
        <w:t>- Se excluyen del proceso de concurrencia las solicitudes superiores al 1.5 del IPREM</w:t>
      </w:r>
    </w:p>
    <w:p>
      <w:pPr>
        <w:pStyle w:val="Cuerpodetexto"/>
        <w:rPr>
          <w:lang w:val="es-ES" w:eastAsia="zh-CN" w:bidi="hi-IN"/>
        </w:rPr>
      </w:pPr>
      <w:r>
        <w:rPr>
          <w:lang w:val="es-ES" w:eastAsia="zh-CN" w:bidi="hi-IN"/>
        </w:rPr>
      </w:r>
    </w:p>
    <w:p>
      <w:pPr>
        <w:pStyle w:val="Cuerpodetexto"/>
        <w:rPr>
          <w:lang w:val="es-ES" w:eastAsia="zh-CN" w:bidi="hi-IN"/>
        </w:rPr>
      </w:pPr>
      <w:r>
        <w:rPr>
          <w:lang w:val="es-ES" w:eastAsia="zh-CN" w:bidi="hi-IN"/>
        </w:rPr>
        <w:t>2. Número de miembros de la unidad familiar</w:t>
      </w:r>
    </w:p>
    <w:p>
      <w:pPr>
        <w:pStyle w:val="Cuerpodetexto"/>
        <w:rPr/>
      </w:pPr>
      <w:r>
        <w:rPr>
          <w:lang w:val="es-ES" w:eastAsia="zh-CN" w:bidi="hi-IN"/>
        </w:rPr>
        <w:t xml:space="preserve">Se entiende por unidad familiar a formada por los padres </w:t>
      </w:r>
      <w:r>
        <w:rPr>
          <w:rFonts w:eastAsia="Source Han Sans CN Regular" w:cs="Lohit Devanagari"/>
          <w:color w:val="auto"/>
          <w:kern w:val="2"/>
          <w:sz w:val="21"/>
          <w:szCs w:val="24"/>
          <w:lang w:val="es-ES" w:eastAsia="zh-CN" w:bidi="hi-IN"/>
        </w:rPr>
        <w:t>e hijos/as</w:t>
      </w:r>
      <w:r>
        <w:rPr>
          <w:lang w:val="es-ES" w:eastAsia="zh-CN" w:bidi="hi-IN"/>
        </w:rPr>
        <w:t xml:space="preserve"> menores de 18 años (o menores de 25 años se están cursando estudios </w:t>
      </w:r>
      <w:r>
        <w:rPr>
          <w:rFonts w:eastAsia="Source Han Sans CN Regular" w:cs="Lohit Devanagari"/>
          <w:color w:val="auto"/>
          <w:kern w:val="2"/>
          <w:sz w:val="21"/>
          <w:szCs w:val="24"/>
          <w:lang w:val="es-ES" w:eastAsia="zh-CN" w:bidi="hi-IN"/>
        </w:rPr>
        <w:t>post obligatorios</w:t>
      </w:r>
      <w:r>
        <w:rPr>
          <w:lang w:val="es-ES" w:eastAsia="zh-CN" w:bidi="hi-IN"/>
        </w:rPr>
        <w:t xml:space="preserve"> o universitarios) o hijos/as mayores de 18 años con una discapacidad igual o superior al 33%.</w:t>
      </w:r>
    </w:p>
    <w:p>
      <w:pPr>
        <w:pStyle w:val="Cuerpodetexto"/>
        <w:rPr>
          <w:lang w:val="es-ES" w:eastAsia="zh-CN" w:bidi="hi-IN"/>
        </w:rPr>
      </w:pPr>
      <w:r>
        <w:rPr>
          <w:lang w:val="es-ES" w:eastAsia="zh-CN" w:bidi="hi-IN"/>
        </w:rPr>
        <w:t>Por cada miembro integrante de la unidad familiar: 0,5 puntos.</w:t>
      </w:r>
    </w:p>
    <w:p>
      <w:pPr>
        <w:pStyle w:val="Cuerpodetexto"/>
        <w:rPr>
          <w:lang w:val="es-ES" w:eastAsia="zh-CN" w:bidi="hi-IN"/>
        </w:rPr>
      </w:pPr>
      <w:r>
        <w:rPr>
          <w:lang w:val="es-ES" w:eastAsia="zh-CN" w:bidi="hi-IN"/>
        </w:rPr>
        <w:t>En el caso de familias monoparentales, por cada miembro integrante de la unidad familiar: 0,8 puntos.</w:t>
      </w:r>
    </w:p>
    <w:p>
      <w:pPr>
        <w:pStyle w:val="Cuerpodetexto"/>
        <w:rPr>
          <w:lang w:val="es-ES" w:eastAsia="zh-CN" w:bidi="hi-IN"/>
        </w:rPr>
      </w:pPr>
      <w:r>
        <w:rPr>
          <w:lang w:val="es-ES" w:eastAsia="zh-CN" w:bidi="hi-IN"/>
        </w:rPr>
      </w:r>
    </w:p>
    <w:p>
      <w:pPr>
        <w:pStyle w:val="Cuerpodetexto"/>
        <w:rPr>
          <w:lang w:val="es-ES" w:eastAsia="zh-CN" w:bidi="hi-IN"/>
        </w:rPr>
      </w:pPr>
      <w:r>
        <w:rPr>
          <w:lang w:val="es-ES" w:eastAsia="zh-CN" w:bidi="hi-IN"/>
        </w:rPr>
        <w:t>3. Condiciones familiares de la persona solicitante</w:t>
      </w:r>
    </w:p>
    <w:p>
      <w:pPr>
        <w:pStyle w:val="Cuerpodetexto"/>
        <w:rPr>
          <w:lang w:val="es-ES" w:eastAsia="zh-CN" w:bidi="hi-IN"/>
        </w:rPr>
      </w:pPr>
      <w:r>
        <w:rPr>
          <w:lang w:val="es-ES" w:eastAsia="zh-CN" w:bidi="hi-IN"/>
        </w:rPr>
        <w:t>Por familia numerosa Categoría General: 1 punto.</w:t>
      </w:r>
    </w:p>
    <w:p>
      <w:pPr>
        <w:pStyle w:val="Cuerpodetexto"/>
        <w:rPr>
          <w:lang w:val="es-ES" w:eastAsia="zh-CN" w:bidi="hi-IN"/>
        </w:rPr>
      </w:pPr>
      <w:r>
        <w:rPr>
          <w:lang w:val="es-ES" w:eastAsia="zh-CN" w:bidi="hi-IN"/>
        </w:rPr>
        <w:t>Por familia numerosa Categoría Especial: 2 puntos.</w:t>
      </w:r>
    </w:p>
    <w:p>
      <w:pPr>
        <w:pStyle w:val="Cuerpodetexto"/>
        <w:rPr>
          <w:lang w:val="es-ES" w:eastAsia="zh-CN" w:bidi="hi-IN"/>
        </w:rPr>
      </w:pPr>
      <w:r>
        <w:rPr>
          <w:lang w:val="es-ES" w:eastAsia="zh-CN" w:bidi="hi-IN"/>
        </w:rPr>
        <w:t>Por familia monoparental: 1 punto.</w:t>
      </w:r>
    </w:p>
    <w:p>
      <w:pPr>
        <w:pStyle w:val="Cuerpodetexto"/>
        <w:rPr>
          <w:lang w:val="es-ES" w:eastAsia="zh-CN" w:bidi="hi-IN"/>
        </w:rPr>
      </w:pPr>
      <w:r>
        <w:rPr>
          <w:lang w:val="es-ES" w:eastAsia="zh-CN" w:bidi="hi-IN"/>
        </w:rPr>
        <w:t>Por cada miembro de la unidad familiar con certificado de discapacidad igual o superior al 33%: 1 punto.</w:t>
      </w:r>
    </w:p>
    <w:p>
      <w:pPr>
        <w:pStyle w:val="Cuerpodetexto"/>
        <w:rPr>
          <w:lang w:val="es-ES" w:eastAsia="zh-CN" w:bidi="hi-IN"/>
        </w:rPr>
      </w:pPr>
      <w:r>
        <w:rPr>
          <w:lang w:val="es-ES" w:eastAsia="zh-CN" w:bidi="hi-IN"/>
        </w:rPr>
        <w:t>Por cada miembro de la unidad familiar despedido (con una antigüedad igual o superior a tres meses) con prestación económica: 0.5 puntos.</w:t>
      </w:r>
    </w:p>
    <w:p>
      <w:pPr>
        <w:pStyle w:val="Cuerpodetexto"/>
        <w:rPr>
          <w:lang w:val="es-ES" w:eastAsia="zh-CN" w:bidi="hi-IN"/>
        </w:rPr>
      </w:pPr>
      <w:r>
        <w:rPr>
          <w:lang w:val="es-ES" w:eastAsia="zh-CN" w:bidi="hi-IN"/>
        </w:rPr>
        <w:t>Por cada miembro de la unidad familiar despedido (con una antigüedad igual o superior a tres meses) sin prestación económica: 1 punto.</w:t>
      </w:r>
    </w:p>
    <w:p>
      <w:pPr>
        <w:pStyle w:val="Cuerpodetexto"/>
        <w:rPr>
          <w:lang w:val="es-ES" w:eastAsia="zh-CN" w:bidi="hi-IN"/>
        </w:rPr>
      </w:pPr>
      <w:r>
        <w:rPr>
          <w:lang w:val="es-ES" w:eastAsia="zh-CN" w:bidi="hi-IN"/>
        </w:rPr>
        <w:t>Por trabajar los dos progenitores: 1 punto. En el caso de familias monoparentales a persona sustentadora de la familia.</w:t>
      </w:r>
    </w:p>
    <w:p>
      <w:pPr>
        <w:pStyle w:val="Cuerpodetexto"/>
        <w:rPr>
          <w:lang w:val="es-ES" w:eastAsia="zh-CN" w:bidi="hi-IN"/>
        </w:rPr>
      </w:pPr>
      <w:r>
        <w:rPr>
          <w:lang w:val="es-ES" w:eastAsia="zh-CN" w:bidi="hi-IN"/>
        </w:rPr>
      </w:r>
    </w:p>
    <w:p>
      <w:pPr>
        <w:pStyle w:val="Cuerpodetexto"/>
        <w:rPr>
          <w:lang w:val="es-ES" w:eastAsia="zh-CN" w:bidi="hi-IN"/>
        </w:rPr>
      </w:pPr>
      <w:r>
        <w:rPr>
          <w:lang w:val="es-ES" w:eastAsia="zh-CN" w:bidi="hi-IN"/>
        </w:rPr>
        <w:t>4. Vivienda</w:t>
      </w:r>
    </w:p>
    <w:p>
      <w:pPr>
        <w:pStyle w:val="Cuerpodetexto"/>
        <w:rPr>
          <w:lang w:val="es-ES" w:eastAsia="zh-CN" w:bidi="hi-IN"/>
        </w:rPr>
      </w:pPr>
      <w:r>
        <w:rPr>
          <w:lang w:val="es-ES" w:eastAsia="zh-CN" w:bidi="hi-IN"/>
        </w:rPr>
        <w:t>En alquiler: 1 punto</w:t>
      </w:r>
    </w:p>
    <w:p>
      <w:pPr>
        <w:pStyle w:val="Cuerpodetexto"/>
        <w:rPr>
          <w:lang w:val="es-ES" w:eastAsia="zh-CN" w:bidi="hi-IN"/>
        </w:rPr>
      </w:pPr>
      <w:r>
        <w:rPr>
          <w:lang w:val="es-ES" w:eastAsia="zh-CN" w:bidi="hi-IN"/>
        </w:rPr>
        <w:t>Propia y habitual con cargas: 0,5 puntos</w:t>
      </w:r>
    </w:p>
    <w:p>
      <w:pPr>
        <w:pStyle w:val="Cuerpodetexto"/>
        <w:rPr>
          <w:lang w:val="es-ES" w:eastAsia="zh-CN" w:bidi="hi-IN"/>
        </w:rPr>
      </w:pPr>
      <w:r>
        <w:rPr>
          <w:lang w:val="es-ES" w:eastAsia="zh-CN" w:bidi="hi-IN"/>
        </w:rPr>
        <w:t>Las ayudas se adjudicarán por estricta orden de puntuación hasta agotar la consignación disponible regulada en el artículo 3º. En caso de empate, se atenderá en primer lugar a la renta per cápita familiar y en segundo lugar al mayor número de crianzas escolarizadas.</w:t>
      </w:r>
    </w:p>
    <w:p>
      <w:pPr>
        <w:pStyle w:val="Cuerpodetexto"/>
        <w:rPr>
          <w:lang w:val="es-ES" w:eastAsia="zh-CN" w:bidi="hi-IN"/>
        </w:rPr>
      </w:pPr>
      <w:r>
        <w:rPr>
          <w:lang w:val="es-ES" w:eastAsia="zh-CN" w:bidi="hi-IN"/>
        </w:rPr>
      </w:r>
    </w:p>
    <w:p>
      <w:pPr>
        <w:pStyle w:val="Cuerpodetexto"/>
        <w:rPr>
          <w:lang w:val="es-ES" w:eastAsia="zh-CN" w:bidi="hi-IN"/>
        </w:rPr>
      </w:pPr>
      <w:r>
        <w:rPr>
          <w:lang w:val="es-ES" w:eastAsia="zh-CN" w:bidi="hi-IN"/>
        </w:rPr>
        <w:t>BASE 8. Deberes de las personas beneficiarias</w:t>
      </w:r>
    </w:p>
    <w:p>
      <w:pPr>
        <w:pStyle w:val="Cuerpodetexto"/>
        <w:rPr>
          <w:lang w:val="es-ES" w:eastAsia="zh-CN" w:bidi="hi-IN"/>
        </w:rPr>
      </w:pPr>
      <w:r>
        <w:rPr>
          <w:lang w:val="es-ES" w:eastAsia="zh-CN" w:bidi="hi-IN"/>
        </w:rPr>
        <w:t>La presentación de la solicitud implica la aceptación de las bases de esta convocatoria y la obligación de:</w:t>
      </w:r>
    </w:p>
    <w:p>
      <w:pPr>
        <w:pStyle w:val="Cuerpodetexto"/>
        <w:rPr>
          <w:lang w:val="es-ES" w:eastAsia="zh-CN" w:bidi="hi-IN"/>
        </w:rPr>
      </w:pPr>
      <w:r>
        <w:rPr>
          <w:lang w:val="es-ES" w:eastAsia="zh-CN" w:bidi="hi-IN"/>
        </w:rPr>
        <w:t>a) Comunicar por escrito cualquier variación o modificación que se produzca durante la tramitación del procedimiento respeto de las circunstancias alegadas en la solicitud y de someterse a las actuaciones de comprobación que acuerde el ayuntamiento de Rianxo.</w:t>
      </w:r>
    </w:p>
    <w:p>
      <w:pPr>
        <w:pStyle w:val="Cuerpodetexto"/>
        <w:rPr>
          <w:lang w:val="es-ES" w:eastAsia="zh-CN" w:bidi="hi-IN"/>
        </w:rPr>
      </w:pPr>
      <w:r>
        <w:rPr>
          <w:lang w:val="es-ES" w:eastAsia="zh-CN" w:bidi="hi-IN"/>
        </w:rPr>
        <w:t xml:space="preserve">b) Comunicar por escrito a renuncia a la ayuda en el caso de producirse una causa que determine </w:t>
      </w:r>
      <w:r>
        <w:rPr>
          <w:lang w:val="es-ES" w:eastAsia="zh-CN" w:bidi="hi-IN"/>
        </w:rPr>
        <w:t>dicha</w:t>
      </w:r>
      <w:r>
        <w:rPr>
          <w:lang w:val="es-ES" w:eastAsia="zh-CN" w:bidi="hi-IN"/>
        </w:rPr>
        <w:t xml:space="preserve"> renuncia.</w:t>
      </w:r>
    </w:p>
    <w:p>
      <w:pPr>
        <w:pStyle w:val="Cuerpodetexto"/>
        <w:rPr>
          <w:lang w:val="es-ES" w:eastAsia="zh-CN" w:bidi="hi-IN"/>
        </w:rPr>
      </w:pPr>
      <w:r>
        <w:rPr>
          <w:lang w:val="es-ES" w:eastAsia="zh-CN" w:bidi="hi-IN"/>
        </w:rPr>
        <w:t>c) Informar al órgano que concede la bolsa de la obtención de otras subvenciones o ayudas para la misma finalidad, procedentes de cualquier Administración pública, ente público o privado.</w:t>
      </w:r>
    </w:p>
    <w:p>
      <w:pPr>
        <w:pStyle w:val="Cuerpodetexto"/>
        <w:rPr>
          <w:lang w:val="es-ES" w:eastAsia="zh-CN" w:bidi="hi-IN"/>
        </w:rPr>
      </w:pPr>
      <w:r>
        <w:rPr>
          <w:lang w:val="es-ES" w:eastAsia="zh-CN" w:bidi="hi-IN"/>
        </w:rPr>
        <w:t>d) Presentar debidamente cubierta la solicitud junto con toda la documentación requerida en el plazo estipulado.</w:t>
      </w:r>
    </w:p>
    <w:p>
      <w:pPr>
        <w:pStyle w:val="Cuerpodetexto"/>
        <w:rPr>
          <w:lang w:val="es-ES" w:eastAsia="zh-CN" w:bidi="hi-IN"/>
        </w:rPr>
      </w:pPr>
      <w:r>
        <w:rPr>
          <w:lang w:val="es-ES" w:eastAsia="zh-CN" w:bidi="hi-IN"/>
        </w:rPr>
        <w:t>e</w:t>
      </w:r>
      <w:r>
        <w:rPr>
          <w:lang w:val="es-ES" w:eastAsia="zh-CN" w:bidi="hi-IN"/>
        </w:rPr>
        <w:t>) Tendrá que acreditar, antes de cobrar la ayuda que se conceda, en su caso, que:</w:t>
      </w:r>
    </w:p>
    <w:p>
      <w:pPr>
        <w:pStyle w:val="Cuerpodetexto"/>
        <w:rPr>
          <w:lang w:val="es-ES" w:eastAsia="zh-CN" w:bidi="hi-IN"/>
        </w:rPr>
      </w:pPr>
      <w:r>
        <w:rPr>
          <w:lang w:val="es-ES" w:eastAsia="zh-CN" w:bidi="hi-IN"/>
        </w:rPr>
        <w:t>e</w:t>
      </w:r>
      <w:r>
        <w:rPr>
          <w:lang w:val="es-ES" w:eastAsia="zh-CN" w:bidi="hi-IN"/>
        </w:rPr>
        <w:t>.1. Está al corriente de sus deberes tributarios estatales, provinciales y municipales, mediante declaración expresa y sin perjuicio de su comprobación.</w:t>
      </w:r>
    </w:p>
    <w:p>
      <w:pPr>
        <w:pStyle w:val="Cuerpodetexto"/>
        <w:rPr>
          <w:lang w:val="es-ES" w:eastAsia="zh-CN" w:bidi="hi-IN"/>
        </w:rPr>
      </w:pPr>
      <w:r>
        <w:rPr>
          <w:lang w:val="es-ES" w:eastAsia="zh-CN" w:bidi="hi-IN"/>
        </w:rPr>
        <w:t>e</w:t>
      </w:r>
      <w:r>
        <w:rPr>
          <w:lang w:val="es-ES" w:eastAsia="zh-CN" w:bidi="hi-IN"/>
        </w:rPr>
        <w:t>.2. No tener pendiente de justificar ninguna subvención concedida por el Ayuntamiento de Rianxo.</w:t>
      </w:r>
    </w:p>
    <w:p>
      <w:pPr>
        <w:pStyle w:val="Cuerpodetexto"/>
        <w:rPr>
          <w:lang w:val="es-ES" w:eastAsia="zh-CN" w:bidi="hi-IN"/>
        </w:rPr>
      </w:pPr>
      <w:r>
        <w:rPr>
          <w:lang w:val="es-ES" w:eastAsia="zh-CN" w:bidi="hi-IN"/>
        </w:rPr>
        <w:t>f) Someterse a las actuaciones de comprobación del Ayuntamiento de Rianxo y a las de control financiero que corresponden a la Intervención municipal.</w:t>
      </w:r>
    </w:p>
    <w:p>
      <w:pPr>
        <w:pStyle w:val="Cuerpodetexto"/>
        <w:rPr>
          <w:lang w:val="es-ES" w:eastAsia="zh-CN" w:bidi="hi-IN"/>
        </w:rPr>
      </w:pPr>
      <w:r>
        <w:rPr>
          <w:lang w:val="es-ES" w:eastAsia="zh-CN" w:bidi="hi-IN"/>
        </w:rPr>
        <w:t>g) Seguir durante lo curso académico los estudios en los que lo/a menor esté matriculada.</w:t>
      </w:r>
    </w:p>
    <w:p>
      <w:pPr>
        <w:pStyle w:val="Cuerpodetexto"/>
        <w:rPr>
          <w:lang w:val="es-ES" w:eastAsia="zh-CN" w:bidi="hi-IN"/>
        </w:rPr>
      </w:pPr>
      <w:r>
        <w:rPr>
          <w:lang w:val="es-ES" w:eastAsia="zh-CN" w:bidi="hi-IN"/>
        </w:rPr>
      </w:r>
    </w:p>
    <w:p>
      <w:pPr>
        <w:pStyle w:val="Cuerpodetexto"/>
        <w:rPr>
          <w:lang w:val="es-ES" w:eastAsia="zh-CN" w:bidi="hi-IN"/>
        </w:rPr>
      </w:pPr>
      <w:r>
        <w:rPr>
          <w:lang w:val="es-ES" w:eastAsia="zh-CN" w:bidi="hi-IN"/>
        </w:rPr>
        <w:t xml:space="preserve">BASE 9. </w:t>
      </w:r>
      <w:r>
        <w:rPr>
          <w:rFonts w:eastAsia="Source Han Sans CN Regular" w:cs="Lohit Devanagari"/>
          <w:color w:val="auto"/>
          <w:kern w:val="2"/>
          <w:sz w:val="21"/>
          <w:szCs w:val="24"/>
          <w:lang w:val="es-ES" w:eastAsia="zh-CN" w:bidi="hi-IN"/>
        </w:rPr>
        <w:t>PROCEDIMIENTO DE CONCESIÓN DE SUBVENCIONES</w:t>
      </w:r>
    </w:p>
    <w:p>
      <w:pPr>
        <w:pStyle w:val="Cuerpodetexto"/>
        <w:rPr>
          <w:lang w:val="es-ES" w:eastAsia="zh-CN" w:bidi="hi-IN"/>
        </w:rPr>
      </w:pPr>
      <w:r>
        <w:rPr>
          <w:lang w:val="es-ES" w:eastAsia="zh-CN" w:bidi="hi-IN"/>
        </w:rPr>
        <w:t>1. En la fase de instrucción de las ayudas participarán los siguientes órganos:</w:t>
      </w:r>
    </w:p>
    <w:p>
      <w:pPr>
        <w:pStyle w:val="Cuerpodetexto"/>
        <w:numPr>
          <w:ilvl w:val="0"/>
          <w:numId w:val="2"/>
        </w:numPr>
        <w:rPr/>
      </w:pPr>
      <w:r>
        <w:rPr>
          <w:lang w:val="es-ES" w:eastAsia="zh-CN" w:bidi="hi-IN"/>
        </w:rPr>
        <w:t>Órgano instructor: educadora familiar municipal y, subsidiaramente, una técnica del Departamento de Servicios Sociales.</w:t>
      </w:r>
    </w:p>
    <w:p>
      <w:pPr>
        <w:pStyle w:val="Cuerpodetexto"/>
        <w:numPr>
          <w:ilvl w:val="0"/>
          <w:numId w:val="2"/>
        </w:numPr>
        <w:rPr/>
      </w:pPr>
      <w:r>
        <w:rPr>
          <w:lang w:val="es-ES" w:eastAsia="zh-CN" w:bidi="hi-IN"/>
        </w:rPr>
        <w:t>Órgano evaluador: la Comisión Evaluadora formada por la concejala y dos técnicas del Departamento de Servicios Sociales.</w:t>
      </w:r>
    </w:p>
    <w:p>
      <w:pPr>
        <w:pStyle w:val="Cuerpodetexto"/>
        <w:numPr>
          <w:ilvl w:val="0"/>
          <w:numId w:val="2"/>
        </w:numPr>
        <w:rPr/>
      </w:pPr>
      <w:r>
        <w:rPr>
          <w:lang w:val="es-ES" w:eastAsia="zh-CN" w:bidi="hi-IN"/>
        </w:rPr>
        <w:t xml:space="preserve">Órgano concedente: la </w:t>
      </w:r>
      <w:r>
        <w:rPr>
          <w:rFonts w:eastAsia="Source Han Sans CN Regular" w:cs="Lohit Devanagari"/>
          <w:color w:val="auto"/>
          <w:kern w:val="2"/>
          <w:sz w:val="21"/>
          <w:szCs w:val="24"/>
          <w:lang w:val="es-ES" w:eastAsia="zh-CN" w:bidi="hi-IN"/>
        </w:rPr>
        <w:t>Junta</w:t>
      </w:r>
      <w:r>
        <w:rPr>
          <w:lang w:val="es-ES" w:eastAsia="zh-CN" w:bidi="hi-IN"/>
        </w:rPr>
        <w:t xml:space="preserve"> de Gobierno Local.</w:t>
      </w:r>
    </w:p>
    <w:p>
      <w:pPr>
        <w:pStyle w:val="Cuerpodetexto"/>
        <w:rPr>
          <w:lang w:val="es-ES" w:eastAsia="zh-CN" w:bidi="hi-IN"/>
        </w:rPr>
      </w:pPr>
      <w:r>
        <w:rPr>
          <w:lang w:val="es-ES" w:eastAsia="zh-CN" w:bidi="hi-IN"/>
        </w:rPr>
        <w:t>2. De acuerdo con el artículo 21 de la Ley 9/2007, de 13 de junio , de subvenciones de Galicia, se establece una fase de pre-evaluación de las solicitudes, en la que se determinará se cumplen o no los requisitos del artículo 4 de estas bases y si la documentación de la solicitud está completa o no.</w:t>
      </w:r>
    </w:p>
    <w:p>
      <w:pPr>
        <w:pStyle w:val="Cuerpodetexto"/>
        <w:rPr/>
      </w:pPr>
      <w:r>
        <w:rPr>
          <w:lang w:val="es-ES" w:eastAsia="zh-CN" w:bidi="hi-IN"/>
        </w:rPr>
        <w:t xml:space="preserve">Tras la verificación de estos extremos, se publicará en el tablero de anuncios a relación de solicitudes, con la indicación de las deficiencias detectadas o la documentación de la que carezcan, con el fin de que la persona solicitante, en el plazo de (10) días hábiles, </w:t>
      </w:r>
      <w:r>
        <w:rPr>
          <w:rFonts w:eastAsia="Source Han Sans CN Regular" w:cs="Lohit Devanagari"/>
          <w:color w:val="auto"/>
          <w:kern w:val="2"/>
          <w:sz w:val="21"/>
          <w:szCs w:val="24"/>
          <w:lang w:val="es-ES" w:eastAsia="zh-CN" w:bidi="hi-IN"/>
        </w:rPr>
        <w:t>subsane</w:t>
      </w:r>
      <w:r>
        <w:rPr>
          <w:lang w:val="es-ES" w:eastAsia="zh-CN" w:bidi="hi-IN"/>
        </w:rPr>
        <w:t xml:space="preserve"> las deficiencias o remita los documentos preceptivos.</w:t>
      </w:r>
    </w:p>
    <w:p>
      <w:pPr>
        <w:pStyle w:val="Cuerpodetexto"/>
        <w:rPr>
          <w:lang w:val="es-ES" w:eastAsia="zh-CN" w:bidi="hi-IN"/>
        </w:rPr>
      </w:pPr>
      <w:r>
        <w:rPr>
          <w:lang w:val="es-ES" w:eastAsia="zh-CN" w:bidi="hi-IN"/>
        </w:rPr>
        <w:t>Transcurrido el plazo de enmienda, el órgano instructor comprobará la documentación presentada y elaborará el listado de solicitudes que cumplen los requisitos exigidos para acceder a las ayudas y la publicará en el tablero de anuncios.</w:t>
      </w:r>
    </w:p>
    <w:p>
      <w:pPr>
        <w:pStyle w:val="Cuerpodetexto"/>
        <w:rPr>
          <w:lang w:val="es-ES" w:eastAsia="zh-CN" w:bidi="hi-IN"/>
        </w:rPr>
      </w:pPr>
      <w:r>
        <w:rPr>
          <w:lang w:val="es-ES" w:eastAsia="zh-CN" w:bidi="hi-IN"/>
        </w:rPr>
        <w:t>Quedarán excluidas las solicitudes que no se pudieran validar por estar presentadas fuera de plazo, por falta de corrección de las deficiencias de la solicitud y/o de la documentación.</w:t>
      </w:r>
    </w:p>
    <w:p>
      <w:pPr>
        <w:pStyle w:val="Cuerpodetexto"/>
        <w:rPr>
          <w:lang w:val="es-ES" w:eastAsia="zh-CN" w:bidi="hi-IN"/>
        </w:rPr>
      </w:pPr>
      <w:r>
        <w:rPr>
          <w:lang w:val="es-ES" w:eastAsia="zh-CN" w:bidi="hi-IN"/>
        </w:rPr>
        <w:t>3. Finalizada la fase de pre-evaluación, el órgano instructor emitirá el informe correspondiente y la propuesta de resolución. Deberá indicarse de modo expreso que las personas propuestas cómo beneficiarias de las subvenciones cumplen todos los requisitos de la convocatoria.</w:t>
      </w:r>
    </w:p>
    <w:p>
      <w:pPr>
        <w:pStyle w:val="Cuerpodetexto"/>
        <w:rPr>
          <w:lang w:val="es-ES" w:eastAsia="zh-CN" w:bidi="hi-IN"/>
        </w:rPr>
      </w:pPr>
      <w:r>
        <w:rPr>
          <w:lang w:val="es-ES" w:eastAsia="zh-CN" w:bidi="hi-IN"/>
        </w:rPr>
        <w:t xml:space="preserve">4. Mediante resolución de la Xunta de Gobierno Local, se procederá a la concesión o a la denegación de las ayudas. Aquellas solicitudes que, a pesar del requerimiento demandado, no habían completado la documentación, se declararán desistidas. </w:t>
      </w:r>
    </w:p>
    <w:p>
      <w:pPr>
        <w:pStyle w:val="Cuerpodetexto"/>
        <w:rPr>
          <w:lang w:val="es-ES" w:eastAsia="zh-CN" w:bidi="hi-IN"/>
        </w:rPr>
      </w:pPr>
      <w:r>
        <w:rPr>
          <w:lang w:val="es-ES" w:eastAsia="zh-CN" w:bidi="hi-IN"/>
        </w:rPr>
        <w:t>5. La cuantía de la ayuda por alumno/a será la establecida en el artículo 2 de esta convocatoria.</w:t>
      </w:r>
    </w:p>
    <w:p>
      <w:pPr>
        <w:pStyle w:val="Cuerpodetexto"/>
        <w:rPr>
          <w:lang w:val="es-ES" w:eastAsia="zh-CN" w:bidi="hi-IN"/>
        </w:rPr>
      </w:pPr>
      <w:r>
        <w:rPr>
          <w:lang w:val="es-ES" w:eastAsia="zh-CN" w:bidi="hi-IN"/>
        </w:rPr>
        <w:t>6. El importe de la ayuda en ningún caso podrá ser de tal cuantía que, aisladamente o en concurrencia con otras subvenciones, o ayudas de otras administraciones públicas o privadas, supere el coste de los gastos acreditados por la persona beneficiaria.</w:t>
      </w:r>
    </w:p>
    <w:p>
      <w:pPr>
        <w:pStyle w:val="Cuerpodetexto"/>
        <w:rPr>
          <w:lang w:val="es-ES" w:eastAsia="zh-CN" w:bidi="hi-IN"/>
        </w:rPr>
      </w:pPr>
      <w:r>
        <w:rPr>
          <w:lang w:val="es-ES" w:eastAsia="zh-CN" w:bidi="hi-IN"/>
        </w:rPr>
        <w:t>7. Las solicitudes presentadas se resolverán en el plazo de tres meses, que se contarán a partir del día siguiente a la fecha de final del plazo de esta convocatoria, y la resolución se les notificará a las personas solicitantes. Una vez notificada la resolución de concesión se procederá a abonar el 50% de la ayuda concedida.</w:t>
      </w:r>
    </w:p>
    <w:p>
      <w:pPr>
        <w:pStyle w:val="Cuerpodetexto"/>
        <w:rPr>
          <w:lang w:val="es-ES" w:eastAsia="zh-CN" w:bidi="hi-IN"/>
        </w:rPr>
      </w:pPr>
      <w:r>
        <w:rPr>
          <w:lang w:val="es-ES" w:eastAsia="zh-CN" w:bidi="hi-IN"/>
        </w:rPr>
        <w:t xml:space="preserve">8. La resolución del procedimiento pondrá fin a la vía administrativa y contra ella se podrá interponer el recurso contencioso-administrativo </w:t>
      </w:r>
      <w:r>
        <w:rPr>
          <w:lang w:val="es-ES" w:eastAsia="zh-CN" w:bidi="hi-IN"/>
        </w:rPr>
        <w:t>ante el juzgado</w:t>
      </w:r>
      <w:r>
        <w:rPr>
          <w:lang w:val="es-ES" w:eastAsia="zh-CN" w:bidi="hi-IN"/>
        </w:rPr>
        <w:t xml:space="preserve"> del Contencioso-Administrativo, en el plazo de dos meses contados desde lo siguiente al de la notificación de la resolución o en el plazo de seis meses a contar desde el día siguiente a la fecha en la que pueda entenderse desestimada la solicitud por silencio administrativo.</w:t>
      </w:r>
    </w:p>
    <w:p>
      <w:pPr>
        <w:pStyle w:val="Cuerpodetexto"/>
        <w:rPr>
          <w:lang w:val="es-ES" w:eastAsia="zh-CN" w:bidi="hi-IN"/>
        </w:rPr>
      </w:pPr>
      <w:r>
        <w:rPr>
          <w:lang w:val="es-ES" w:eastAsia="zh-CN" w:bidi="hi-IN"/>
        </w:rPr>
        <w:t>Con carácter potestativo, de conformidad con el artículo 123 de la Ley 39/2015, de 1 de octubre , de procedimiento administrativo común, se podrá interponer el recurso de reposición en el plazo de un mes contado a partir del siguiente al de la notificación de la resolución o desde lo siguiente a aquel en el que la solicitud pueda entenderse desestimada por silencio administrativo.</w:t>
      </w:r>
    </w:p>
    <w:p>
      <w:pPr>
        <w:pStyle w:val="Cuerpodetexto"/>
        <w:rPr>
          <w:lang w:val="es-ES" w:eastAsia="zh-CN" w:bidi="hi-IN"/>
        </w:rPr>
      </w:pPr>
      <w:r>
        <w:rPr>
          <w:lang w:val="es-ES" w:eastAsia="zh-CN" w:bidi="hi-IN"/>
        </w:rPr>
      </w:r>
    </w:p>
    <w:p>
      <w:pPr>
        <w:pStyle w:val="Cuerpodetexto"/>
        <w:rPr>
          <w:lang w:val="es-ES" w:eastAsia="zh-CN" w:bidi="hi-IN"/>
        </w:rPr>
      </w:pPr>
      <w:r>
        <w:rPr>
          <w:lang w:val="es-ES" w:eastAsia="zh-CN" w:bidi="hi-IN"/>
        </w:rPr>
        <w:t>BASE 10. PAGO Y JUSTIFICACIÓN DE Las AYUDAS</w:t>
      </w:r>
    </w:p>
    <w:p>
      <w:pPr>
        <w:pStyle w:val="Cuerpodetexto"/>
        <w:rPr>
          <w:lang w:val="es-ES" w:eastAsia="zh-CN" w:bidi="hi-IN"/>
        </w:rPr>
      </w:pPr>
      <w:r>
        <w:rPr>
          <w:lang w:val="es-ES" w:eastAsia="zh-CN" w:bidi="hi-IN"/>
        </w:rPr>
        <w:t>1. Tras la notificación del acuerdo de concesión, se le había abonado a las personas beneficiarias el 50 por ciento de la ayuda concedida.</w:t>
      </w:r>
    </w:p>
    <w:p>
      <w:pPr>
        <w:pStyle w:val="Cuerpodetexto"/>
        <w:rPr>
          <w:lang w:val="es-ES" w:eastAsia="zh-CN" w:bidi="hi-IN"/>
        </w:rPr>
      </w:pPr>
      <w:r>
        <w:rPr>
          <w:lang w:val="es-ES" w:eastAsia="zh-CN" w:bidi="hi-IN"/>
        </w:rPr>
        <w:t>2. El pago del importe restante de la ayuda se realizará tras la aprobación de la cuenta justificativa.</w:t>
      </w:r>
    </w:p>
    <w:p>
      <w:pPr>
        <w:pStyle w:val="Cuerpodetexto"/>
        <w:rPr>
          <w:lang w:val="es-ES" w:eastAsia="zh-CN" w:bidi="hi-IN"/>
        </w:rPr>
      </w:pPr>
      <w:r>
        <w:rPr>
          <w:lang w:val="es-ES" w:eastAsia="zh-CN" w:bidi="hi-IN"/>
        </w:rPr>
        <w:t>3. Justificación de la ayuda: El período de justificación será desde que finalicen las clases del curso escolar 2023-2024 hasta el 30 de junio de 2024. Durante el período de justificación deberá entregarse en el Registro General del Ayuntamiento o por  Sede electrónica las facturas correspondientes al pago del comedor escolar durante lo curso 2023-2024 por un importe mínimo de la cuantía concedida.</w:t>
      </w:r>
    </w:p>
    <w:p>
      <w:pPr>
        <w:pStyle w:val="Cuerpodetexto"/>
        <w:rPr>
          <w:lang w:val="es-ES" w:eastAsia="zh-CN" w:bidi="hi-IN"/>
        </w:rPr>
      </w:pPr>
      <w:r>
        <w:rPr>
          <w:lang w:val="es-ES" w:eastAsia="zh-CN" w:bidi="hi-IN"/>
        </w:rPr>
        <w:t>Las facturas deberán emitirse a nombre de la persona beneficiaria de la ayuda y tendrá que especificar el nombre del/a alumno/a usuario/a del comedor. Las facturas deberán respetar los requisitos del Real Decreto 1619/2012, de 30 de noviembre , de los deberes de facturación.</w:t>
      </w:r>
    </w:p>
    <w:p>
      <w:pPr>
        <w:pStyle w:val="Cuerpodetexto"/>
        <w:rPr>
          <w:lang w:val="es-ES" w:eastAsia="zh-CN" w:bidi="hi-IN"/>
        </w:rPr>
      </w:pPr>
      <w:r>
        <w:rPr>
          <w:lang w:val="es-ES" w:eastAsia="zh-CN" w:bidi="hi-IN"/>
        </w:rPr>
        <w:t>4. El pago de la ayuda regulada en esta convocatoria se hará únicamente en la cuenta que los solicitantes hagan constar en la solicitud, que debe permanecer activa para estos efectos mientras no se tenga constancia de la finalización del expediente. La Administración no se hará responsable de la imposibilidad de efectuar el ingreso por causas directamente imputables a los solicitantes.</w:t>
      </w:r>
    </w:p>
    <w:p>
      <w:pPr>
        <w:pStyle w:val="Cuerpodetexto"/>
        <w:rPr>
          <w:lang w:val="es-ES" w:eastAsia="zh-CN" w:bidi="hi-IN"/>
        </w:rPr>
      </w:pPr>
      <w:r>
        <w:rPr>
          <w:lang w:val="es-ES" w:eastAsia="zh-CN" w:bidi="hi-IN"/>
        </w:rPr>
        <w:t>5. Reintegro de la ayuda: procederá el reintegro, total o parcial, de la ayuda recibida, junto con los intereses de demora, en los casos indicados en el artículo 33 de la Ley 9/2007, de 13 de junio , de subvenciones de Galicia, y especialmente en caso de que se detectara que el importe recibido no fuera empleado en el tipo de ayuda concedida y que al tiempo de la justificación de la aportación no se acredite que permanezcan matriculados en el curso escolar 2023-2024 en un centro de enseñanza del Ayuntamiento de Rianxo.</w:t>
      </w:r>
    </w:p>
    <w:p>
      <w:pPr>
        <w:pStyle w:val="Cuerpodetexto"/>
        <w:rPr>
          <w:lang w:val="es-ES" w:eastAsia="zh-CN" w:bidi="hi-IN"/>
        </w:rPr>
      </w:pPr>
      <w:r>
        <w:rPr>
          <w:lang w:val="es-ES" w:eastAsia="zh-CN" w:bidi="hi-IN"/>
        </w:rPr>
        <w:t>El procedimiento de reintegro se tramitará en los términos de los artículos 32, 33, 37 y 38 de la Ley 9/2007 y de su reglamento, aprobado mediante lo Decreto 11/2009, de 8 de enero .</w:t>
      </w:r>
    </w:p>
    <w:p>
      <w:pPr>
        <w:pStyle w:val="Cuerpodetexto"/>
        <w:rPr>
          <w:lang w:val="es-ES" w:eastAsia="zh-CN" w:bidi="hi-IN"/>
        </w:rPr>
      </w:pPr>
      <w:r>
        <w:rPr>
          <w:lang w:val="es-ES" w:eastAsia="zh-CN" w:bidi="hi-IN"/>
        </w:rPr>
      </w:r>
    </w:p>
    <w:p>
      <w:pPr>
        <w:pStyle w:val="Cuerpodetexto"/>
        <w:rPr>
          <w:lang w:val="es-ES" w:eastAsia="zh-CN" w:bidi="hi-IN"/>
        </w:rPr>
      </w:pPr>
      <w:r>
        <w:rPr>
          <w:lang w:val="es-ES" w:eastAsia="zh-CN" w:bidi="hi-IN"/>
        </w:rPr>
        <w:t>BASE 11. RÉGIMEN JURÍDICO</w:t>
      </w:r>
    </w:p>
    <w:p>
      <w:pPr>
        <w:pStyle w:val="Cuerpodetexto"/>
        <w:spacing w:before="0" w:after="140"/>
        <w:rPr>
          <w:lang w:val="es-ES" w:eastAsia="zh-CN" w:bidi="hi-IN"/>
        </w:rPr>
      </w:pPr>
      <w:r>
        <w:rPr>
          <w:lang w:val="es-ES" w:eastAsia="zh-CN" w:bidi="hi-IN"/>
        </w:rPr>
        <w:t>La normativa que regula la concesión de estas ayudas, en el no establecido en estas bases será la establecida en la Ley 39/2015, de 1 de octubre , del procedimiento administrativo común de las Administraciones Públicas; en la Ley 38/2003, de 17 de noviembre , general de subvenciones; en el Real Decreto 887/2006, de 21 de julio , por lo que se aprueba el reglamento general de subvenciones; en la Ley 9/2007, de 13 de junio , de subvenciones de Galicia y en la Ordenanza reguladora de subvenciones del Ayuntamiento de Rianxo.</w:t>
      </w:r>
    </w:p>
    <w:sectPr>
      <w:headerReference w:type="default" r:id="rId2"/>
      <w:headerReference w:type="first" r:id="rId3"/>
      <w:footerReference w:type="default" r:id="rId4"/>
      <w:footerReference w:type="first" r:id="rId5"/>
      <w:type w:val="nextPage"/>
      <w:pgSz w:w="11906" w:h="16838"/>
      <w:pgMar w:left="1134" w:right="1134" w:header="1134" w:top="2438" w:footer="567" w:bottom="1304"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oto Sans">
    <w:altName w:val="Liberation Sans"/>
    <w:charset w:val="00"/>
    <w:family w:val="swiss"/>
    <w:pitch w:val="variable"/>
  </w:font>
  <w:font w:name="Wingdings">
    <w:charset w:val="02"/>
    <w:family w:val="auto"/>
    <w:pitch w:val="default"/>
  </w:font>
  <w:font w:name="Symbol">
    <w:charset w:val="00"/>
    <w:family w:val="auto"/>
    <w:pitch w:val="default"/>
  </w:font>
  <w:font w:name="MT Extra">
    <w:charset w:val="02"/>
    <w:family w:val="auto"/>
    <w:pitch w:val="default"/>
  </w:font>
  <w:font w:name="OpenSymbol">
    <w:altName w:val="Arial Unicode MS"/>
    <w:charset w:val="00"/>
    <w:family w:val="auto"/>
    <w:pitch w:val="default"/>
  </w:font>
  <w:font w:name="OpenSymbol">
    <w:altName w:val="Arial Unicode MS"/>
    <w:charset w:val="02"/>
    <w:family w:val="auto"/>
    <w:pitch w:val="default"/>
  </w:font>
  <w:font w:name="Noto Sans">
    <w:charset w:val="00"/>
    <w:family w:val="swiss"/>
    <w:pitch w:val="variable"/>
  </w:font>
  <w:font w:name="Symbol">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color w:val="999999"/>
      </w:rPr>
      <w:t xml:space="preserve">Páx. </w:t>
    </w:r>
    <w:r>
      <w:rPr>
        <w:color w:val="999999"/>
      </w:rPr>
      <w:fldChar w:fldCharType="begin"/>
    </w:r>
    <w:r>
      <w:rPr>
        <w:color w:val="999999"/>
      </w:rPr>
      <w:instrText> PAGE </w:instrText>
    </w:r>
    <w:r>
      <w:rPr>
        <w:color w:val="999999"/>
      </w:rPr>
      <w:fldChar w:fldCharType="separate"/>
    </w:r>
    <w:r>
      <w:rPr>
        <w:color w:val="999999"/>
      </w:rPr>
      <w:t>8</w:t>
    </w:r>
    <w:r>
      <w:rPr>
        <w:color w:val="999999"/>
      </w:rPr>
      <w:fldChar w:fldCharType="end"/>
    </w:r>
    <w:r>
      <w:rPr>
        <w:color w:val="999999"/>
      </w:rPr>
      <w:t xml:space="preserve"> de </w:t>
    </w:r>
    <w:r>
      <w:rPr>
        <w:color w:val="999999"/>
      </w:rPr>
      <w:fldChar w:fldCharType="begin"/>
    </w:r>
    <w:r>
      <w:rPr>
        <w:color w:val="999999"/>
      </w:rPr>
      <w:instrText> NUMPAGES \* ARABIC </w:instrText>
    </w:r>
    <w:r>
      <w:rPr>
        <w:color w:val="999999"/>
      </w:rPr>
      <w:fldChar w:fldCharType="separate"/>
    </w:r>
    <w:r>
      <w:rPr>
        <w:color w:val="999999"/>
      </w:rPr>
      <w:t>8</w:t>
    </w:r>
    <w:r>
      <w:rPr>
        <w:color w:val="999999"/>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color w:val="999999"/>
      </w:rPr>
    </w:pPr>
    <w:r>
      <w:rPr>
        <w:color w:val="999999"/>
      </w:rPr>
      <w:t xml:space="preserve">Páx. </w:t>
    </w:r>
    <w:r>
      <w:rPr>
        <w:color w:val="999999"/>
      </w:rPr>
      <w:fldChar w:fldCharType="begin"/>
    </w:r>
    <w:r>
      <w:rPr>
        <w:color w:val="999999"/>
      </w:rPr>
      <w:instrText> PAGE </w:instrText>
    </w:r>
    <w:r>
      <w:rPr>
        <w:color w:val="999999"/>
      </w:rPr>
      <w:fldChar w:fldCharType="separate"/>
    </w:r>
    <w:r>
      <w:rPr>
        <w:color w:val="999999"/>
      </w:rPr>
      <w:t>1</w:t>
    </w:r>
    <w:r>
      <w:rPr>
        <w:color w:val="999999"/>
      </w:rPr>
      <w:fldChar w:fldCharType="end"/>
    </w:r>
    <w:r>
      <w:rPr>
        <w:color w:val="999999"/>
      </w:rPr>
      <w:t xml:space="preserve"> de </w:t>
    </w:r>
    <w:r>
      <w:rPr>
        <w:color w:val="999999"/>
      </w:rPr>
      <w:fldChar w:fldCharType="begin"/>
    </w:r>
    <w:r>
      <w:rPr>
        <w:color w:val="999999"/>
      </w:rPr>
      <w:instrText> NUMPAGES \* ARABIC </w:instrText>
    </w:r>
    <w:r>
      <w:rPr>
        <w:color w:val="999999"/>
      </w:rPr>
      <w:fldChar w:fldCharType="separate"/>
    </w:r>
    <w:r>
      <w:rPr>
        <w:color w:val="999999"/>
      </w:rPr>
      <w:t>8</w:t>
    </w:r>
    <w:r>
      <w:rPr>
        <w:color w:val="999999"/>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anchor behindDoc="0" distT="0" distB="0" distL="0" distR="0" simplePos="0" locked="0" layoutInCell="0" allowOverlap="1" relativeHeight="8">
          <wp:simplePos x="0" y="0"/>
          <wp:positionH relativeFrom="column">
            <wp:posOffset>0</wp:posOffset>
          </wp:positionH>
          <wp:positionV relativeFrom="paragraph">
            <wp:posOffset>5080</wp:posOffset>
          </wp:positionV>
          <wp:extent cx="1607185" cy="422910"/>
          <wp:effectExtent l="0" t="0" r="0" b="0"/>
          <wp:wrapSquare wrapText="largest"/>
          <wp:docPr id="1" name="Imax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xe2" descr=""/>
                  <pic:cNvPicPr>
                    <a:picLocks noChangeAspect="1" noChangeArrowheads="1"/>
                  </pic:cNvPicPr>
                </pic:nvPicPr>
                <pic:blipFill>
                  <a:blip r:embed="rId1"/>
                  <a:srcRect l="-289" t="-1078" r="-289" b="-1078"/>
                  <a:stretch>
                    <a:fillRect/>
                  </a:stretch>
                </pic:blipFill>
                <pic:spPr bwMode="auto">
                  <a:xfrm>
                    <a:off x="0" y="0"/>
                    <a:ext cx="1607185" cy="42291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drawing>
        <wp:anchor behindDoc="0" distT="0" distB="0" distL="0" distR="0" simplePos="0" locked="0" layoutInCell="0" allowOverlap="1" relativeHeight="9">
          <wp:simplePos x="0" y="0"/>
          <wp:positionH relativeFrom="column">
            <wp:posOffset>0</wp:posOffset>
          </wp:positionH>
          <wp:positionV relativeFrom="paragraph">
            <wp:posOffset>5080</wp:posOffset>
          </wp:positionV>
          <wp:extent cx="1607185" cy="422910"/>
          <wp:effectExtent l="0" t="0" r="0" b="0"/>
          <wp:wrapSquare wrapText="largest"/>
          <wp:docPr id="2" name="Imax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xe1" descr=""/>
                  <pic:cNvPicPr>
                    <a:picLocks noChangeAspect="1" noChangeArrowheads="1"/>
                  </pic:cNvPicPr>
                </pic:nvPicPr>
                <pic:blipFill>
                  <a:blip r:embed="rId1"/>
                  <a:srcRect l="-289" t="-1078" r="-289" b="-1078"/>
                  <a:stretch>
                    <a:fillRect/>
                  </a:stretch>
                </pic:blipFill>
                <pic:spPr bwMode="auto">
                  <a:xfrm>
                    <a:off x="0" y="0"/>
                    <a:ext cx="1607185" cy="422910"/>
                  </a:xfrm>
                  <a:prstGeom prst="rect">
                    <a:avLst/>
                  </a:prstGeom>
                </pic:spPr>
              </pic:pic>
            </a:graphicData>
          </a:graphic>
        </wp:anchor>
      </w:drawing>
    </w:r>
    <w:r>
      <w:rPr/>
      <w:t>C</w:t>
    </w:r>
    <w:r>
      <w:rPr/>
      <w:t>oncello de Rianxo</w:t>
    </w:r>
  </w:p>
  <w:p>
    <w:pPr>
      <w:pStyle w:val="Cabecera"/>
      <w:rPr/>
    </w:pPr>
    <w:r>
      <w:rPr/>
      <w:t>Praza Castelao 1, 15920 Rianxo</w:t>
    </w:r>
  </w:p>
  <w:p>
    <w:pPr>
      <w:pStyle w:val="Cabecera"/>
      <w:rPr/>
    </w:pPr>
    <w:r>
      <w:rPr>
        <w:b/>
        <w:bCs/>
      </w:rPr>
      <w:t>Tfno.</w:t>
    </w:r>
    <w:r>
      <w:rPr/>
      <w:t xml:space="preserve"> 981 860 075 </w:t>
    </w:r>
    <w:r>
      <w:rPr>
        <w:b/>
        <w:bCs/>
      </w:rPr>
      <w:t>Fax</w:t>
    </w:r>
    <w:r>
      <w:rPr/>
      <w:t xml:space="preserve"> 981 866 628</w:t>
    </w:r>
  </w:p>
  <w:p>
    <w:pPr>
      <w:pStyle w:val="Cabecera"/>
      <w:rPr/>
    </w:pPr>
    <w:r>
      <w:rPr/>
      <w:t>rianxo</w:t>
    </w:r>
    <w:r>
      <w:rPr>
        <w:b/>
        <w:bCs/>
      </w:rPr>
      <w:t>.gal</w:t>
    </w:r>
    <w:r>
      <w:rPr/>
      <w:t xml:space="preserve"> concelloderianxo</w:t>
    </w:r>
    <w:r>
      <w:rPr>
        <w:b/>
        <w:bCs/>
      </w:rPr>
      <w:t>.gal</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432" w:hanging="432"/>
      </w:pPr>
      <w:rPr/>
    </w:lvl>
    <w:lvl w:ilvl="1">
      <w:start w:val="1"/>
      <w:pStyle w:val="Ttulo2"/>
      <w:numFmt w:val="none"/>
      <w:suff w:val="nothing"/>
      <w:lvlText w:val=""/>
      <w:lvlJc w:val="left"/>
      <w:pPr>
        <w:tabs>
          <w:tab w:val="num" w:pos="0"/>
        </w:tabs>
        <w:ind w:left="576" w:hanging="576"/>
      </w:pPr>
      <w:rPr/>
    </w:lvl>
    <w:lvl w:ilvl="2">
      <w:start w:val="1"/>
      <w:pStyle w:val="Ttulo3"/>
      <w:numFmt w:val="none"/>
      <w:suff w:val="nothing"/>
      <w:lvlText w:val=""/>
      <w:lvlJc w:val="left"/>
      <w:pPr>
        <w:tabs>
          <w:tab w:val="num" w:pos="0"/>
        </w:tabs>
        <w:ind w:left="720" w:hanging="720"/>
      </w:pPr>
      <w:rPr/>
    </w:lvl>
    <w:lvl w:ilvl="3">
      <w:start w:val="1"/>
      <w:pStyle w:val="Ttulo4"/>
      <w:numFmt w:val="none"/>
      <w:suff w:val="nothing"/>
      <w:lvlText w:val=""/>
      <w:lvlJc w:val="left"/>
      <w:pPr>
        <w:tabs>
          <w:tab w:val="num" w:pos="0"/>
        </w:tabs>
        <w:ind w:left="864" w:hanging="864"/>
      </w:pPr>
      <w:rPr/>
    </w:lvl>
    <w:lvl w:ilvl="4">
      <w:start w:val="1"/>
      <w:pStyle w:val="Ttulo5"/>
      <w:numFmt w:val="none"/>
      <w:suff w:val="nothing"/>
      <w:lvlText w:val=""/>
      <w:lvlJc w:val="left"/>
      <w:pPr>
        <w:tabs>
          <w:tab w:val="num" w:pos="0"/>
        </w:tabs>
        <w:ind w:left="1008" w:hanging="1008"/>
      </w:pPr>
      <w:rPr/>
    </w:lvl>
    <w:lvl w:ilvl="5">
      <w:start w:val="1"/>
      <w:pStyle w:val="Ttulo6"/>
      <w:numFmt w:val="none"/>
      <w:suff w:val="nothing"/>
      <w:lvlText w:val=""/>
      <w:lvlJc w:val="left"/>
      <w:pPr>
        <w:tabs>
          <w:tab w:val="num" w:pos="0"/>
        </w:tabs>
        <w:ind w:left="1152" w:hanging="1152"/>
      </w:pPr>
      <w:rPr/>
    </w:lvl>
    <w:lvl w:ilvl="6">
      <w:start w:val="1"/>
      <w:pStyle w:val="Ttulo7"/>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2"/>
  </w:num>
</w:numbering>
</file>

<file path=word/settings.xml><?xml version="1.0" encoding="utf-8"?>
<w:settings xmlns:w="http://schemas.openxmlformats.org/wordprocessingml/2006/main">
  <w:zoom w:percent="75"/>
  <w:defaultTabStop w:val="709"/>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gl-E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Noto Sans;Liberation Sans" w:hAnsi="Noto Sans;Liberation Sans" w:eastAsia="Source Han Sans CN Regular" w:cs="Lohit Devanagari"/>
      <w:color w:val="auto"/>
      <w:kern w:val="2"/>
      <w:sz w:val="21"/>
      <w:szCs w:val="24"/>
      <w:lang w:val="gl-ES" w:eastAsia="zh-CN" w:bidi="hi-IN"/>
    </w:rPr>
  </w:style>
  <w:style w:type="paragraph" w:styleId="Ttulo1">
    <w:name w:val="Heading 1"/>
    <w:basedOn w:val="Ttulo"/>
    <w:next w:val="Cuerpodetexto"/>
    <w:qFormat/>
    <w:pPr>
      <w:numPr>
        <w:ilvl w:val="0"/>
        <w:numId w:val="1"/>
      </w:numPr>
      <w:bidi w:val="0"/>
      <w:spacing w:before="240" w:after="120"/>
      <w:ind w:left="0" w:right="0" w:hanging="0"/>
      <w:outlineLvl w:val="0"/>
    </w:pPr>
    <w:rPr>
      <w:b w:val="false"/>
      <w:bCs/>
      <w:caps/>
      <w:sz w:val="21"/>
      <w:szCs w:val="36"/>
    </w:rPr>
  </w:style>
  <w:style w:type="paragraph" w:styleId="Ttulo2">
    <w:name w:val="Heading 2"/>
    <w:basedOn w:val="Ttulo"/>
    <w:next w:val="Cuerpodetexto"/>
    <w:qFormat/>
    <w:pPr>
      <w:numPr>
        <w:ilvl w:val="1"/>
        <w:numId w:val="1"/>
      </w:numPr>
      <w:bidi w:val="0"/>
      <w:spacing w:before="200" w:after="120"/>
      <w:ind w:left="0" w:right="0" w:hanging="0"/>
      <w:outlineLvl w:val="1"/>
    </w:pPr>
    <w:rPr>
      <w:b/>
      <w:bCs/>
      <w:sz w:val="21"/>
      <w:szCs w:val="32"/>
    </w:rPr>
  </w:style>
  <w:style w:type="paragraph" w:styleId="Ttulo3">
    <w:name w:val="Heading 3"/>
    <w:basedOn w:val="Ttulo"/>
    <w:next w:val="Cuerpodetexto"/>
    <w:qFormat/>
    <w:pPr>
      <w:numPr>
        <w:ilvl w:val="2"/>
        <w:numId w:val="1"/>
      </w:numPr>
      <w:bidi w:val="0"/>
      <w:spacing w:before="140" w:after="120"/>
      <w:outlineLvl w:val="2"/>
    </w:pPr>
    <w:rPr>
      <w:b w:val="false"/>
      <w:bCs/>
      <w:i w:val="false"/>
      <w:sz w:val="21"/>
      <w:szCs w:val="28"/>
      <w:u w:val="single"/>
    </w:rPr>
  </w:style>
  <w:style w:type="paragraph" w:styleId="Ttulo4">
    <w:name w:val="Heading 4"/>
    <w:basedOn w:val="Ttulo"/>
    <w:next w:val="Cuerpodetexto"/>
    <w:qFormat/>
    <w:pPr>
      <w:numPr>
        <w:ilvl w:val="3"/>
        <w:numId w:val="1"/>
      </w:numPr>
      <w:spacing w:before="120" w:after="120"/>
      <w:outlineLvl w:val="3"/>
    </w:pPr>
    <w:rPr>
      <w:b/>
      <w:bCs/>
      <w:i/>
      <w:iCs/>
      <w:sz w:val="20"/>
      <w:szCs w:val="27"/>
    </w:rPr>
  </w:style>
  <w:style w:type="paragraph" w:styleId="Ttulo5">
    <w:name w:val="Heading 5"/>
    <w:basedOn w:val="Ttulo"/>
    <w:next w:val="Cuerpodetexto"/>
    <w:qFormat/>
    <w:pPr>
      <w:numPr>
        <w:ilvl w:val="4"/>
        <w:numId w:val="1"/>
      </w:numPr>
      <w:spacing w:before="120" w:after="60"/>
      <w:outlineLvl w:val="4"/>
    </w:pPr>
    <w:rPr>
      <w:b/>
      <w:bCs/>
      <w:sz w:val="18"/>
      <w:szCs w:val="24"/>
    </w:rPr>
  </w:style>
  <w:style w:type="paragraph" w:styleId="Ttulo6">
    <w:name w:val="Heading 6"/>
    <w:basedOn w:val="Ttulo"/>
    <w:next w:val="Cuerpodetexto"/>
    <w:qFormat/>
    <w:pPr>
      <w:numPr>
        <w:ilvl w:val="5"/>
        <w:numId w:val="1"/>
      </w:numPr>
      <w:spacing w:before="60" w:after="60"/>
      <w:outlineLvl w:val="5"/>
    </w:pPr>
    <w:rPr>
      <w:b/>
      <w:bCs/>
      <w:i/>
      <w:iCs/>
      <w:sz w:val="18"/>
      <w:szCs w:val="24"/>
    </w:rPr>
  </w:style>
  <w:style w:type="paragraph" w:styleId="Ttulo7">
    <w:name w:val="Heading 7"/>
    <w:basedOn w:val="Ttulo"/>
    <w:next w:val="Cuerpodetexto"/>
    <w:qFormat/>
    <w:pPr>
      <w:numPr>
        <w:ilvl w:val="6"/>
        <w:numId w:val="1"/>
      </w:numPr>
      <w:spacing w:before="60" w:after="60"/>
      <w:outlineLvl w:val="6"/>
    </w:pPr>
    <w:rPr>
      <w:b/>
      <w:bCs/>
      <w:sz w:val="17"/>
      <w:szCs w:val="22"/>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Wingdings" w:hAnsi="Wingdings" w:cs="Wingdings"/>
    </w:rPr>
  </w:style>
  <w:style w:type="character" w:styleId="WW8Num2z1">
    <w:name w:val="WW8Num2z1"/>
    <w:qFormat/>
    <w:rPr>
      <w:rFonts w:ascii="Symbol" w:hAnsi="Symbol" w:cs="Symbol"/>
    </w:rPr>
  </w:style>
  <w:style w:type="character" w:styleId="WW8Num3z0">
    <w:name w:val="WW8Num3z0"/>
    <w:qFormat/>
    <w:rPr>
      <w:rFonts w:ascii="MT Extra" w:hAnsi="MT Extra" w:cs="MT Extra"/>
    </w:rPr>
  </w:style>
  <w:style w:type="character" w:styleId="WW8Num3z1">
    <w:name w:val="WW8Num3z1"/>
    <w:qFormat/>
    <w:rPr>
      <w:rFonts w:ascii="OpenSymbol;Arial Unicode MS" w:hAnsi="OpenSymbol;Arial Unicode MS" w:cs="OpenSymbol;Arial Unicode MS"/>
    </w:rPr>
  </w:style>
  <w:style w:type="character" w:styleId="WW8Num4z0">
    <w:name w:val="WW8Num4z0"/>
    <w:qFormat/>
    <w:rPr>
      <w:rFonts w:ascii="Wingdings" w:hAnsi="Wingdings" w:cs="Wingdings"/>
    </w:rPr>
  </w:style>
  <w:style w:type="character" w:styleId="WW8Num5z0">
    <w:name w:val="WW8Num5z0"/>
    <w:qFormat/>
    <w:rPr>
      <w:rFonts w:ascii="OpenSymbol;Arial Unicode MS" w:hAnsi="OpenSymbol;Arial Unicode MS" w:cs="OpenSymbol;Arial Unicode MS"/>
    </w:rPr>
  </w:style>
  <w:style w:type="character" w:styleId="WW8Num5z1">
    <w:name w:val="WW8Num5z1"/>
    <w:qFormat/>
    <w:rPr>
      <w:rFonts w:ascii="Wingdings" w:hAnsi="Wingdings" w:cs="Wingdings"/>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mbolosdenumeracin">
    <w:name w:val="Símbolos de numeración"/>
    <w:qFormat/>
    <w:rPr/>
  </w:style>
  <w:style w:type="character" w:styleId="EnlacedeInternet">
    <w:name w:val="Enlace de Internet"/>
    <w:rPr>
      <w:color w:val="000080"/>
      <w:u w:val="single"/>
      <w:lang w:val="zxx" w:eastAsia="zxx" w:bidi="zxx"/>
    </w:rPr>
  </w:style>
  <w:style w:type="character" w:styleId="Vietas">
    <w:name w:val="Viñetas"/>
    <w:qFormat/>
    <w:rPr>
      <w:rFonts w:ascii="OpenSymbol;Arial Unicode MS" w:hAnsi="OpenSymbol;Arial Unicode MS" w:eastAsia="OpenSymbol;Arial Unicode MS" w:cs="OpenSymbol;Arial Unicode MS"/>
    </w:rPr>
  </w:style>
  <w:style w:type="paragraph" w:styleId="Ttulo">
    <w:name w:val="Título"/>
    <w:basedOn w:val="Normal"/>
    <w:next w:val="Cuerpodetexto"/>
    <w:qFormat/>
    <w:pPr>
      <w:keepNext w:val="true"/>
      <w:bidi w:val="0"/>
      <w:spacing w:before="240" w:after="120"/>
    </w:pPr>
    <w:rPr>
      <w:rFonts w:ascii="Noto Sans;Liberation Sans" w:hAnsi="Noto Sans;Liberation Sans" w:eastAsia="Source Han Sans CN Regular" w:cs="Lohit Devanagari"/>
      <w:sz w:val="21"/>
      <w:szCs w:val="28"/>
    </w:rPr>
  </w:style>
  <w:style w:type="paragraph" w:styleId="Cuerpodetexto">
    <w:name w:val="Body Text"/>
    <w:basedOn w:val="Normal"/>
    <w:pPr>
      <w:tabs>
        <w:tab w:val="clear" w:pos="709"/>
        <w:tab w:val="left" w:pos="4819" w:leader="none"/>
      </w:tabs>
      <w:bidi w:val="0"/>
      <w:spacing w:lineRule="auto" w:line="276" w:before="0" w:after="140"/>
      <w:jc w:val="both"/>
    </w:pPr>
    <w:rPr/>
  </w:style>
  <w:style w:type="paragraph" w:styleId="Lista">
    <w:name w:val="List"/>
    <w:basedOn w:val="Cuerpodetexto"/>
    <w:pPr/>
    <w:rPr>
      <w:rFonts w:cs="Lohit Devanagari"/>
    </w:rPr>
  </w:style>
  <w:style w:type="paragraph" w:styleId="Ley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Heading">
    <w:name w:val="Heading"/>
    <w:basedOn w:val="Ttulo"/>
    <w:next w:val="Cuerpodetexto"/>
    <w:qFormat/>
    <w:pPr>
      <w:bidi w:val="0"/>
      <w:jc w:val="left"/>
    </w:pPr>
    <w:rPr>
      <w:b w:val="false"/>
      <w:bCs/>
      <w:caps/>
      <w:sz w:val="21"/>
      <w:szCs w:val="56"/>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Cita">
    <w:name w:val="Cita"/>
    <w:basedOn w:val="Normal"/>
    <w:qFormat/>
    <w:pPr>
      <w:spacing w:before="0" w:after="283"/>
      <w:ind w:left="567" w:right="567" w:hanging="0"/>
    </w:pPr>
    <w:rPr/>
  </w:style>
  <w:style w:type="paragraph" w:styleId="Subttulo">
    <w:name w:val="Subtitle"/>
    <w:basedOn w:val="Ttulo"/>
    <w:next w:val="Cuerpodetexto"/>
    <w:qFormat/>
    <w:pPr>
      <w:bidi w:val="0"/>
      <w:spacing w:before="60" w:after="120"/>
      <w:jc w:val="left"/>
    </w:pPr>
    <w:rPr>
      <w:i/>
      <w:sz w:val="21"/>
      <w:szCs w:val="36"/>
    </w:rPr>
  </w:style>
  <w:style w:type="paragraph" w:styleId="Cabeceraypie">
    <w:name w:val="Cabecera y pie"/>
    <w:basedOn w:val="Normal"/>
    <w:qFormat/>
    <w:pPr>
      <w:suppressLineNumbers/>
      <w:tabs>
        <w:tab w:val="clear" w:pos="709"/>
        <w:tab w:val="center" w:pos="4819" w:leader="none"/>
        <w:tab w:val="right" w:pos="9638" w:leader="none"/>
      </w:tabs>
    </w:pPr>
    <w:rPr/>
  </w:style>
  <w:style w:type="paragraph" w:styleId="Cabecera">
    <w:name w:val="Header"/>
    <w:basedOn w:val="Normal"/>
    <w:pPr>
      <w:suppressLineNumbers/>
      <w:tabs>
        <w:tab w:val="clear" w:pos="709"/>
        <w:tab w:val="center" w:pos="4819" w:leader="none"/>
        <w:tab w:val="right" w:pos="9638" w:leader="none"/>
      </w:tabs>
      <w:bidi w:val="0"/>
      <w:jc w:val="right"/>
    </w:pPr>
    <w:rPr>
      <w:rFonts w:ascii="Noto Sans" w:hAnsi="Noto Sans" w:cs="Noto Sans"/>
      <w:sz w:val="16"/>
    </w:rPr>
  </w:style>
  <w:style w:type="paragraph" w:styleId="Piedepgina">
    <w:name w:val="Footer"/>
    <w:basedOn w:val="Normal"/>
    <w:pPr>
      <w:suppressLineNumbers/>
      <w:tabs>
        <w:tab w:val="clear" w:pos="709"/>
        <w:tab w:val="center" w:pos="4819" w:leader="none"/>
        <w:tab w:val="right" w:pos="9638" w:leader="none"/>
      </w:tabs>
      <w:bidi w:val="0"/>
    </w:pPr>
    <w:rPr>
      <w:sz w:val="16"/>
    </w:rPr>
  </w:style>
  <w:style w:type="paragraph" w:styleId="Cabeceraizquierda">
    <w:name w:val="Cabecera izquierda"/>
    <w:basedOn w:val="Normal"/>
    <w:qFormat/>
    <w:pPr>
      <w:suppressLineNumbers/>
      <w:tabs>
        <w:tab w:val="clear" w:pos="709"/>
        <w:tab w:val="center" w:pos="4819" w:leader="none"/>
        <w:tab w:val="right" w:pos="9638" w:leader="none"/>
      </w:tabs>
    </w:pPr>
    <w:rPr/>
  </w:style>
  <w:style w:type="paragraph" w:styleId="Destacado">
    <w:name w:val="Destacado"/>
    <w:basedOn w:val="Cuerpodetexto"/>
    <w:qFormat/>
    <w:pPr>
      <w:pBdr>
        <w:top w:val="single" w:sz="2" w:space="7" w:color="000000"/>
        <w:left w:val="single" w:sz="2" w:space="7" w:color="000000"/>
        <w:bottom w:val="single" w:sz="2" w:space="7" w:color="000000"/>
        <w:right w:val="single" w:sz="2" w:space="7" w:color="000000"/>
      </w:pBdr>
      <w:shd w:fill="B4C7DC" w:val="clear"/>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docProps/app.xml><?xml version="1.0" encoding="utf-8"?>
<Properties xmlns="http://schemas.openxmlformats.org/officeDocument/2006/extended-properties" xmlns:vt="http://schemas.openxmlformats.org/officeDocument/2006/docPropsVTypes">
  <Template>Modelo Concello</Template>
  <TotalTime>45</TotalTime>
  <Application>LibreOffice/7.0.2.2$Windows_X86_64 LibreOffice_project/8349ace3c3162073abd90d81fd06dcfb6b36b994</Application>
  <Pages>8</Pages>
  <Words>2755</Words>
  <Characters>14208</Characters>
  <CharactersWithSpaces>16850</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2023-09-21T15:23:05Z</dcterms:created>
  <dc:creator/>
  <dc:description/>
  <dc:language>es-ES</dc:language>
  <cp:lastModifiedBy/>
  <dcterms:modified xsi:type="dcterms:W3CDTF">2023-09-22T14:18:53Z</dcterms:modified>
  <cp:revision>6</cp:revision>
  <dc:subject/>
  <dc:title>Modelo Concello</dc:title>
</cp:coreProperties>
</file>