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 w:val="20"/>
          <w:szCs w:val="20"/>
        </w:rPr>
      </w:pPr>
      <w:r>
        <w:rPr>
          <w:b/>
          <w:sz w:val="20"/>
          <w:szCs w:val="20"/>
        </w:rPr>
        <w:t xml:space="preserve">PRIMERO.- </w:t>
      </w:r>
      <w:r>
        <w:rPr>
          <w:b w:val="false"/>
          <w:sz w:val="20"/>
          <w:szCs w:val="20"/>
        </w:rPr>
        <w:t xml:space="preserve">Avocar para este acto las atribuciones delegadas en la Junta de Gobierno Local </w:t>
      </w:r>
    </w:p>
    <w:p>
      <w:pPr>
        <w:pStyle w:val="Cuerpodetexto"/>
        <w:jc w:val="both"/>
        <w:rPr>
          <w:b/>
          <w:b/>
          <w:sz w:val="20"/>
          <w:szCs w:val="20"/>
          <w:lang w:val="es-ES" w:eastAsia="zxx" w:bidi="zxx"/>
        </w:rPr>
      </w:pPr>
      <w:r>
        <w:rPr>
          <w:b/>
          <w:sz w:val="20"/>
          <w:szCs w:val="20"/>
          <w:lang w:val="es-ES" w:eastAsia="zxx" w:bidi="zxx"/>
        </w:rPr>
      </w:r>
    </w:p>
    <w:p>
      <w:pPr>
        <w:pStyle w:val="Cuerpodetexto"/>
        <w:jc w:val="both"/>
        <w:rPr/>
      </w:pPr>
      <w:r>
        <w:rPr>
          <w:b/>
          <w:sz w:val="20"/>
          <w:szCs w:val="20"/>
          <w:lang w:val="es-ES" w:eastAsia="zxx" w:bidi="zxx"/>
        </w:rPr>
        <w:t>SEGUNDO</w:t>
      </w:r>
      <w:r>
        <w:rPr>
          <w:b/>
          <w:sz w:val="20"/>
          <w:szCs w:val="20"/>
          <w:lang w:val="es-ES" w:eastAsia="zxx" w:bidi="zxx"/>
        </w:rPr>
        <w:t>.-</w:t>
      </w:r>
      <w:r>
        <w:rPr>
          <w:sz w:val="20"/>
          <w:szCs w:val="20"/>
          <w:lang w:val="es-ES" w:eastAsia="zxx" w:bidi="zxx"/>
        </w:rPr>
        <w:t xml:space="preserve"> Aprobar la convocatoria para el presente ejercicio para la concesión de subvenciones para ayudas para la adquisición de libros de texto y material escolar para segundo ciclo de educación infantil, educación primaria, ESO y bachillerato cuyo contenido de acuerdo con el artículo 18 de la Ordenanza General de Subvenciones será el siguiente:  </w:t>
      </w:r>
    </w:p>
    <w:p>
      <w:pPr>
        <w:pStyle w:val="Cuerpodetexto"/>
        <w:jc w:val="both"/>
        <w:rPr>
          <w:sz w:val="20"/>
          <w:szCs w:val="20"/>
          <w:lang w:val="es-ES" w:eastAsia="zxx" w:bidi="zxx"/>
        </w:rPr>
      </w:pPr>
      <w:r>
        <w:rPr>
          <w:sz w:val="20"/>
          <w:szCs w:val="20"/>
          <w:lang w:val="es-ES" w:eastAsia="zxx" w:bidi="zxx"/>
        </w:rPr>
        <w:t>a.- Las bases especificas fueron publicadas en el BOP núm. 77 de fecha 29/06/17.</w:t>
      </w:r>
    </w:p>
    <w:p>
      <w:pPr>
        <w:pStyle w:val="Cuerpodetexto"/>
        <w:jc w:val="both"/>
        <w:rPr>
          <w:sz w:val="20"/>
          <w:szCs w:val="20"/>
          <w:lang w:val="es-ES"/>
        </w:rPr>
      </w:pPr>
      <w:r>
        <w:rPr>
          <w:sz w:val="20"/>
          <w:szCs w:val="20"/>
          <w:lang w:val="es-ES"/>
        </w:rPr>
        <w:t>b.- El crédito presupuestario total.</w:t>
      </w:r>
    </w:p>
    <w:tbl>
      <w:tblPr>
        <w:tblW w:w="8531"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1132"/>
        <w:gridCol w:w="4595"/>
        <w:gridCol w:w="2804"/>
      </w:tblGrid>
      <w:tr>
        <w:trPr/>
        <w:tc>
          <w:tcPr>
            <w:tcW w:w="1132" w:type="dxa"/>
            <w:tcBorders>
              <w:top w:val="single" w:sz="2" w:space="0" w:color="000000"/>
              <w:left w:val="single" w:sz="2" w:space="0" w:color="000000"/>
              <w:bottom w:val="single" w:sz="2" w:space="0" w:color="000000"/>
              <w:insideH w:val="single" w:sz="2" w:space="0" w:color="000000"/>
            </w:tcBorders>
            <w:shd w:fill="auto" w:val="clear"/>
          </w:tcPr>
          <w:p>
            <w:pPr>
              <w:pStyle w:val="Contenidodelatabla"/>
              <w:jc w:val="both"/>
              <w:rPr>
                <w:sz w:val="16"/>
                <w:szCs w:val="16"/>
              </w:rPr>
            </w:pPr>
            <w:r>
              <w:rPr>
                <w:sz w:val="16"/>
                <w:szCs w:val="16"/>
              </w:rPr>
              <w:t xml:space="preserve">Ejercicio </w:t>
            </w:r>
          </w:p>
        </w:tc>
        <w:tc>
          <w:tcPr>
            <w:tcW w:w="459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jc w:val="both"/>
              <w:rPr>
                <w:sz w:val="16"/>
                <w:szCs w:val="16"/>
              </w:rPr>
            </w:pPr>
            <w:r>
              <w:rPr>
                <w:sz w:val="16"/>
                <w:szCs w:val="16"/>
              </w:rPr>
              <w:t xml:space="preserve">Aplicación Presupuestaria </w:t>
            </w:r>
          </w:p>
        </w:tc>
        <w:tc>
          <w:tcPr>
            <w:tcW w:w="2804"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jc w:val="both"/>
              <w:rPr>
                <w:sz w:val="16"/>
                <w:szCs w:val="16"/>
              </w:rPr>
            </w:pPr>
            <w:r>
              <w:rPr>
                <w:sz w:val="16"/>
                <w:szCs w:val="16"/>
              </w:rPr>
              <w:t>Total</w:t>
            </w:r>
          </w:p>
        </w:tc>
      </w:tr>
      <w:tr>
        <w:trPr/>
        <w:tc>
          <w:tcPr>
            <w:tcW w:w="1132" w:type="dxa"/>
            <w:tcBorders>
              <w:left w:val="single" w:sz="2" w:space="0" w:color="000000"/>
              <w:bottom w:val="single" w:sz="2" w:space="0" w:color="000000"/>
              <w:insideH w:val="single" w:sz="2" w:space="0" w:color="000000"/>
            </w:tcBorders>
            <w:shd w:fill="auto" w:val="clear"/>
          </w:tcPr>
          <w:p>
            <w:pPr>
              <w:pStyle w:val="Contenidodelatabla"/>
              <w:jc w:val="both"/>
              <w:rPr>
                <w:sz w:val="16"/>
                <w:szCs w:val="16"/>
              </w:rPr>
            </w:pPr>
            <w:r>
              <w:rPr>
                <w:sz w:val="16"/>
                <w:szCs w:val="16"/>
              </w:rPr>
              <w:t>202</w:t>
            </w:r>
            <w:r>
              <w:rPr>
                <w:sz w:val="16"/>
                <w:szCs w:val="16"/>
              </w:rPr>
              <w:t>2</w:t>
            </w:r>
          </w:p>
        </w:tc>
        <w:tc>
          <w:tcPr>
            <w:tcW w:w="4595" w:type="dxa"/>
            <w:tcBorders>
              <w:left w:val="single" w:sz="2" w:space="0" w:color="000000"/>
              <w:bottom w:val="single" w:sz="2" w:space="0" w:color="000000"/>
              <w:insideH w:val="single" w:sz="2" w:space="0" w:color="000000"/>
            </w:tcBorders>
            <w:shd w:fill="auto" w:val="clear"/>
          </w:tcPr>
          <w:p>
            <w:pPr>
              <w:pStyle w:val="Contenidodelatabla"/>
              <w:jc w:val="both"/>
              <w:rPr/>
            </w:pPr>
            <w:r>
              <w:rPr>
                <w:sz w:val="16"/>
                <w:szCs w:val="16"/>
              </w:rPr>
              <w:t>320.480.00 “Subvención Material Escolar”</w:t>
            </w:r>
            <w:r>
              <w:rPr/>
              <w:t xml:space="preserve"> </w:t>
            </w:r>
          </w:p>
        </w:tc>
        <w:tc>
          <w:tcPr>
            <w:tcW w:w="28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jc w:val="both"/>
              <w:rPr>
                <w:sz w:val="16"/>
                <w:szCs w:val="16"/>
              </w:rPr>
            </w:pPr>
            <w:r>
              <w:rPr>
                <w:sz w:val="16"/>
                <w:szCs w:val="16"/>
              </w:rPr>
              <w:t>55.000</w:t>
            </w:r>
            <w:r>
              <w:rPr>
                <w:sz w:val="16"/>
                <w:szCs w:val="16"/>
              </w:rPr>
              <w:t xml:space="preserve"> euros</w:t>
            </w:r>
          </w:p>
        </w:tc>
      </w:tr>
    </w:tbl>
    <w:p>
      <w:pPr>
        <w:pStyle w:val="Cuerpodetexto"/>
        <w:jc w:val="both"/>
        <w:rPr>
          <w:rFonts w:eastAsia="Arial" w:cs="Arial"/>
          <w:sz w:val="20"/>
          <w:szCs w:val="20"/>
          <w:lang w:val="es-ES"/>
        </w:rPr>
      </w:pPr>
      <w:r>
        <w:rPr>
          <w:rFonts w:eastAsia="Arial" w:cs="Arial"/>
          <w:sz w:val="20"/>
          <w:szCs w:val="20"/>
          <w:lang w:val="es-ES"/>
        </w:rPr>
        <w:t xml:space="preserve"> </w:t>
      </w:r>
    </w:p>
    <w:p>
      <w:pPr>
        <w:pStyle w:val="Normal"/>
        <w:jc w:val="both"/>
        <w:rPr>
          <w:sz w:val="20"/>
          <w:szCs w:val="20"/>
        </w:rPr>
      </w:pPr>
      <w:r>
        <w:rPr>
          <w:rFonts w:eastAsia="Arial" w:cs="Arial"/>
          <w:b w:val="false"/>
          <w:bCs w:val="false"/>
          <w:sz w:val="20"/>
          <w:szCs w:val="20"/>
          <w:lang w:val="es-ES"/>
        </w:rPr>
        <w:t>c.- Por medio de la siguiente convocatoria se trata de establecer las bases reguladoras de la concesión de subvenciones para ayudar a las familias con mayores dificultades económicas en la adquisición del material escolar y libros de texto para el alumnado escolarizado en segundo ciclo de educación infantil y para la adquisición de material escolar para el alumnado de primaria, educación secundaria obligatoria y bachillerato, tanto de centros públicos como concertados de Vinaròs para el curso 202</w:t>
      </w:r>
      <w:r>
        <w:rPr>
          <w:rFonts w:eastAsia="Arial" w:cs="Arial"/>
          <w:b w:val="false"/>
          <w:bCs w:val="false"/>
          <w:sz w:val="20"/>
          <w:szCs w:val="20"/>
          <w:lang w:val="es-ES"/>
        </w:rPr>
        <w:t>3</w:t>
      </w:r>
      <w:r>
        <w:rPr>
          <w:rFonts w:eastAsia="Arial" w:cs="Arial"/>
          <w:b w:val="false"/>
          <w:bCs w:val="false"/>
          <w:sz w:val="20"/>
          <w:szCs w:val="20"/>
          <w:lang w:val="es-ES"/>
        </w:rPr>
        <w:t>/202</w:t>
      </w:r>
      <w:r>
        <w:rPr>
          <w:rFonts w:eastAsia="Arial" w:cs="Arial"/>
          <w:b w:val="false"/>
          <w:bCs w:val="false"/>
          <w:sz w:val="20"/>
          <w:szCs w:val="20"/>
          <w:lang w:val="es-ES"/>
        </w:rPr>
        <w:t>4</w:t>
      </w:r>
    </w:p>
    <w:p>
      <w:pPr>
        <w:pStyle w:val="Normal"/>
        <w:jc w:val="both"/>
        <w:rPr/>
      </w:pPr>
      <w:r>
        <w:rPr/>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t>d.- El plazo de presentación de instancias será de 10 días hábiles siguientes a la publicación de la convocatoria  de las ayudas en el Boletín Oficial de la Provincia de Castellón.</w:t>
      </w:r>
    </w:p>
    <w:p>
      <w:pPr>
        <w:pStyle w:val="Normal"/>
        <w:jc w:val="both"/>
        <w:rPr/>
      </w:pPr>
      <w:r>
        <w:rPr/>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t>e.- Destinatarios.- Las ayudas o subvenciones se concederán a las familias que tengan hijos/as en segundo ciclo de educación infantil, primaria, secundaria obligatoria y bachillerato, y que solicitando la ayuda no superen el nivel de renta que se exige en la presente convocatoria. Las ayudas para bachillerato se concederán teniendo en cuenta las normas que regularán el programa de ayudas para la adquisición de libros de texto o sistema de préstamo de libros.</w:t>
      </w:r>
    </w:p>
    <w:p>
      <w:pPr>
        <w:pStyle w:val="Normal"/>
        <w:jc w:val="both"/>
        <w:rPr/>
      </w:pPr>
      <w:r>
        <w:rPr/>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t xml:space="preserve"> </w:t>
      </w:r>
      <w:r>
        <w:rPr>
          <w:rFonts w:eastAsia="Arial" w:cs="Arial"/>
          <w:b w:val="false"/>
          <w:bCs w:val="false"/>
          <w:sz w:val="20"/>
          <w:szCs w:val="20"/>
          <w:lang w:val="es-ES"/>
        </w:rPr>
        <w:t>f.- Los criterios de valoración se encuentran recogidos en el punto séptimo de las bases.</w:t>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t>g.- Los beneficiarios recibirán la ayuda económica contemplada en las presentes bases mediante transferencia bancaria al número de cuenta de su titularidad. Para la percepción de la ayuda será necesario justificar, con carácter previo la ayuda concedida, debiendo aportar en la Concejalía de Educación para la justificación de la subvención, la factura por la compra de los libros de material escolar.</w:t>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t>h.- Plazo justificación máximo será el 26 de octubre de 202</w:t>
      </w:r>
      <w:r>
        <w:rPr>
          <w:rFonts w:eastAsia="Arial" w:cs="Arial"/>
          <w:b w:val="false"/>
          <w:bCs w:val="false"/>
          <w:sz w:val="20"/>
          <w:szCs w:val="20"/>
          <w:lang w:val="es-ES"/>
        </w:rPr>
        <w:t>3</w:t>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r>
    </w:p>
    <w:p>
      <w:pPr>
        <w:pStyle w:val="Normal"/>
        <w:jc w:val="both"/>
        <w:rPr/>
      </w:pPr>
      <w:r>
        <w:rPr>
          <w:rFonts w:eastAsia="Arial" w:cs="Arial"/>
          <w:b/>
          <w:bCs/>
          <w:sz w:val="20"/>
          <w:szCs w:val="20"/>
          <w:lang w:val="es-ES"/>
        </w:rPr>
        <w:t>TERCERO</w:t>
      </w:r>
      <w:r>
        <w:rPr>
          <w:rFonts w:eastAsia="Arial" w:cs="Arial"/>
          <w:b/>
          <w:bCs/>
          <w:sz w:val="20"/>
          <w:szCs w:val="20"/>
          <w:lang w:val="es-ES"/>
        </w:rPr>
        <w:t xml:space="preserve">.- </w:t>
      </w:r>
      <w:r>
        <w:rPr>
          <w:rFonts w:eastAsia="Arial" w:cs="Arial"/>
          <w:b w:val="false"/>
          <w:bCs w:val="false"/>
          <w:sz w:val="20"/>
          <w:szCs w:val="20"/>
          <w:lang w:val="es-ES"/>
        </w:rPr>
        <w:t xml:space="preserve">Autorizar gasto importe de </w:t>
      </w:r>
      <w:r>
        <w:rPr>
          <w:rFonts w:eastAsia="Arial" w:cs="Arial"/>
          <w:b w:val="false"/>
          <w:bCs w:val="false"/>
          <w:sz w:val="20"/>
          <w:szCs w:val="20"/>
          <w:lang w:val="es-ES"/>
        </w:rPr>
        <w:t>5</w:t>
      </w:r>
      <w:r>
        <w:rPr>
          <w:rFonts w:eastAsia="Arial" w:cs="Arial"/>
          <w:b w:val="false"/>
          <w:bCs w:val="false"/>
          <w:sz w:val="20"/>
          <w:szCs w:val="20"/>
          <w:lang w:val="es-ES"/>
        </w:rPr>
        <w:t>5.000</w:t>
      </w:r>
      <w:r>
        <w:rPr>
          <w:rFonts w:eastAsia="Arial" w:cs="Arial"/>
          <w:b w:val="false"/>
          <w:bCs w:val="false"/>
          <w:sz w:val="20"/>
          <w:szCs w:val="20"/>
          <w:lang w:val="es-ES"/>
        </w:rPr>
        <w:t xml:space="preserve"> €</w:t>
      </w:r>
      <w:r>
        <w:rPr>
          <w:rFonts w:eastAsia="Arial" w:cs="Arial"/>
          <w:b w:val="false"/>
          <w:bCs w:val="false"/>
          <w:sz w:val="20"/>
          <w:szCs w:val="20"/>
          <w:lang w:val="es-ES"/>
        </w:rPr>
        <w:t xml:space="preserve"> </w:t>
      </w:r>
      <w:r>
        <w:rPr>
          <w:rFonts w:eastAsia="Arial" w:cs="Arial"/>
          <w:b w:val="false"/>
          <w:bCs w:val="false"/>
          <w:sz w:val="20"/>
          <w:szCs w:val="20"/>
          <w:lang w:val="es-ES"/>
        </w:rPr>
        <w:t xml:space="preserve">con cargo a la partida </w:t>
      </w:r>
      <w:r>
        <w:rPr>
          <w:rFonts w:eastAsia="Arial" w:cs="Arial"/>
          <w:b w:val="false"/>
          <w:bCs w:val="false"/>
          <w:sz w:val="20"/>
          <w:szCs w:val="20"/>
          <w:lang w:val="es-ES"/>
        </w:rPr>
        <w:t>320.480.00</w:t>
      </w:r>
      <w:r>
        <w:rPr>
          <w:rFonts w:eastAsia="Arial" w:cs="Arial"/>
          <w:b w:val="false"/>
          <w:bCs w:val="false"/>
          <w:sz w:val="20"/>
          <w:szCs w:val="20"/>
          <w:lang w:val="es-ES"/>
        </w:rPr>
        <w:t xml:space="preserve"> del presupuesto municipal </w:t>
      </w:r>
      <w:r>
        <w:rPr>
          <w:rFonts w:eastAsia="Arial" w:cs="Arial"/>
          <w:b w:val="false"/>
          <w:bCs w:val="false"/>
          <w:sz w:val="20"/>
          <w:szCs w:val="20"/>
          <w:lang w:val="es-ES"/>
        </w:rPr>
        <w:t>prorrogado</w:t>
      </w:r>
      <w:r>
        <w:rPr>
          <w:rFonts w:eastAsia="Arial" w:cs="Arial"/>
          <w:b w:val="false"/>
          <w:bCs w:val="false"/>
          <w:sz w:val="20"/>
          <w:szCs w:val="20"/>
          <w:lang w:val="es-ES"/>
        </w:rPr>
        <w:t>.</w:t>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r>
    </w:p>
    <w:p>
      <w:pPr>
        <w:pStyle w:val="Normal"/>
        <w:jc w:val="both"/>
        <w:rPr/>
      </w:pPr>
      <w:r>
        <w:rPr>
          <w:rFonts w:eastAsia="Arial" w:cs="Arial"/>
          <w:b/>
          <w:bCs/>
          <w:sz w:val="20"/>
          <w:szCs w:val="20"/>
          <w:lang w:val="es-ES"/>
        </w:rPr>
        <w:t>CUARTO</w:t>
      </w:r>
      <w:r>
        <w:rPr>
          <w:rFonts w:eastAsia="Arial" w:cs="Arial"/>
          <w:b/>
          <w:bCs/>
          <w:sz w:val="20"/>
          <w:szCs w:val="20"/>
          <w:lang w:val="es-ES"/>
        </w:rPr>
        <w:t>.-</w:t>
      </w:r>
      <w:r>
        <w:rPr>
          <w:rFonts w:eastAsia="Arial" w:cs="Arial"/>
          <w:b w:val="false"/>
          <w:bCs w:val="false"/>
          <w:sz w:val="20"/>
          <w:szCs w:val="20"/>
          <w:lang w:val="es-ES"/>
        </w:rPr>
        <w:t xml:space="preserve"> Dar traslado de lo acordado a la Intervención Municipal a los efectos oportunos.</w:t>
      </w:r>
    </w:p>
    <w:p>
      <w:pPr>
        <w:pStyle w:val="Normal"/>
        <w:jc w:val="both"/>
        <w:rPr>
          <w:rFonts w:eastAsia="Arial" w:cs="Arial"/>
          <w:b w:val="false"/>
          <w:b w:val="false"/>
          <w:bCs w:val="false"/>
          <w:sz w:val="20"/>
          <w:szCs w:val="20"/>
          <w:lang w:val="es-ES"/>
        </w:rPr>
      </w:pPr>
      <w:r>
        <w:rPr>
          <w:rFonts w:eastAsia="Arial" w:cs="Arial"/>
          <w:b w:val="false"/>
          <w:bCs w:val="false"/>
          <w:sz w:val="20"/>
          <w:szCs w:val="20"/>
          <w:lang w:val="es-ES"/>
        </w:rPr>
      </w:r>
    </w:p>
    <w:p>
      <w:pPr>
        <w:pStyle w:val="Normal"/>
        <w:jc w:val="both"/>
        <w:rPr/>
      </w:pPr>
      <w:r>
        <w:rPr>
          <w:rFonts w:eastAsia="Arial" w:cs="Arial"/>
          <w:b/>
          <w:bCs/>
          <w:sz w:val="20"/>
          <w:szCs w:val="20"/>
          <w:lang w:val="es-ES"/>
        </w:rPr>
        <w:t>QUINTO</w:t>
      </w:r>
      <w:r>
        <w:rPr>
          <w:rFonts w:eastAsia="Arial" w:cs="Arial"/>
          <w:b/>
          <w:bCs/>
          <w:sz w:val="20"/>
          <w:szCs w:val="20"/>
          <w:lang w:val="es-ES"/>
        </w:rPr>
        <w:t xml:space="preserve">.- </w:t>
      </w:r>
      <w:r>
        <w:rPr>
          <w:rFonts w:eastAsia="Arial" w:cs="Arial"/>
          <w:b w:val="false"/>
          <w:bCs w:val="false"/>
          <w:sz w:val="20"/>
          <w:szCs w:val="20"/>
          <w:lang w:val="es-ES"/>
        </w:rPr>
        <w:t>Publicar las convocatoria en la Base de Datos Nacional de Subvenciones y en el Tablón de anuncios del Ayuntamiento.</w:t>
      </w:r>
    </w:p>
    <w:p>
      <w:pPr>
        <w:pStyle w:val="Normal"/>
        <w:rPr/>
      </w:pPr>
      <w:r>
        <w:rP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auto"/>
    <w:pitch w:val="default"/>
  </w:font>
  <w:font w:name="Symbo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Unicode MS">
    <w:charset w:val="00"/>
    <w:family w:val="swiss"/>
    <w:pitch w:val="variable"/>
  </w:font>
  <w:font w:name="Comic Sans MS">
    <w:charset w:val="00"/>
    <w:family w:val="script"/>
    <w:pitch w:val="variable"/>
  </w:font>
  <w:font w:name="Arial">
    <w:charset w:val="00"/>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rPr/>
    </w:lvl>
    <w:lvl w:ilvl="1">
      <w:start w:val="1"/>
      <w:numFmt w:val="none"/>
      <w:suff w:val="nothing"/>
      <w:lvlText w:val=""/>
      <w:lvlJc w:val="left"/>
      <w:pPr>
        <w:ind w:left="576" w:hanging="576"/>
      </w:pPr>
      <w:rPr/>
    </w:lvl>
    <w:lvl w:ilvl="2">
      <w:start w:val="1"/>
      <w:numFmt w:val="none"/>
      <w:suff w:val="nothing"/>
      <w:lvlText w:val=""/>
      <w:lvlJc w:val="left"/>
      <w:pPr>
        <w:ind w:left="720" w:hanging="720"/>
      </w:pPr>
      <w:rPr/>
    </w:lvl>
    <w:lvl w:ilvl="3">
      <w:start w:val="1"/>
      <w:numFmt w:val="none"/>
      <w:suff w:val="nothing"/>
      <w:lvlText w:val=""/>
      <w:lvlJc w:val="left"/>
      <w:pPr>
        <w:ind w:left="864" w:hanging="864"/>
      </w:pPr>
      <w:rPr/>
    </w:lvl>
    <w:lvl w:ilvl="4">
      <w:start w:val="1"/>
      <w:numFmt w:val="none"/>
      <w:suff w:val="nothing"/>
      <w:lvlText w:val=""/>
      <w:lvlJc w:val="left"/>
      <w:pPr>
        <w:ind w:left="1008" w:hanging="1008"/>
      </w:pPr>
      <w:rPr/>
    </w:lvl>
    <w:lvl w:ilvl="5">
      <w:start w:val="1"/>
      <w:numFmt w:val="none"/>
      <w:suff w:val="nothing"/>
      <w:lvlText w:val=""/>
      <w:lvlJc w:val="left"/>
      <w:pPr>
        <w:ind w:left="1152" w:hanging="1152"/>
      </w:pPr>
      <w:rPr/>
    </w:lvl>
    <w:lvl w:ilvl="6">
      <w:start w:val="1"/>
      <w:numFmt w:val="none"/>
      <w:suff w:val="nothing"/>
      <w:lvlText w:val=""/>
      <w:lvlJc w:val="left"/>
      <w:pPr>
        <w:ind w:left="1296" w:hanging="1296"/>
      </w:pPr>
      <w:rPr/>
    </w:lvl>
    <w:lvl w:ilvl="7">
      <w:start w:val="1"/>
      <w:numFmt w:val="none"/>
      <w:suff w:val="nothing"/>
      <w:lvlText w:val=""/>
      <w:lvlJc w:val="left"/>
      <w:pPr>
        <w:ind w:left="1440" w:hanging="1440"/>
      </w:pPr>
      <w:rPr/>
    </w:lvl>
    <w:lvl w:ilvl="8">
      <w:start w:val="1"/>
      <w:numFmt w:val="none"/>
      <w:suff w:val="nothing"/>
      <w:lvlText w:val=""/>
      <w:lvlJc w:val="left"/>
      <w:pPr>
        <w:ind w:left="1584" w:hanging="1584"/>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s-E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s-ES" w:eastAsia="zh-CN" w:bidi="hi-IN"/>
    </w:rPr>
  </w:style>
  <w:style w:type="paragraph" w:styleId="Ttulo1">
    <w:name w:val="Heading 1"/>
    <w:basedOn w:val="Encabezado"/>
    <w:next w:val="Cuerpodetexto"/>
    <w:qFormat/>
    <w:pPr>
      <w:numPr>
        <w:ilvl w:val="0"/>
        <w:numId w:val="0"/>
      </w:numPr>
      <w:spacing w:before="240" w:after="120"/>
      <w:outlineLvl w:val="0"/>
    </w:pPr>
    <w:rPr>
      <w:b/>
      <w:bCs/>
      <w:sz w:val="36"/>
      <w:szCs w:val="36"/>
    </w:rPr>
  </w:style>
  <w:style w:type="paragraph" w:styleId="Ttulo2">
    <w:name w:val="Heading 2"/>
    <w:basedOn w:val="Encabezado"/>
    <w:next w:val="Cuerpodetexto"/>
    <w:qFormat/>
    <w:pPr>
      <w:numPr>
        <w:ilvl w:val="0"/>
        <w:numId w:val="0"/>
      </w:numPr>
      <w:spacing w:before="200" w:after="120"/>
      <w:outlineLvl w:val="1"/>
    </w:pPr>
    <w:rPr>
      <w:b/>
      <w:bCs/>
      <w:sz w:val="32"/>
      <w:szCs w:val="32"/>
    </w:rPr>
  </w:style>
  <w:style w:type="paragraph" w:styleId="Ttulo3">
    <w:name w:val="Heading 3"/>
    <w:basedOn w:val="Encabezado"/>
    <w:next w:val="Cuerpodetexto"/>
    <w:qFormat/>
    <w:pPr>
      <w:numPr>
        <w:ilvl w:val="0"/>
        <w:numId w:val="0"/>
      </w:numPr>
      <w:spacing w:before="140" w:after="120"/>
      <w:outlineLvl w:val="2"/>
    </w:pPr>
    <w:rPr>
      <w:b/>
      <w:bCs/>
      <w:sz w:val="28"/>
      <w:szCs w:val="28"/>
    </w:rPr>
  </w:style>
  <w:style w:type="paragraph" w:styleId="Ttulo5">
    <w:name w:val="Heading 5"/>
    <w:basedOn w:val="Normal"/>
    <w:next w:val="Normal"/>
    <w:qFormat/>
    <w:pPr>
      <w:keepNext w:val="true"/>
      <w:numPr>
        <w:ilvl w:val="0"/>
        <w:numId w:val="0"/>
      </w:num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center"/>
      <w:outlineLvl w:val="4"/>
    </w:pPr>
    <w:rPr>
      <w:rFonts w:ascii="Arial" w:hAnsi="Arial" w:cs="Arial"/>
      <w:b/>
      <w:bCs/>
      <w:sz w:val="22"/>
    </w:rPr>
  </w:style>
  <w:style w:type="paragraph" w:styleId="Ttulo6">
    <w:name w:val="Heading 6"/>
    <w:basedOn w:val="Encabezado"/>
    <w:next w:val="Cuerpodetexto"/>
    <w:qFormat/>
    <w:pPr>
      <w:numPr>
        <w:ilvl w:val="0"/>
        <w:numId w:val="0"/>
      </w:numPr>
      <w:spacing w:before="60" w:after="60"/>
      <w:outlineLvl w:val="5"/>
    </w:pPr>
    <w:rPr>
      <w:b/>
      <w:bCs/>
      <w:i/>
      <w:iCs/>
      <w:sz w:val="24"/>
      <w:szCs w:val="24"/>
    </w:rPr>
  </w:style>
  <w:style w:type="paragraph" w:styleId="Ttulo7">
    <w:name w:val="Heading 7"/>
    <w:basedOn w:val="Encabezado"/>
    <w:next w:val="Cuerpodetexto"/>
    <w:qFormat/>
    <w:pPr>
      <w:numPr>
        <w:ilvl w:val="0"/>
        <w:numId w:val="0"/>
      </w:numPr>
      <w:spacing w:before="60" w:after="60"/>
      <w:outlineLvl w:val="6"/>
    </w:pPr>
    <w:rPr>
      <w:b/>
      <w:bCs/>
      <w:sz w:val="22"/>
      <w:szCs w:val="22"/>
    </w:rPr>
  </w:style>
  <w:style w:type="paragraph" w:styleId="Ttulo8">
    <w:name w:val="Heading 8"/>
    <w:basedOn w:val="Encabezado"/>
    <w:next w:val="Cuerpodetexto"/>
    <w:qFormat/>
    <w:pPr>
      <w:numPr>
        <w:ilvl w:val="0"/>
        <w:numId w:val="0"/>
      </w:numPr>
      <w:spacing w:before="60" w:after="60"/>
      <w:outlineLvl w:val="7"/>
    </w:pPr>
    <w:rPr>
      <w:b/>
      <w:bCs/>
      <w:i/>
      <w:iCs/>
      <w:sz w:val="22"/>
      <w:szCs w:val="22"/>
    </w:rPr>
  </w:style>
  <w:style w:type="paragraph" w:styleId="Ttulo9">
    <w:name w:val="Heading 9"/>
    <w:basedOn w:val="Encabezado"/>
    <w:next w:val="Cuerpodetexto"/>
    <w:qFormat/>
    <w:pPr>
      <w:numPr>
        <w:ilvl w:val="0"/>
        <w:numId w:val="0"/>
      </w:numPr>
      <w:spacing w:before="60" w:after="60"/>
      <w:outlineLvl w:val="8"/>
    </w:pPr>
    <w:rPr>
      <w:b/>
      <w:bCs/>
      <w:sz w:val="21"/>
      <w:szCs w:val="21"/>
    </w:rPr>
  </w:style>
  <w:style w:type="character" w:styleId="A2">
    <w:name w:val="A2"/>
    <w:qFormat/>
    <w:rPr>
      <w:color w:val="000000"/>
      <w:sz w:val="16"/>
      <w:szCs w:val="16"/>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character" w:styleId="WW8Num9z1">
    <w:name w:val="WW8Num9z1"/>
    <w:qFormat/>
    <w:rPr/>
  </w:style>
  <w:style w:type="character" w:styleId="WW8Num9z0">
    <w:name w:val="WW8Num9z0"/>
    <w:qFormat/>
    <w:rPr>
      <w:rFonts w:ascii="Symbol" w:hAnsi="Symbol" w:cs="Times New Roman"/>
      <w:b w:val="false"/>
      <w:i w:val="false"/>
      <w:strike w:val="false"/>
      <w:dstrike w:val="false"/>
      <w:color w:val="FE0101"/>
      <w:sz w:val="24"/>
      <w:szCs w:val="24"/>
      <w:u w:val="none"/>
    </w:rPr>
  </w:style>
  <w:style w:type="character" w:styleId="WW8Num8z0">
    <w:name w:val="WW8Num8z0"/>
    <w:qFormat/>
    <w:rPr>
      <w:rFonts w:ascii="Times New Roman" w:hAnsi="Times New Roman" w:cs="Times New Roman"/>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rFonts w:ascii="Times New Roman" w:hAnsi="Times New Roman" w:cs="Times New Roman"/>
      <w:color w:val="000000"/>
      <w:sz w:val="20"/>
      <w:szCs w:val="20"/>
    </w:rPr>
  </w:style>
  <w:style w:type="character" w:styleId="WW8Num7z0">
    <w:name w:val="WW8Num7z0"/>
    <w:qFormat/>
    <w:rPr>
      <w:rFonts w:ascii="Times New Roman" w:hAnsi="Times New Roman" w:cs="Times New Roman"/>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rFonts w:ascii="Times New Roman" w:hAnsi="Times New Roman" w:cs="Times New Roman"/>
      <w:color w:val="000000"/>
      <w:sz w:val="20"/>
      <w:szCs w:val="20"/>
    </w:rPr>
  </w:style>
  <w:style w:type="character" w:styleId="WW8Num6z0">
    <w:name w:val="WW8Num6z0"/>
    <w:qFormat/>
    <w:rPr>
      <w:sz w:val="20"/>
      <w:szCs w:val="20"/>
    </w:rPr>
  </w:style>
  <w:style w:type="character" w:styleId="WW8Num5z0">
    <w:name w:val="WW8Num5z0"/>
    <w:qFormat/>
    <w:rPr>
      <w:rFonts w:ascii="Arial" w:hAnsi="Arial" w:cs="Arial"/>
      <w:b w:val="false"/>
      <w:i w:val="false"/>
      <w:strike w:val="false"/>
      <w:dstrike w:val="false"/>
      <w:color w:val="FE0101"/>
      <w:sz w:val="24"/>
      <w:szCs w:val="24"/>
      <w:u w:val="none"/>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rFonts w:ascii="Arial" w:hAnsi="Arial" w:cs="Arial"/>
      <w:b w:val="false"/>
      <w:i w:val="false"/>
      <w:strike w:val="false"/>
      <w:dstrike w:val="false"/>
      <w:color w:val="FE0101"/>
      <w:sz w:val="24"/>
      <w:szCs w:val="24"/>
      <w:u w:val="none"/>
    </w:rPr>
  </w:style>
  <w:style w:type="character" w:styleId="WW8Num3z0">
    <w:name w:val="WW8Num3z0"/>
    <w:qFormat/>
    <w:rPr>
      <w:rFonts w:ascii="Symbol" w:hAnsi="Symbol" w:cs="Symbol"/>
      <w:sz w:val="20"/>
      <w:szCs w:val="20"/>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Default">
    <w:name w:val="Default"/>
    <w:qFormat/>
    <w:pPr>
      <w:widowControl/>
      <w:kinsoku w:val="true"/>
      <w:overflowPunct w:val="true"/>
      <w:autoSpaceDE w:val="true"/>
      <w:bidi w:val="0"/>
      <w:jc w:val="left"/>
    </w:pPr>
    <w:rPr>
      <w:rFonts w:ascii="Liberation Sans" w:hAnsi="Liberation Sans" w:eastAsia="NSimSun" w:cs="Mangal"/>
      <w:color w:val="000000"/>
      <w:kern w:val="2"/>
      <w:sz w:val="24"/>
      <w:szCs w:val="24"/>
      <w:lang w:val="es-ES" w:eastAsia="zh-CN" w:bidi="hi-IN"/>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Encabezado10">
    <w:name w:val="Encabezado 10"/>
    <w:basedOn w:val="Encabezado"/>
    <w:next w:val="Cuerpodetexto"/>
    <w:qFormat/>
    <w:pPr>
      <w:numPr>
        <w:ilvl w:val="0"/>
        <w:numId w:val="2"/>
      </w:numPr>
      <w:spacing w:before="60" w:after="60"/>
    </w:pPr>
    <w:rPr>
      <w:b/>
      <w:bCs/>
      <w:sz w:val="21"/>
      <w:szCs w:val="21"/>
    </w:rPr>
  </w:style>
  <w:style w:type="paragraph" w:styleId="Foralfparrafo3lineast5c">
    <w:name w:val="foral-f-parrafo-3lineas-t5-c"/>
    <w:basedOn w:val="Normal"/>
    <w:qFormat/>
    <w:pPr>
      <w:spacing w:before="0" w:after="240"/>
    </w:pPr>
    <w:rPr>
      <w:rFonts w:ascii="Arial Unicode MS" w:hAnsi="Arial Unicode MS" w:eastAsia="Arial Unicode MS" w:cs="Arial Unicode MS"/>
    </w:rPr>
  </w:style>
  <w:style w:type="paragraph" w:styleId="Foralfparrafoc">
    <w:name w:val="foral-f-parrafo-c"/>
    <w:basedOn w:val="Normal"/>
    <w:qFormat/>
    <w:pPr>
      <w:spacing w:before="0" w:after="240"/>
    </w:pPr>
    <w:rPr>
      <w:rFonts w:ascii="Arial Unicode MS" w:hAnsi="Arial Unicode MS" w:eastAsia="Arial Unicode MS" w:cs="Arial Unicode MS"/>
    </w:rPr>
  </w:style>
  <w:style w:type="paragraph" w:styleId="Encabezadodelatabla">
    <w:name w:val="Encabezado de la tabla"/>
    <w:basedOn w:val="Contenidodelatabla"/>
    <w:qFormat/>
    <w:pPr>
      <w:suppressLineNumbers/>
      <w:jc w:val="center"/>
    </w:pPr>
    <w:rPr>
      <w:b/>
      <w:bCs/>
    </w:rPr>
  </w:style>
  <w:style w:type="paragraph" w:styleId="NormalWeb">
    <w:name w:val="Normal (Web)"/>
    <w:basedOn w:val="Normal"/>
    <w:qFormat/>
    <w:pPr>
      <w:spacing w:before="0" w:after="240"/>
    </w:pPr>
    <w:rPr>
      <w:rFonts w:ascii="Arial Unicode MS" w:hAnsi="Arial Unicode MS" w:eastAsia="Arial Unicode MS" w:cs="Arial Unicode MS"/>
    </w:rPr>
  </w:style>
  <w:style w:type="paragraph" w:styleId="Textoindependiente3">
    <w:name w:val="Texto independiente 3"/>
    <w:basedOn w:val="Normal"/>
    <w:qFormat/>
    <w:pPr>
      <w:autoSpaceDE w:val="false"/>
      <w:jc w:val="both"/>
    </w:pPr>
    <w:rPr>
      <w:rFonts w:ascii="Comic Sans MS" w:hAnsi="Comic Sans MS" w:cs="Comic Sans MS"/>
    </w:rPr>
  </w:style>
  <w:style w:type="paragraph" w:styleId="Textoindependiente2">
    <w:name w:val="Texto independiente 2"/>
    <w:basedOn w:val="Normal"/>
    <w:qFormat/>
    <w:p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pPr>
    <w:rPr>
      <w:rFonts w:ascii="Arial" w:hAnsi="Arial" w:cs="Arial"/>
      <w:sz w:val="22"/>
    </w:rPr>
  </w:style>
  <w:style w:type="paragraph" w:styleId="Cuerpodetextoconsangra">
    <w:name w:val="Body Text Indent"/>
    <w:basedOn w:val="Normal"/>
    <w:pPr>
      <w:overflowPunct w:val="false"/>
      <w:autoSpaceDE w:val="false"/>
      <w:spacing w:before="0" w:after="0"/>
      <w:ind w:left="-75" w:right="0" w:hanging="0"/>
      <w:jc w:val="both"/>
      <w:textAlignment w:val="baseline"/>
    </w:pPr>
    <w:rPr>
      <w:rFonts w:ascii="Arial" w:hAnsi="Arial" w:cs="Arial"/>
      <w:color w:val="000000"/>
      <w:szCs w:val="20"/>
    </w:rPr>
  </w:style>
  <w:style w:type="paragraph" w:styleId="Sangra3detindependiente">
    <w:name w:val="Sangría 3 de t. independiente"/>
    <w:basedOn w:val="Normal"/>
    <w:qFormat/>
    <w:pPr>
      <w:autoSpaceDE w:val="false"/>
      <w:spacing w:before="0" w:after="0"/>
      <w:ind w:left="1080" w:right="0" w:hanging="360"/>
      <w:jc w:val="both"/>
    </w:pPr>
    <w:rPr>
      <w:rFonts w:ascii="Comic Sans MS" w:hAnsi="Comic Sans MS" w:cs="Comic Sans MS"/>
    </w:rPr>
  </w:style>
  <w:style w:type="paragraph" w:styleId="Subttulo">
    <w:name w:val="Subtitle"/>
    <w:basedOn w:val="Encabezado"/>
    <w:next w:val="Cuerpodetexto"/>
    <w:qFormat/>
    <w:pPr>
      <w:spacing w:before="60" w:after="120"/>
      <w:jc w:val="center"/>
    </w:pPr>
    <w:rPr>
      <w:sz w:val="36"/>
      <w:szCs w:val="36"/>
    </w:rPr>
  </w:style>
  <w:style w:type="paragraph" w:styleId="Cita">
    <w:name w:val="Cita"/>
    <w:basedOn w:val="Normal"/>
    <w:qFormat/>
    <w:pPr>
      <w:spacing w:before="0" w:after="283"/>
      <w:ind w:left="567" w:right="567" w:hanging="0"/>
    </w:pPr>
    <w:rPr/>
  </w:style>
  <w:style w:type="paragraph" w:styleId="Piedepgina">
    <w:name w:val="Footer"/>
    <w:basedOn w:val="Normal"/>
    <w:pPr>
      <w:suppressLineNumbers/>
      <w:tabs>
        <w:tab w:val="clear" w:pos="709"/>
        <w:tab w:val="center" w:pos="5386" w:leader="none"/>
        <w:tab w:val="right" w:pos="10772"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TableHeading">
    <w:name w:val="Table Heading"/>
    <w:basedOn w:val="TableContents"/>
    <w:qFormat/>
    <w:pPr>
      <w:suppressLineNumbers/>
      <w:jc w:val="center"/>
    </w:pPr>
    <w:rPr>
      <w:b/>
      <w:bCs/>
    </w:rPr>
  </w:style>
  <w:style w:type="paragraph" w:styleId="TableContents">
    <w:name w:val="Table Contents"/>
    <w:basedOn w:val="Normal"/>
    <w:qFormat/>
    <w:pPr>
      <w:suppressLineNumbers/>
    </w:pPr>
    <w:rPr/>
  </w:style>
  <w:style w:type="paragraph" w:styleId="Footer3">
    <w:name w:val="Footer3"/>
    <w:basedOn w:val="Normal"/>
    <w:qFormat/>
    <w:pPr>
      <w:suppressLineNumbers/>
      <w:shd w:fill="FFFFFF" w:val="clear"/>
      <w:tabs>
        <w:tab w:val="clear" w:pos="709"/>
        <w:tab w:val="center" w:pos="4818" w:leader="none"/>
        <w:tab w:val="right" w:pos="9637" w:leader="none"/>
      </w:tabs>
      <w:textAlignment w:val="auto"/>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Footer2">
    <w:name w:val="Footer2"/>
    <w:basedOn w:val="Normal"/>
    <w:qFormat/>
    <w:pPr>
      <w:suppressLineNumbers/>
      <w:shd w:fill="FFFFFF" w:val="clear"/>
      <w:tabs>
        <w:tab w:val="clear" w:pos="709"/>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1">
    <w:name w:val="Footer1"/>
    <w:basedOn w:val="Normal"/>
    <w:qFormat/>
    <w:pPr>
      <w:suppressLineNumbers/>
      <w:shd w:fill="FFFFFF" w:val="clear"/>
      <w:tabs>
        <w:tab w:val="clear" w:pos="709"/>
        <w:tab w:val="center" w:pos="4818" w:leader="none"/>
        <w:tab w:val="right" w:pos="9637" w:leader="none"/>
      </w:tabs>
      <w:textAlignment w:val="auto"/>
    </w:pPr>
    <w:rPr/>
  </w:style>
  <w:style w:type="paragraph" w:styleId="Header1">
    <w:name w:val="Header1"/>
    <w:basedOn w:val="Normal"/>
    <w:qFormat/>
    <w:pPr>
      <w:suppressLineNumbers/>
      <w:tabs>
        <w:tab w:val="clear" w:pos="709"/>
        <w:tab w:val="center" w:pos="4818" w:leader="none"/>
        <w:tab w:val="right" w:pos="9637" w:leader="none"/>
      </w:tabs>
    </w:pPr>
    <w:rPr/>
  </w:style>
  <w:style w:type="paragraph" w:styleId="Index">
    <w:name w:val="Index"/>
    <w:basedOn w:val="Normal"/>
    <w:qFormat/>
    <w:pPr>
      <w:suppressLineNumbers/>
    </w:pPr>
    <w:rPr>
      <w:rFonts w:cs="Tahoma"/>
      <w:sz w:val="22"/>
    </w:rPr>
  </w:style>
  <w:style w:type="paragraph" w:styleId="Caption">
    <w:name w:val="Caption"/>
    <w:basedOn w:val="Normal"/>
    <w:qFormat/>
    <w:pPr>
      <w:suppressLineNumbers/>
      <w:spacing w:before="120" w:after="120"/>
    </w:pPr>
    <w:rPr>
      <w:rFonts w:cs="Tahoma"/>
      <w:i/>
      <w:iCs/>
      <w:sz w:val="22"/>
      <w:szCs w:val="24"/>
    </w:rPr>
  </w:style>
  <w:style w:type="paragraph" w:styleId="Heading">
    <w:name w:val="Heading"/>
    <w:basedOn w:val="Normal"/>
    <w:next w:val="Cuerpodetexto"/>
    <w:qFormat/>
    <w:pPr>
      <w:keepNext w:val="true"/>
      <w:spacing w:before="240" w:after="120"/>
    </w:pPr>
    <w:rPr>
      <w:rFonts w:ascii="Arial" w:hAnsi="Arial" w:eastAsia="MS Mincho" w:cs="Tahoma"/>
      <w:sz w:val="20"/>
      <w:szCs w:val="28"/>
    </w:rPr>
  </w:style>
  <w:style w:type="paragraph" w:styleId="Encabezado">
    <w:name w:val="Encabezado"/>
    <w:basedOn w:val="Normal"/>
    <w:next w:val="Cuerpodetexto"/>
    <w:qFormat/>
    <w:pPr>
      <w:keepNext w:val="true"/>
      <w:spacing w:before="240" w:after="120"/>
    </w:pPr>
    <w:rPr>
      <w:rFonts w:ascii="Liberation Sans;Arial" w:hAnsi="Liberation Sans;Arial" w:eastAsia="Microsoft YaHei" w:cs="Mangal"/>
      <w:sz w:val="28"/>
      <w:szCs w:val="28"/>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LibreOffice/6.1.5.2$Windows_X86_64 LibreOffice_project/90f8dcf33c87b3705e78202e3df5142b201bd805</Application>
  <Pages>1</Pages>
  <Words>416</Words>
  <CharactersWithSpaces>2685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es-ES</dc:language>
  <cp:lastModifiedBy/>
  <dcterms:modified xsi:type="dcterms:W3CDTF">2023-09-12T13:48:27Z</dcterms:modified>
  <cp:revision>1</cp:revision>
  <dc:subject/>
  <dc:title/>
</cp:coreProperties>
</file>