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tulo1"/>
        <w:ind w:left="0" w:hanging="0"/>
        <w:rPr>
          <w:rFonts w:ascii="Times New Roman" w:hAnsi="Times New Roman" w:cs="Times New Roman"/>
          <w:sz w:val="24"/>
          <w:szCs w:val="24"/>
        </w:rPr>
      </w:pPr>
      <w:r>
        <w:rPr>
          <w:rFonts w:cs="Times New Roman" w:ascii="Times New Roman" w:hAnsi="Times New Roman"/>
          <w:sz w:val="24"/>
          <w:szCs w:val="24"/>
        </w:rPr>
        <w:t>Asunto: Ayudas para sufragar gastos de personas celiacas, año 2023.</w:t>
      </w:r>
    </w:p>
    <w:p>
      <w:pPr>
        <w:pStyle w:val="Ttulo1"/>
        <w:ind w:left="0" w:hanging="0"/>
        <w:rPr>
          <w:rFonts w:ascii="Times New Roman" w:hAnsi="Times New Roman" w:cs="Times New Roman"/>
          <w:sz w:val="24"/>
          <w:szCs w:val="24"/>
        </w:rPr>
      </w:pPr>
      <w:r>
        <w:rPr>
          <w:rFonts w:cs="Times New Roman" w:ascii="Times New Roman" w:hAnsi="Times New Roman"/>
          <w:sz w:val="24"/>
          <w:szCs w:val="24"/>
        </w:rPr>
        <w:t>Expediente: 249/2023</w:t>
      </w:r>
    </w:p>
    <w:p>
      <w:pPr>
        <w:pStyle w:val="Cuerpodetexto"/>
        <w:rPr>
          <w:b/>
          <w:b/>
        </w:rPr>
      </w:pPr>
      <w:r>
        <w:rPr>
          <w:b/>
        </w:rPr>
      </w:r>
      <w:r>
        <mc:AlternateContent>
          <mc:Choice Requires="wps">
            <w:drawing>
              <wp:anchor behindDoc="1" distT="0" distB="0" distL="0" distR="0" simplePos="0" locked="0" layoutInCell="0" allowOverlap="1" relativeHeight="2">
                <wp:simplePos x="0" y="0"/>
                <wp:positionH relativeFrom="page">
                  <wp:posOffset>1308735</wp:posOffset>
                </wp:positionH>
                <wp:positionV relativeFrom="paragraph">
                  <wp:posOffset>408305</wp:posOffset>
                </wp:positionV>
                <wp:extent cx="5285740" cy="335280"/>
                <wp:effectExtent l="0" t="0" r="0" b="0"/>
                <wp:wrapTopAndBottom/>
                <wp:docPr id="1" name=""/>
                <a:graphic xmlns:a="http://schemas.openxmlformats.org/drawingml/2006/main">
                  <a:graphicData uri="http://schemas.microsoft.com/office/word/2010/wordprocessingShape">
                    <wps:wsp>
                      <wps:cNvSpPr txBox="1"/>
                      <wps:spPr>
                        <a:xfrm>
                          <a:off x="0" y="0"/>
                          <a:ext cx="5285740" cy="335280"/>
                        </a:xfrm>
                        <a:prstGeom prst="rect"/>
                        <a:solidFill>
                          <a:srgbClr val="D9D9D9"/>
                        </a:solidFill>
                        <a:ln w="6350">
                          <a:solidFill>
                            <a:srgbClr val="000000"/>
                          </a:solidFill>
                        </a:ln>
                      </wps:spPr>
                      <wps:txbx>
                        <w:txbxContent>
                          <w:p>
                            <w:pPr>
                              <w:pStyle w:val="Contenidodelmarco"/>
                              <w:spacing w:before="18" w:after="0"/>
                              <w:jc w:val="center"/>
                              <w:rPr/>
                            </w:pPr>
                            <w:r>
                              <w:rPr>
                                <w:b/>
                                <w:sz w:val="20"/>
                              </w:rPr>
                              <w:t>BASES ESPECÍFICAS DE LA CONVOCATORIA DE AYUDAS PARA SUFRAGARC GASTOS DE ALIMENTACIÓN DE PERSONAS CELIACAS, AÑO 2023</w:t>
                            </w:r>
                          </w:p>
                        </w:txbxContent>
                      </wps:txbx>
                      <wps:bodyPr anchor="t" lIns="0" tIns="0" rIns="0" bIns="0">
                        <a:noAutofit/>
                      </wps:bodyPr>
                    </wps:wsp>
                  </a:graphicData>
                </a:graphic>
              </wp:anchor>
            </w:drawing>
          </mc:Choice>
          <mc:Fallback>
            <w:pict>
              <v:rect fillcolor="#D9D9D9" strokecolor="#000000" strokeweight="0pt" style="position:absolute;rotation:0;width:416.2pt;height:26.4pt;mso-wrap-distance-left:0pt;mso-wrap-distance-right:0pt;mso-wrap-distance-top:0pt;mso-wrap-distance-bottom:0pt;margin-top:32.15pt;mso-position-vertical-relative:text;margin-left:103.05pt;mso-position-horizontal-relative:page">
                <v:textbox inset="0in,0in,0in,0in">
                  <w:txbxContent>
                    <w:p>
                      <w:pPr>
                        <w:pStyle w:val="Contenidodelmarco"/>
                        <w:spacing w:before="18" w:after="0"/>
                        <w:jc w:val="center"/>
                        <w:rPr/>
                      </w:pPr>
                      <w:r>
                        <w:rPr>
                          <w:b/>
                          <w:sz w:val="20"/>
                        </w:rPr>
                        <w:t>BASES ESPECÍFICAS DE LA CONVOCATORIA DE AYUDAS PARA SUFRAGARC GASTOS DE ALIMENTACIÓN DE PERSONAS CELIACAS, AÑO 2023</w:t>
                      </w:r>
                    </w:p>
                  </w:txbxContent>
                </v:textbox>
                <w10:wrap type="topAndBottom"/>
              </v:rect>
            </w:pict>
          </mc:Fallback>
        </mc:AlternateContent>
      </w:r>
    </w:p>
    <w:p>
      <w:pPr>
        <w:pStyle w:val="Cuerpodetexto"/>
        <w:spacing w:before="9" w:after="120"/>
        <w:rPr>
          <w:b/>
          <w:b/>
        </w:rPr>
      </w:pPr>
      <w:r>
        <w:rPr>
          <w:b/>
        </w:rPr>
      </w:r>
    </w:p>
    <w:p>
      <w:pPr>
        <w:pStyle w:val="Normal"/>
        <w:spacing w:before="1" w:after="0"/>
        <w:rPr>
          <w:b/>
          <w:b/>
        </w:rPr>
      </w:pPr>
      <w:r>
        <w:rPr>
          <w:b/>
        </w:rPr>
        <w:t xml:space="preserve">1.- </w:t>
      </w:r>
      <w:r>
        <w:rPr>
          <w:b/>
          <w:u w:val="single"/>
        </w:rPr>
        <w:t>Objeto y finalidad.</w:t>
      </w:r>
    </w:p>
    <w:p>
      <w:pPr>
        <w:pStyle w:val="Cuerpodetexto"/>
        <w:spacing w:before="100" w:after="120"/>
        <w:jc w:val="both"/>
        <w:rPr/>
      </w:pPr>
      <w:r>
        <w:rPr/>
        <w:t>La</w:t>
      </w:r>
      <w:r>
        <w:rPr>
          <w:spacing w:val="-5"/>
        </w:rPr>
        <w:t xml:space="preserve"> </w:t>
      </w:r>
      <w:r>
        <w:rPr/>
        <w:t>presente</w:t>
      </w:r>
      <w:r>
        <w:rPr>
          <w:spacing w:val="-3"/>
        </w:rPr>
        <w:t xml:space="preserve"> </w:t>
      </w:r>
      <w:r>
        <w:rPr/>
        <w:t>convocatoria</w:t>
      </w:r>
      <w:r>
        <w:rPr>
          <w:spacing w:val="-5"/>
        </w:rPr>
        <w:t xml:space="preserve"> </w:t>
      </w:r>
      <w:r>
        <w:rPr/>
        <w:t>tiene</w:t>
      </w:r>
      <w:r>
        <w:rPr>
          <w:spacing w:val="-5"/>
        </w:rPr>
        <w:t xml:space="preserve"> </w:t>
      </w:r>
      <w:r>
        <w:rPr/>
        <w:t>por</w:t>
      </w:r>
      <w:r>
        <w:rPr>
          <w:spacing w:val="-4"/>
        </w:rPr>
        <w:t xml:space="preserve"> </w:t>
      </w:r>
      <w:r>
        <w:rPr/>
        <w:t>objeto</w:t>
      </w:r>
      <w:r>
        <w:rPr>
          <w:spacing w:val="-4"/>
        </w:rPr>
        <w:t xml:space="preserve"> </w:t>
      </w:r>
      <w:r>
        <w:rPr/>
        <w:t>regular</w:t>
      </w:r>
      <w:r>
        <w:rPr>
          <w:spacing w:val="-5"/>
        </w:rPr>
        <w:t xml:space="preserve"> </w:t>
      </w:r>
      <w:r>
        <w:rPr/>
        <w:t>el</w:t>
      </w:r>
      <w:r>
        <w:rPr>
          <w:spacing w:val="-3"/>
        </w:rPr>
        <w:t xml:space="preserve"> </w:t>
      </w:r>
      <w:r>
        <w:rPr/>
        <w:t>procedimiento</w:t>
      </w:r>
      <w:r>
        <w:rPr>
          <w:spacing w:val="-4"/>
        </w:rPr>
        <w:t xml:space="preserve"> </w:t>
      </w:r>
      <w:r>
        <w:rPr/>
        <w:t>de</w:t>
      </w:r>
      <w:r>
        <w:rPr>
          <w:spacing w:val="-5"/>
        </w:rPr>
        <w:t xml:space="preserve"> </w:t>
      </w:r>
      <w:r>
        <w:rPr/>
        <w:t>solicitud,</w:t>
      </w:r>
      <w:r>
        <w:rPr>
          <w:spacing w:val="-5"/>
        </w:rPr>
        <w:t xml:space="preserve"> </w:t>
      </w:r>
      <w:r>
        <w:rPr/>
        <w:t>tramitación</w:t>
      </w:r>
      <w:r>
        <w:rPr>
          <w:spacing w:val="-5"/>
        </w:rPr>
        <w:t xml:space="preserve"> </w:t>
      </w:r>
      <w:r>
        <w:rPr/>
        <w:t>y</w:t>
      </w:r>
      <w:r>
        <w:rPr>
          <w:spacing w:val="-7"/>
        </w:rPr>
        <w:t xml:space="preserve"> </w:t>
      </w:r>
      <w:r>
        <w:rPr/>
        <w:t>concesión</w:t>
      </w:r>
      <w:r>
        <w:rPr>
          <w:spacing w:val="-4"/>
        </w:rPr>
        <w:t xml:space="preserve"> </w:t>
      </w:r>
      <w:r>
        <w:rPr/>
        <w:t>de las ayudas que el Ayuntamiento de Tales otorga a unidades familiares en cuyo ámbito existan uno o más enfermos/as celíacos/as o con intolerancia al gluten.</w:t>
      </w:r>
    </w:p>
    <w:p>
      <w:pPr>
        <w:pStyle w:val="Default"/>
        <w:spacing w:before="206" w:after="0"/>
        <w:jc w:val="both"/>
        <w:rPr/>
      </w:pPr>
      <w:r>
        <w:rPr>
          <w:rFonts w:cs="Times New Roman" w:ascii="Times New Roman" w:hAnsi="Times New Roman"/>
        </w:rPr>
        <w:t>La enfermedad celiaca es una intolerancia permanente al gluten del trigo, cebada y centeno en individuos predispuestos genéticamente, caracterizada por una reacción inflamatoria, de base inmune, que puede dar lugar a múltiples alteraciones del organismo y que puede aparecer no sólo en niños, sino en cualquier momento de la vida. El único tratamiento eficaz es una dieta exenta de gluten ya que cualquier alteración en ésta provoca la aparición de otras enfermedades. El coste económico de la alimentación de las personas afectadas por estas enfermedades es mucho mayor que el resto de personas, por lo que se aprueban las presentes Bases Reguladoras específicas para aprobar las bases que regirán la convocatoria de subvención destinada a ayudar a dichas personas a sufragar dichos gastos.</w:t>
      </w:r>
    </w:p>
    <w:p>
      <w:pPr>
        <w:pStyle w:val="Ttulo1"/>
        <w:ind w:left="0" w:hanging="0"/>
        <w:jc w:val="both"/>
        <w:rPr>
          <w:rFonts w:ascii="Times New Roman" w:hAnsi="Times New Roman" w:cs="Times New Roman"/>
          <w:sz w:val="24"/>
          <w:szCs w:val="24"/>
          <w:u w:val="none"/>
        </w:rPr>
      </w:pPr>
      <w:r>
        <w:rPr>
          <w:rFonts w:cs="Times New Roman" w:ascii="Times New Roman" w:hAnsi="Times New Roman"/>
          <w:sz w:val="24"/>
          <w:szCs w:val="24"/>
          <w:u w:val="none" w:color="000000"/>
        </w:rPr>
      </w:r>
    </w:p>
    <w:p>
      <w:pPr>
        <w:pStyle w:val="Ttulo1"/>
        <w:ind w:left="0" w:hanging="0"/>
        <w:jc w:val="both"/>
        <w:rPr>
          <w:rFonts w:ascii="Times New Roman" w:hAnsi="Times New Roman" w:cs="Times New Roman"/>
          <w:sz w:val="24"/>
          <w:szCs w:val="24"/>
          <w:u w:val="none"/>
        </w:rPr>
      </w:pPr>
      <w:r>
        <w:rPr>
          <w:rFonts w:cs="Times New Roman" w:ascii="Times New Roman" w:hAnsi="Times New Roman"/>
          <w:sz w:val="24"/>
          <w:szCs w:val="24"/>
          <w:u w:val="none"/>
        </w:rPr>
        <w:t xml:space="preserve">2.- </w:t>
      </w:r>
      <w:r>
        <w:rPr>
          <w:rFonts w:cs="Times New Roman" w:ascii="Times New Roman" w:hAnsi="Times New Roman"/>
          <w:sz w:val="24"/>
          <w:szCs w:val="24"/>
        </w:rPr>
        <w:t>Bases reguladoras y régimen jurídico.</w:t>
      </w:r>
    </w:p>
    <w:p>
      <w:pPr>
        <w:pStyle w:val="Cuerpodetexto"/>
        <w:spacing w:before="99" w:after="120"/>
        <w:jc w:val="both"/>
        <w:rPr/>
      </w:pPr>
      <w:r>
        <w:rPr/>
        <w:t>Las ayudas objeto de la presente convocatoria se regirán, además de lo dispuesto en estas Bases, por las bases</w:t>
      </w:r>
      <w:r>
        <w:rPr>
          <w:spacing w:val="-10"/>
        </w:rPr>
        <w:t xml:space="preserve"> </w:t>
      </w:r>
      <w:r>
        <w:rPr/>
        <w:t>reguladoras</w:t>
      </w:r>
      <w:r>
        <w:rPr>
          <w:spacing w:val="-9"/>
        </w:rPr>
        <w:t xml:space="preserve"> </w:t>
      </w:r>
      <w:r>
        <w:rPr/>
        <w:t>contenidas</w:t>
      </w:r>
      <w:r>
        <w:rPr>
          <w:spacing w:val="-9"/>
        </w:rPr>
        <w:t xml:space="preserve"> </w:t>
      </w:r>
      <w:r>
        <w:rPr/>
        <w:t>en</w:t>
      </w:r>
      <w:r>
        <w:rPr>
          <w:spacing w:val="-9"/>
        </w:rPr>
        <w:t xml:space="preserve"> </w:t>
      </w:r>
      <w:r>
        <w:rPr/>
        <w:t>la</w:t>
      </w:r>
      <w:r>
        <w:rPr>
          <w:spacing w:val="-8"/>
        </w:rPr>
        <w:t xml:space="preserve"> </w:t>
      </w:r>
      <w:r>
        <w:rPr/>
        <w:t>Ordenanza</w:t>
      </w:r>
      <w:r>
        <w:rPr>
          <w:spacing w:val="-8"/>
        </w:rPr>
        <w:t xml:space="preserve"> </w:t>
      </w:r>
      <w:r>
        <w:rPr/>
        <w:t>General</w:t>
      </w:r>
      <w:r>
        <w:rPr>
          <w:spacing w:val="-8"/>
        </w:rPr>
        <w:t xml:space="preserve"> </w:t>
      </w:r>
      <w:r>
        <w:rPr/>
        <w:t>de</w:t>
      </w:r>
      <w:r>
        <w:rPr>
          <w:spacing w:val="-8"/>
        </w:rPr>
        <w:t xml:space="preserve"> </w:t>
      </w:r>
      <w:r>
        <w:rPr/>
        <w:t>Subvenciones</w:t>
      </w:r>
      <w:r>
        <w:rPr>
          <w:spacing w:val="-9"/>
        </w:rPr>
        <w:t xml:space="preserve"> </w:t>
      </w:r>
      <w:r>
        <w:rPr/>
        <w:t>de</w:t>
      </w:r>
      <w:r>
        <w:rPr>
          <w:spacing w:val="-9"/>
        </w:rPr>
        <w:t xml:space="preserve"> Tales.</w:t>
      </w:r>
    </w:p>
    <w:p>
      <w:pPr>
        <w:pStyle w:val="Cuerpodetexto"/>
        <w:jc w:val="both"/>
        <w:rPr/>
      </w:pPr>
      <w:r>
        <w:rPr/>
        <w:t>Asimismo, se estará a lo dispuesto en la Ley 38/2003, de 17 de noviembre, General de Subvenciones; en el Real Decreto 887/2006, de 21 de julio, por el que se aprueba el Reglamento de la Ley 38/2003 General de Subvenciones; en la Ley 8/2010, de 23 de junio, de régimen Local de la Comunidad Valenciana; en las Bases de Ejecución del Presupuesto de Tales, y en el resto de normas y disposiciones que resulten de aplicación.</w:t>
      </w:r>
    </w:p>
    <w:p>
      <w:pPr>
        <w:pStyle w:val="Cuerpodetexto"/>
        <w:jc w:val="both"/>
        <w:rPr>
          <w:rFonts w:eastAsia="Arial"/>
          <w:lang w:eastAsia="en-US" w:bidi="en-US"/>
        </w:rPr>
      </w:pPr>
      <w:r>
        <w:rPr>
          <w:rFonts w:eastAsia="Arial"/>
          <w:lang w:eastAsia="en-US" w:bidi="en-US"/>
        </w:rPr>
        <w:t>La previsión normativa incluida en el artículo 2 de la Ley 7/1985, de 2 de abril Reguladora de las Bases de Régimen Local, habilita a los municipios para intervenir en cuantos asuntos afecten directamente al círculo de sus intereses, atribuyéndoles competencias suficientes para poder establecer y regular estas actividades, de conformidad con los principios de descentralización y de máxima proximidad a los ciudadanos.</w:t>
      </w:r>
    </w:p>
    <w:p>
      <w:pPr>
        <w:pStyle w:val="Cuerpodetexto"/>
        <w:jc w:val="both"/>
        <w:rPr>
          <w:rFonts w:eastAsia="Arial"/>
          <w:lang w:eastAsia="en-US" w:bidi="en-US"/>
        </w:rPr>
      </w:pPr>
      <w:r>
        <w:rPr>
          <w:rFonts w:eastAsia="Arial"/>
          <w:lang w:eastAsia="en-US" w:bidi="en-US"/>
        </w:rPr>
        <w:t>El artículo 11 de la citada Ley, determina como elementos esenciales del municipio, además del territorio sobre el que el ayuntamiento ejerce sus competencias, la población y  la organización, por tanto dará contenido y legitimará la propia existencia del municipio, dado que, sin esta, el municipio perdería su sustantividad, suponiendo incluso una de las causas de su supresión, según se recoge en el artículo 10.3 de la Ley 8/2010, de 23 de junio, de régimen Local de la Comunidad Valenciana.</w:t>
      </w:r>
    </w:p>
    <w:p>
      <w:pPr>
        <w:pStyle w:val="Ttulo1"/>
        <w:ind w:left="0" w:hanging="0"/>
        <w:jc w:val="both"/>
        <w:rPr>
          <w:rFonts w:ascii="Times New Roman" w:hAnsi="Times New Roman" w:cs="Times New Roman"/>
          <w:sz w:val="24"/>
          <w:szCs w:val="24"/>
        </w:rPr>
      </w:pPr>
      <w:r>
        <w:rPr>
          <w:rFonts w:cs="Times New Roman" w:ascii="Times New Roman" w:hAnsi="Times New Roman"/>
          <w:sz w:val="24"/>
          <w:szCs w:val="24"/>
          <w:u w:val="none"/>
        </w:rPr>
        <w:t xml:space="preserve">3.- </w:t>
      </w:r>
      <w:r>
        <w:rPr>
          <w:rFonts w:cs="Times New Roman" w:ascii="Times New Roman" w:hAnsi="Times New Roman"/>
          <w:sz w:val="24"/>
          <w:szCs w:val="24"/>
        </w:rPr>
        <w:t>Naturaleza de las ayudas.</w:t>
      </w:r>
    </w:p>
    <w:p>
      <w:pPr>
        <w:pStyle w:val="Ttulo1"/>
        <w:ind w:left="0" w:hanging="0"/>
        <w:jc w:val="both"/>
        <w:rPr>
          <w:rFonts w:ascii="Times New Roman" w:hAnsi="Times New Roman" w:cs="Times New Roman"/>
          <w:sz w:val="24"/>
          <w:szCs w:val="24"/>
          <w:u w:val="none"/>
        </w:rPr>
      </w:pPr>
      <w:r>
        <w:rPr>
          <w:rFonts w:cs="Times New Roman" w:ascii="Times New Roman" w:hAnsi="Times New Roman"/>
          <w:sz w:val="24"/>
          <w:szCs w:val="24"/>
          <w:u w:val="none" w:color="000000"/>
        </w:rPr>
      </w:r>
    </w:p>
    <w:p>
      <w:pPr>
        <w:pStyle w:val="Cuerpodetexto"/>
        <w:spacing w:before="1" w:after="120"/>
        <w:jc w:val="both"/>
        <w:rPr/>
      </w:pPr>
      <w:r>
        <w:rPr/>
        <w:t>La ayuda consistirá en una prestación económica de pago único para sufragar los gastos de alimentación de personas celiacas, que se otorgará</w:t>
      </w:r>
      <w:r>
        <w:rPr>
          <w:spacing w:val="-7"/>
        </w:rPr>
        <w:t xml:space="preserve"> </w:t>
      </w:r>
      <w:r>
        <w:rPr/>
        <w:t>en</w:t>
      </w:r>
      <w:r>
        <w:rPr>
          <w:spacing w:val="-9"/>
        </w:rPr>
        <w:t xml:space="preserve"> </w:t>
      </w:r>
      <w:r>
        <w:rPr/>
        <w:t>función</w:t>
      </w:r>
      <w:r>
        <w:rPr>
          <w:spacing w:val="-8"/>
        </w:rPr>
        <w:t xml:space="preserve"> </w:t>
      </w:r>
      <w:r>
        <w:rPr/>
        <w:t>del</w:t>
      </w:r>
      <w:r>
        <w:rPr>
          <w:spacing w:val="-8"/>
        </w:rPr>
        <w:t xml:space="preserve"> </w:t>
      </w:r>
      <w:r>
        <w:rPr/>
        <w:t>cumplimiento</w:t>
      </w:r>
      <w:r>
        <w:rPr>
          <w:spacing w:val="-9"/>
        </w:rPr>
        <w:t xml:space="preserve"> </w:t>
      </w:r>
      <w:r>
        <w:rPr/>
        <w:t>de</w:t>
      </w:r>
      <w:r>
        <w:rPr>
          <w:spacing w:val="-7"/>
        </w:rPr>
        <w:t xml:space="preserve"> </w:t>
      </w:r>
      <w:r>
        <w:rPr/>
        <w:t>los</w:t>
      </w:r>
      <w:r>
        <w:rPr>
          <w:spacing w:val="-8"/>
        </w:rPr>
        <w:t xml:space="preserve"> </w:t>
      </w:r>
      <w:r>
        <w:rPr/>
        <w:t>requisitos</w:t>
      </w:r>
      <w:r>
        <w:rPr>
          <w:spacing w:val="-6"/>
        </w:rPr>
        <w:t xml:space="preserve"> </w:t>
      </w:r>
      <w:r>
        <w:rPr/>
        <w:t>establecidos</w:t>
      </w:r>
      <w:r>
        <w:rPr>
          <w:spacing w:val="-8"/>
        </w:rPr>
        <w:t xml:space="preserve"> </w:t>
      </w:r>
      <w:r>
        <w:rPr/>
        <w:t>en</w:t>
      </w:r>
      <w:r>
        <w:rPr>
          <w:spacing w:val="-8"/>
        </w:rPr>
        <w:t xml:space="preserve"> </w:t>
      </w:r>
      <w:r>
        <w:rPr/>
        <w:t>esta</w:t>
      </w:r>
      <w:r>
        <w:rPr>
          <w:spacing w:val="-5"/>
        </w:rPr>
        <w:t xml:space="preserve"> </w:t>
      </w:r>
      <w:r>
        <w:rPr/>
        <w:t>convocatoria</w:t>
      </w:r>
      <w:r>
        <w:rPr>
          <w:spacing w:val="-7"/>
        </w:rPr>
        <w:t xml:space="preserve"> </w:t>
      </w:r>
      <w:r>
        <w:rPr/>
        <w:t>y</w:t>
      </w:r>
      <w:r>
        <w:rPr>
          <w:spacing w:val="-8"/>
        </w:rPr>
        <w:t xml:space="preserve"> </w:t>
      </w:r>
      <w:r>
        <w:rPr/>
        <w:t>en</w:t>
      </w:r>
      <w:r>
        <w:rPr>
          <w:spacing w:val="-9"/>
        </w:rPr>
        <w:t xml:space="preserve"> </w:t>
      </w:r>
      <w:r>
        <w:rPr/>
        <w:t>la</w:t>
      </w:r>
      <w:r>
        <w:rPr>
          <w:spacing w:val="-8"/>
        </w:rPr>
        <w:t xml:space="preserve"> </w:t>
      </w:r>
      <w:r>
        <w:rPr/>
        <w:t>Ordenanza General de Subvenciones del Ayuntamiento de Tales.</w:t>
      </w:r>
    </w:p>
    <w:p>
      <w:pPr>
        <w:pStyle w:val="Ttulo1"/>
        <w:spacing w:before="1" w:after="0"/>
        <w:ind w:left="0" w:hanging="0"/>
        <w:jc w:val="both"/>
        <w:rPr>
          <w:rFonts w:ascii="Times New Roman" w:hAnsi="Times New Roman" w:cs="Times New Roman"/>
          <w:sz w:val="24"/>
          <w:szCs w:val="24"/>
          <w:u w:val="none"/>
        </w:rPr>
      </w:pPr>
      <w:r>
        <w:rPr>
          <w:rFonts w:cs="Times New Roman" w:ascii="Times New Roman" w:hAnsi="Times New Roman"/>
          <w:sz w:val="24"/>
          <w:szCs w:val="24"/>
          <w:u w:val="none"/>
        </w:rPr>
        <w:t xml:space="preserve">4.- </w:t>
      </w:r>
      <w:r>
        <w:rPr>
          <w:rFonts w:cs="Times New Roman" w:ascii="Times New Roman" w:hAnsi="Times New Roman"/>
          <w:sz w:val="24"/>
          <w:szCs w:val="24"/>
        </w:rPr>
        <w:t>Dotación Presupuestaria.</w:t>
      </w:r>
    </w:p>
    <w:p>
      <w:pPr>
        <w:pStyle w:val="Cuerpodetexto"/>
        <w:jc w:val="both"/>
        <w:rPr/>
      </w:pPr>
      <w:r>
        <w:rPr/>
      </w:r>
    </w:p>
    <w:p>
      <w:pPr>
        <w:pStyle w:val="Cuerpodetexto"/>
        <w:jc w:val="both"/>
        <w:rPr/>
      </w:pPr>
      <w:r>
        <w:rPr/>
        <w:t xml:space="preserve">El crédito asignado a la presente convocatoria es de </w:t>
      </w:r>
      <w:r>
        <w:rPr>
          <w:color w:val="000000"/>
        </w:rPr>
        <w:t>1.000,00</w:t>
      </w:r>
      <w:r>
        <w:rPr/>
        <w:t xml:space="preserve"> €, con cargo a la aplicación presupuestaria  313-48002 Ayudas a la celiaquía del Presupuesto General municipal para el ejercicio 2023.</w:t>
      </w:r>
    </w:p>
    <w:p>
      <w:pPr>
        <w:pStyle w:val="Cuerpodetexto"/>
        <w:jc w:val="both"/>
        <w:rPr/>
      </w:pPr>
      <w:r>
        <w:rPr/>
        <w:t>No podrán adquirirse compromisos de gasto en cuantía superior al importe de los créditos autorizados en los estados de gastos, siendo nulos de pleno derecho los acuerdos, resoluciones y actos administrativos que infrinjan la expresada norma, sin perjuicio de las responsabilidades a que haya lugar.</w:t>
      </w:r>
    </w:p>
    <w:p>
      <w:pPr>
        <w:pStyle w:val="Cuerpodetexto"/>
        <w:spacing w:before="1" w:after="120"/>
        <w:jc w:val="both"/>
        <w:rPr/>
      </w:pPr>
      <w:r>
        <w:rPr/>
        <w:t>Excepcionalmente y cuando los créditos asignados a esta convocatoria resulten insuficientes para atender todas</w:t>
      </w:r>
      <w:r>
        <w:rPr>
          <w:spacing w:val="-11"/>
        </w:rPr>
        <w:t xml:space="preserve"> </w:t>
      </w:r>
      <w:r>
        <w:rPr/>
        <w:t>las</w:t>
      </w:r>
      <w:r>
        <w:rPr>
          <w:spacing w:val="-10"/>
        </w:rPr>
        <w:t xml:space="preserve"> </w:t>
      </w:r>
      <w:r>
        <w:rPr/>
        <w:t>solicitudes</w:t>
      </w:r>
      <w:r>
        <w:rPr>
          <w:spacing w:val="-11"/>
        </w:rPr>
        <w:t xml:space="preserve"> </w:t>
      </w:r>
      <w:r>
        <w:rPr/>
        <w:t>presentadas</w:t>
      </w:r>
      <w:r>
        <w:rPr>
          <w:spacing w:val="-10"/>
        </w:rPr>
        <w:t xml:space="preserve"> </w:t>
      </w:r>
      <w:r>
        <w:rPr/>
        <w:t>que</w:t>
      </w:r>
      <w:r>
        <w:rPr>
          <w:spacing w:val="-9"/>
        </w:rPr>
        <w:t xml:space="preserve"> </w:t>
      </w:r>
      <w:r>
        <w:rPr/>
        <w:t>cumplan</w:t>
      </w:r>
      <w:r>
        <w:rPr>
          <w:spacing w:val="-12"/>
        </w:rPr>
        <w:t xml:space="preserve"> </w:t>
      </w:r>
      <w:r>
        <w:rPr/>
        <w:t>los</w:t>
      </w:r>
      <w:r>
        <w:rPr>
          <w:spacing w:val="-8"/>
        </w:rPr>
        <w:t xml:space="preserve"> </w:t>
      </w:r>
      <w:r>
        <w:rPr/>
        <w:t>requisitos</w:t>
      </w:r>
      <w:r>
        <w:rPr>
          <w:spacing w:val="-10"/>
        </w:rPr>
        <w:t xml:space="preserve"> </w:t>
      </w:r>
      <w:r>
        <w:rPr/>
        <w:t>para</w:t>
      </w:r>
      <w:r>
        <w:rPr>
          <w:spacing w:val="-9"/>
        </w:rPr>
        <w:t xml:space="preserve"> </w:t>
      </w:r>
      <w:r>
        <w:rPr/>
        <w:t>resultar</w:t>
      </w:r>
      <w:r>
        <w:rPr>
          <w:spacing w:val="-11"/>
        </w:rPr>
        <w:t xml:space="preserve"> </w:t>
      </w:r>
      <w:r>
        <w:rPr/>
        <w:t>beneficiarios,</w:t>
      </w:r>
      <w:r>
        <w:rPr>
          <w:spacing w:val="-10"/>
        </w:rPr>
        <w:t xml:space="preserve"> </w:t>
      </w:r>
      <w:r>
        <w:rPr/>
        <w:t>se</w:t>
      </w:r>
      <w:r>
        <w:rPr>
          <w:spacing w:val="-9"/>
        </w:rPr>
        <w:t xml:space="preserve"> </w:t>
      </w:r>
      <w:r>
        <w:rPr/>
        <w:t>podrá</w:t>
      </w:r>
      <w:r>
        <w:rPr>
          <w:spacing w:val="-10"/>
        </w:rPr>
        <w:t xml:space="preserve"> </w:t>
      </w:r>
      <w:r>
        <w:rPr/>
        <w:t>establecer una cuantía adicional de crédito, cuya aplicación a la concesión de subvenciones no requerirá de nueva convocatoria.</w:t>
      </w:r>
      <w:r>
        <w:rPr>
          <w:spacing w:val="-9"/>
        </w:rPr>
        <w:t xml:space="preserve"> </w:t>
      </w:r>
      <w:r>
        <w:rPr/>
        <w:t>La</w:t>
      </w:r>
      <w:r>
        <w:rPr>
          <w:spacing w:val="-7"/>
        </w:rPr>
        <w:t xml:space="preserve"> </w:t>
      </w:r>
      <w:r>
        <w:rPr/>
        <w:t>efectividad</w:t>
      </w:r>
      <w:r>
        <w:rPr>
          <w:spacing w:val="-7"/>
        </w:rPr>
        <w:t xml:space="preserve"> </w:t>
      </w:r>
      <w:r>
        <w:rPr/>
        <w:t>de</w:t>
      </w:r>
      <w:r>
        <w:rPr>
          <w:spacing w:val="-9"/>
        </w:rPr>
        <w:t xml:space="preserve"> </w:t>
      </w:r>
      <w:r>
        <w:rPr/>
        <w:t>esta</w:t>
      </w:r>
      <w:r>
        <w:rPr>
          <w:spacing w:val="-7"/>
        </w:rPr>
        <w:t xml:space="preserve"> </w:t>
      </w:r>
      <w:r>
        <w:rPr/>
        <w:t>cuantía</w:t>
      </w:r>
      <w:r>
        <w:rPr>
          <w:spacing w:val="-8"/>
        </w:rPr>
        <w:t xml:space="preserve"> </w:t>
      </w:r>
      <w:r>
        <w:rPr/>
        <w:t>adicional</w:t>
      </w:r>
      <w:r>
        <w:rPr>
          <w:spacing w:val="-10"/>
        </w:rPr>
        <w:t xml:space="preserve"> </w:t>
      </w:r>
      <w:r>
        <w:rPr/>
        <w:t>queda</w:t>
      </w:r>
      <w:r>
        <w:rPr>
          <w:spacing w:val="-9"/>
        </w:rPr>
        <w:t xml:space="preserve"> </w:t>
      </w:r>
      <w:r>
        <w:rPr/>
        <w:t>condicionada</w:t>
      </w:r>
      <w:r>
        <w:rPr>
          <w:spacing w:val="-9"/>
        </w:rPr>
        <w:t xml:space="preserve"> </w:t>
      </w:r>
      <w:r>
        <w:rPr/>
        <w:t>a</w:t>
      </w:r>
      <w:r>
        <w:rPr>
          <w:spacing w:val="-7"/>
        </w:rPr>
        <w:t xml:space="preserve"> </w:t>
      </w:r>
      <w:r>
        <w:rPr/>
        <w:t>la</w:t>
      </w:r>
      <w:r>
        <w:rPr>
          <w:spacing w:val="-9"/>
        </w:rPr>
        <w:t xml:space="preserve"> </w:t>
      </w:r>
      <w:r>
        <w:rPr/>
        <w:t>declaración</w:t>
      </w:r>
      <w:r>
        <w:rPr>
          <w:spacing w:val="-11"/>
        </w:rPr>
        <w:t xml:space="preserve"> </w:t>
      </w:r>
      <w:r>
        <w:rPr/>
        <w:t>de</w:t>
      </w:r>
      <w:r>
        <w:rPr>
          <w:spacing w:val="-7"/>
        </w:rPr>
        <w:t xml:space="preserve"> </w:t>
      </w:r>
      <w:r>
        <w:rPr/>
        <w:t>disponibilidad del crédito correspondiente, por el importe máximo de esta cuantía y previa aprobación de la modificación presupuestaria que proceda en un momento anterior a la resolución de la concesión de la</w:t>
      </w:r>
      <w:r>
        <w:rPr>
          <w:spacing w:val="-33"/>
        </w:rPr>
        <w:t xml:space="preserve"> </w:t>
      </w:r>
      <w:r>
        <w:rPr/>
        <w:t>subvención.</w:t>
      </w:r>
    </w:p>
    <w:p>
      <w:pPr>
        <w:pStyle w:val="Ttulo1"/>
        <w:spacing w:before="99" w:after="0"/>
        <w:ind w:left="0" w:hanging="0"/>
        <w:rPr>
          <w:rFonts w:ascii="Times New Roman" w:hAnsi="Times New Roman" w:cs="Times New Roman"/>
          <w:sz w:val="24"/>
          <w:szCs w:val="24"/>
          <w:u w:val="none"/>
        </w:rPr>
      </w:pPr>
      <w:r>
        <w:rPr>
          <w:rFonts w:cs="Times New Roman" w:ascii="Times New Roman" w:hAnsi="Times New Roman"/>
          <w:sz w:val="24"/>
          <w:szCs w:val="24"/>
          <w:u w:val="none"/>
        </w:rPr>
        <w:t xml:space="preserve">5.- </w:t>
      </w:r>
      <w:r>
        <w:rPr>
          <w:rFonts w:cs="Times New Roman" w:ascii="Times New Roman" w:hAnsi="Times New Roman"/>
          <w:sz w:val="24"/>
          <w:szCs w:val="24"/>
        </w:rPr>
        <w:t>Beneficiarios.</w:t>
      </w:r>
    </w:p>
    <w:p>
      <w:pPr>
        <w:pStyle w:val="Cuerpodetexto"/>
        <w:spacing w:before="145" w:after="120"/>
        <w:jc w:val="both"/>
        <w:rPr/>
      </w:pPr>
      <w:r>
        <w:rPr/>
        <w:t xml:space="preserve">Serán beneficiarios las personas físicas para sí o para su unidad familiar en cuyo ámbito existan uno o más enfermos/as celíacos/as o con intolerancia al gluten. </w:t>
      </w:r>
    </w:p>
    <w:p>
      <w:pPr>
        <w:pStyle w:val="Ttulo1"/>
        <w:ind w:left="0" w:hanging="0"/>
        <w:rPr>
          <w:rFonts w:ascii="Times New Roman" w:hAnsi="Times New Roman" w:cs="Times New Roman"/>
          <w:sz w:val="24"/>
          <w:szCs w:val="24"/>
          <w:u w:val="none"/>
        </w:rPr>
      </w:pPr>
      <w:r>
        <w:rPr>
          <w:rFonts w:cs="Times New Roman" w:ascii="Times New Roman" w:hAnsi="Times New Roman"/>
          <w:sz w:val="24"/>
          <w:szCs w:val="24"/>
          <w:u w:val="none"/>
        </w:rPr>
        <w:t xml:space="preserve">6.- </w:t>
      </w:r>
      <w:r>
        <w:rPr>
          <w:rFonts w:cs="Times New Roman" w:ascii="Times New Roman" w:hAnsi="Times New Roman"/>
          <w:sz w:val="24"/>
          <w:szCs w:val="24"/>
        </w:rPr>
        <w:t>Compatibilidad.</w:t>
      </w:r>
    </w:p>
    <w:p>
      <w:pPr>
        <w:pStyle w:val="Cuerpodetexto"/>
        <w:spacing w:before="100" w:after="120"/>
        <w:jc w:val="both"/>
        <w:rPr/>
      </w:pPr>
      <w:r>
        <w:rPr/>
        <w:t>La percepción de esta prestación será compatible con otras ayudas para la misma finalidad concedidas por el Estado y por otras Administraciones Públicas.</w:t>
      </w:r>
    </w:p>
    <w:p>
      <w:pPr>
        <w:pStyle w:val="Ttulo1"/>
        <w:ind w:left="0" w:hanging="0"/>
        <w:rPr>
          <w:rFonts w:ascii="Times New Roman" w:hAnsi="Times New Roman" w:cs="Times New Roman"/>
          <w:sz w:val="24"/>
          <w:szCs w:val="24"/>
        </w:rPr>
      </w:pPr>
      <w:r>
        <w:rPr>
          <w:rFonts w:cs="Times New Roman" w:ascii="Times New Roman" w:hAnsi="Times New Roman"/>
          <w:sz w:val="24"/>
          <w:szCs w:val="24"/>
          <w:u w:val="none"/>
        </w:rPr>
        <w:t xml:space="preserve">7.- </w:t>
      </w:r>
      <w:r>
        <w:rPr>
          <w:rFonts w:cs="Times New Roman" w:ascii="Times New Roman" w:hAnsi="Times New Roman"/>
          <w:sz w:val="24"/>
          <w:szCs w:val="24"/>
        </w:rPr>
        <w:t>Requisitos.</w:t>
      </w:r>
    </w:p>
    <w:p>
      <w:pPr>
        <w:pStyle w:val="Default"/>
        <w:spacing w:before="206" w:after="0"/>
        <w:jc w:val="both"/>
        <w:rPr/>
      </w:pPr>
      <w:r>
        <w:rPr>
          <w:rFonts w:cs="Times New Roman" w:ascii="Times New Roman" w:hAnsi="Times New Roman"/>
        </w:rPr>
        <w:t>A) Personas empadronadas en el municipio de Tales al menos un año anterior a la fecha de la publicación de las presentes bases.</w:t>
      </w:r>
    </w:p>
    <w:p>
      <w:pPr>
        <w:pStyle w:val="Default"/>
        <w:jc w:val="both"/>
        <w:rPr>
          <w:rFonts w:ascii="Times New Roman" w:hAnsi="Times New Roman" w:cs="Times New Roman"/>
        </w:rPr>
      </w:pPr>
      <w:r>
        <w:rPr>
          <w:rFonts w:cs="Times New Roman" w:ascii="Times New Roman" w:hAnsi="Times New Roman"/>
        </w:rPr>
      </w:r>
    </w:p>
    <w:p>
      <w:pPr>
        <w:pStyle w:val="Default"/>
        <w:jc w:val="both"/>
        <w:rPr/>
      </w:pPr>
      <w:r>
        <w:rPr>
          <w:rFonts w:cs="Times New Roman" w:ascii="Times New Roman" w:hAnsi="Times New Roman"/>
        </w:rPr>
        <w:t xml:space="preserve">B) Personas que padezcan enfermedad de celiaquía y que exista diagnóstico médico de tal circunstancia. </w:t>
      </w:r>
    </w:p>
    <w:p>
      <w:pPr>
        <w:pStyle w:val="Default"/>
        <w:spacing w:before="320" w:after="0"/>
        <w:jc w:val="both"/>
        <w:rPr/>
      </w:pPr>
      <w:r>
        <w:rPr>
          <w:rFonts w:cs="Times New Roman" w:ascii="Times New Roman" w:hAnsi="Times New Roman"/>
        </w:rPr>
        <w:t>C) Estar al corriente en el cumplimiento de las obligaciones tributarias y de la seguridad social y de las obligaciones fiscales con el Ayuntamiento de Tales. Se considerará que el solicitante está al corriente de obligaciones tributarias con la Corporación cuando no mantenga deudas o sanciones tributarias en período ejecutivo, salvo cuando se encuentren aplazadas, fraccionadas o cuya ejecución estuviese suspendida. La acreditación de esta circunstancia se realizará mediante informe de los Servicios de Recaudación.</w:t>
      </w:r>
    </w:p>
    <w:p>
      <w:pPr>
        <w:pStyle w:val="Default"/>
        <w:spacing w:before="433" w:after="0"/>
        <w:jc w:val="both"/>
        <w:rPr/>
      </w:pPr>
      <w:r>
        <w:rPr>
          <w:rFonts w:cs="Times New Roman" w:ascii="Times New Roman" w:hAnsi="Times New Roman"/>
        </w:rPr>
        <w:t xml:space="preserve">D) No estar incursos en ninguna de las causas de prohibición contenidas en los apartados 2 y 3 del art. 13 de la Ley General de Subvenciones. La acreditación de no estar incursos en las prohibiciones a que se refiere este artículo se realizará mediante declaración responsable ante el órgano concedente de la subvención. </w:t>
      </w:r>
    </w:p>
    <w:p>
      <w:pPr>
        <w:pStyle w:val="Default"/>
        <w:spacing w:before="433" w:after="0"/>
        <w:jc w:val="both"/>
        <w:rPr>
          <w:rFonts w:ascii="Times New Roman" w:hAnsi="Times New Roman" w:cs="Times New Roman"/>
        </w:rPr>
      </w:pPr>
      <w:r>
        <w:rPr>
          <w:rFonts w:cs="Times New Roman" w:ascii="Times New Roman" w:hAnsi="Times New Roman"/>
        </w:rPr>
        <w:t>E) Estar al corriente en la justificación de cualquier ayuda económica percibida desde el Ayuntamiento de Tales.</w:t>
      </w:r>
    </w:p>
    <w:p>
      <w:pPr>
        <w:pStyle w:val="Default"/>
        <w:spacing w:before="206" w:after="0"/>
        <w:jc w:val="both"/>
        <w:rPr>
          <w:rFonts w:ascii="Times New Roman" w:hAnsi="Times New Roman" w:cs="Times New Roman"/>
        </w:rPr>
      </w:pPr>
      <w:r>
        <w:rPr>
          <w:rFonts w:cs="Times New Roman" w:ascii="Times New Roman" w:hAnsi="Times New Roman"/>
        </w:rPr>
        <w:t>A los efectos de estas ayudas se entiende por unidad familiar:</w:t>
      </w:r>
    </w:p>
    <w:p>
      <w:pPr>
        <w:pStyle w:val="Default"/>
        <w:numPr>
          <w:ilvl w:val="0"/>
          <w:numId w:val="1"/>
        </w:numPr>
        <w:spacing w:before="206" w:after="0"/>
        <w:jc w:val="both"/>
        <w:rPr>
          <w:rFonts w:ascii="Times New Roman" w:hAnsi="Times New Roman" w:cs="Times New Roman"/>
        </w:rPr>
      </w:pPr>
      <w:r>
        <w:rPr>
          <w:rFonts w:cs="Times New Roman" w:ascii="Times New Roman" w:hAnsi="Times New Roman"/>
        </w:rPr>
        <w:t xml:space="preserve">Personas que viven solas en una vivienda. </w:t>
      </w:r>
    </w:p>
    <w:p>
      <w:pPr>
        <w:pStyle w:val="Default"/>
        <w:numPr>
          <w:ilvl w:val="0"/>
          <w:numId w:val="1"/>
        </w:numPr>
        <w:spacing w:before="206" w:after="0"/>
        <w:jc w:val="both"/>
        <w:rPr/>
      </w:pPr>
      <w:r>
        <w:rPr>
          <w:rFonts w:cs="Times New Roman" w:ascii="Times New Roman" w:hAnsi="Times New Roman"/>
        </w:rPr>
        <w:t>Dos o más personas que viven solas en una vivienda, cuando estén unidas entre sí por matrimonio u otra forma de relación análoga a la conyugal, por adopción o consanguinidad o afinidad hasta el cuarto y segundo grado respectivamente.</w:t>
      </w:r>
    </w:p>
    <w:p>
      <w:pPr>
        <w:pStyle w:val="Ttulo1"/>
        <w:ind w:left="0" w:hanging="0"/>
        <w:rPr>
          <w:rFonts w:ascii="Times New Roman" w:hAnsi="Times New Roman" w:cs="Times New Roman"/>
          <w:b w:val="false"/>
          <w:b w:val="false"/>
          <w:sz w:val="24"/>
          <w:szCs w:val="24"/>
          <w:u w:val="none"/>
        </w:rPr>
      </w:pPr>
      <w:r>
        <w:rPr>
          <w:rFonts w:cs="Times New Roman" w:ascii="Times New Roman" w:hAnsi="Times New Roman"/>
          <w:b w:val="false"/>
          <w:sz w:val="24"/>
          <w:szCs w:val="24"/>
          <w:u w:val="none" w:color="000000"/>
        </w:rPr>
      </w:r>
    </w:p>
    <w:p>
      <w:pPr>
        <w:pStyle w:val="Ttulo1"/>
        <w:spacing w:before="1" w:after="0"/>
        <w:ind w:left="0" w:hanging="0"/>
        <w:rPr>
          <w:rFonts w:ascii="Times New Roman" w:hAnsi="Times New Roman" w:cs="Times New Roman"/>
          <w:sz w:val="24"/>
          <w:szCs w:val="24"/>
          <w:u w:val="none"/>
        </w:rPr>
      </w:pPr>
      <w:r>
        <w:rPr>
          <w:rFonts w:cs="Times New Roman" w:ascii="Times New Roman" w:hAnsi="Times New Roman"/>
          <w:sz w:val="24"/>
          <w:szCs w:val="24"/>
          <w:u w:val="none"/>
        </w:rPr>
        <w:t xml:space="preserve">8.- </w:t>
      </w:r>
      <w:r>
        <w:rPr>
          <w:rFonts w:cs="Times New Roman" w:ascii="Times New Roman" w:hAnsi="Times New Roman"/>
          <w:sz w:val="24"/>
          <w:szCs w:val="24"/>
        </w:rPr>
        <w:t>Cuantía de las ayudas.</w:t>
      </w:r>
    </w:p>
    <w:p>
      <w:pPr>
        <w:pStyle w:val="Cuerpodetexto"/>
        <w:spacing w:before="99" w:after="120"/>
        <w:jc w:val="both"/>
        <w:rPr/>
      </w:pPr>
      <w:r>
        <w:rPr/>
        <w:t>La cuantía máxima de la prestación será de 250,00 € por persona que padece la enfermedad; siempre con la limitación de los gastos que se hayan justificado para tal finalidad por las personas solicitantes.</w:t>
      </w:r>
    </w:p>
    <w:p>
      <w:pPr>
        <w:pStyle w:val="Ttulo1"/>
        <w:ind w:left="0" w:hanging="0"/>
        <w:rPr>
          <w:rFonts w:ascii="Times New Roman" w:hAnsi="Times New Roman" w:cs="Times New Roman"/>
          <w:sz w:val="24"/>
          <w:szCs w:val="24"/>
        </w:rPr>
      </w:pPr>
      <w:r>
        <w:rPr>
          <w:rFonts w:cs="Times New Roman" w:ascii="Times New Roman" w:hAnsi="Times New Roman"/>
          <w:sz w:val="24"/>
          <w:szCs w:val="24"/>
          <w:u w:val="none"/>
        </w:rPr>
        <w:t xml:space="preserve">9.- </w:t>
      </w:r>
      <w:r>
        <w:rPr>
          <w:rFonts w:cs="Times New Roman" w:ascii="Times New Roman" w:hAnsi="Times New Roman"/>
          <w:sz w:val="24"/>
          <w:szCs w:val="24"/>
        </w:rPr>
        <w:t>Documentación.</w:t>
      </w:r>
    </w:p>
    <w:p>
      <w:pPr>
        <w:pStyle w:val="Ttulo1"/>
        <w:ind w:left="0" w:hanging="0"/>
        <w:jc w:val="both"/>
        <w:rPr>
          <w:rFonts w:ascii="Times New Roman" w:hAnsi="Times New Roman" w:cs="Times New Roman"/>
          <w:b w:val="false"/>
          <w:b w:val="false"/>
          <w:sz w:val="24"/>
          <w:szCs w:val="24"/>
          <w:u w:val="none"/>
        </w:rPr>
      </w:pPr>
      <w:r>
        <w:rPr>
          <w:rFonts w:cs="Times New Roman" w:ascii="Times New Roman" w:hAnsi="Times New Roman"/>
          <w:b w:val="false"/>
          <w:sz w:val="24"/>
          <w:szCs w:val="24"/>
          <w:u w:val="none"/>
        </w:rPr>
        <w:t>Las solicitudes se presentarán por la persona que padece la enfermedad o tiene intolerancia al gluten. En caso de menores de edad la solicitud será presentada por quienes ostenten la patria potestad, tutela, guarda o acogimiento familiar. Si se trata de personas incapacitadas será el tutor legal quien presente la solicitud.</w:t>
      </w:r>
    </w:p>
    <w:p>
      <w:pPr>
        <w:pStyle w:val="Cuerpodetexto"/>
        <w:spacing w:before="100" w:after="120"/>
        <w:jc w:val="both"/>
        <w:rPr/>
      </w:pPr>
      <w:r>
        <w:rPr/>
        <w:t>La</w:t>
      </w:r>
      <w:r>
        <w:rPr>
          <w:spacing w:val="-3"/>
        </w:rPr>
        <w:t xml:space="preserve"> </w:t>
      </w:r>
      <w:r>
        <w:rPr/>
        <w:t>solicitud</w:t>
      </w:r>
      <w:r>
        <w:rPr>
          <w:spacing w:val="-4"/>
        </w:rPr>
        <w:t xml:space="preserve"> </w:t>
      </w:r>
      <w:r>
        <w:rPr/>
        <w:t>de</w:t>
      </w:r>
      <w:r>
        <w:rPr>
          <w:spacing w:val="-1"/>
        </w:rPr>
        <w:t xml:space="preserve"> </w:t>
      </w:r>
      <w:r>
        <w:rPr/>
        <w:t>ayuda,</w:t>
      </w:r>
      <w:r>
        <w:rPr>
          <w:spacing w:val="-4"/>
        </w:rPr>
        <w:t xml:space="preserve"> </w:t>
      </w:r>
      <w:r>
        <w:rPr/>
        <w:t>de</w:t>
      </w:r>
      <w:r>
        <w:rPr>
          <w:spacing w:val="-2"/>
        </w:rPr>
        <w:t xml:space="preserve"> </w:t>
      </w:r>
      <w:r>
        <w:rPr/>
        <w:t>acuerdo</w:t>
      </w:r>
      <w:r>
        <w:rPr>
          <w:spacing w:val="-4"/>
        </w:rPr>
        <w:t xml:space="preserve"> </w:t>
      </w:r>
      <w:r>
        <w:rPr/>
        <w:t>con</w:t>
      </w:r>
      <w:r>
        <w:rPr>
          <w:spacing w:val="-3"/>
        </w:rPr>
        <w:t xml:space="preserve"> </w:t>
      </w:r>
      <w:r>
        <w:rPr/>
        <w:t>el</w:t>
      </w:r>
      <w:r>
        <w:rPr>
          <w:spacing w:val="-3"/>
        </w:rPr>
        <w:t xml:space="preserve"> </w:t>
      </w:r>
      <w:r>
        <w:rPr/>
        <w:t>modelo</w:t>
      </w:r>
      <w:r>
        <w:rPr>
          <w:spacing w:val="-3"/>
        </w:rPr>
        <w:t xml:space="preserve"> </w:t>
      </w:r>
      <w:r>
        <w:rPr/>
        <w:t>que</w:t>
      </w:r>
      <w:r>
        <w:rPr>
          <w:spacing w:val="-2"/>
        </w:rPr>
        <w:t xml:space="preserve"> </w:t>
      </w:r>
      <w:r>
        <w:rPr/>
        <w:t>se</w:t>
      </w:r>
      <w:r>
        <w:rPr>
          <w:spacing w:val="-3"/>
        </w:rPr>
        <w:t xml:space="preserve"> </w:t>
      </w:r>
      <w:r>
        <w:rPr/>
        <w:t>facilitará</w:t>
      </w:r>
      <w:r>
        <w:rPr>
          <w:spacing w:val="-2"/>
        </w:rPr>
        <w:t xml:space="preserve"> </w:t>
      </w:r>
      <w:r>
        <w:rPr/>
        <w:t>en</w:t>
      </w:r>
      <w:r>
        <w:rPr>
          <w:spacing w:val="-4"/>
        </w:rPr>
        <w:t xml:space="preserve"> </w:t>
      </w:r>
      <w:r>
        <w:rPr/>
        <w:t>las</w:t>
      </w:r>
      <w:r>
        <w:rPr>
          <w:spacing w:val="-4"/>
        </w:rPr>
        <w:t xml:space="preserve"> </w:t>
      </w:r>
      <w:r>
        <w:rPr/>
        <w:t>oficinas</w:t>
      </w:r>
      <w:r>
        <w:rPr>
          <w:spacing w:val="-3"/>
        </w:rPr>
        <w:t xml:space="preserve"> </w:t>
      </w:r>
      <w:r>
        <w:rPr/>
        <w:t>municipales</w:t>
      </w:r>
      <w:r>
        <w:rPr>
          <w:spacing w:val="-4"/>
        </w:rPr>
        <w:t xml:space="preserve">, </w:t>
      </w:r>
      <w:r>
        <w:rPr/>
        <w:t>en</w:t>
      </w:r>
      <w:r>
        <w:rPr>
          <w:spacing w:val="-4"/>
        </w:rPr>
        <w:t xml:space="preserve"> </w:t>
      </w:r>
      <w:r>
        <w:rPr/>
        <w:t>la</w:t>
      </w:r>
      <w:r>
        <w:rPr>
          <w:spacing w:val="-2"/>
        </w:rPr>
        <w:t xml:space="preserve"> </w:t>
      </w:r>
      <w:r>
        <w:rPr/>
        <w:t>página web del ayuntamiento (</w:t>
      </w:r>
      <w:hyperlink r:id="rId2">
        <w:r>
          <w:rPr>
            <w:rStyle w:val="EnlacedeInternet"/>
            <w:u w:val="none" w:color="0000FF"/>
          </w:rPr>
          <w:t>www.tales.es</w:t>
        </w:r>
      </w:hyperlink>
      <w:r>
        <w:rPr/>
        <w:t>) y en la sede electrónica  (</w:t>
      </w:r>
      <w:hyperlink r:id="rId3">
        <w:r>
          <w:rPr>
            <w:rStyle w:val="EnlacedeInternet"/>
          </w:rPr>
          <w:t>https://tales.sedelectronica.es/</w:t>
        </w:r>
      </w:hyperlink>
      <w:r>
        <w:rPr/>
        <w:t>), deberá dirigirse al Sr. Alcalde-Presidente del Ayuntamiento de Tales y deberá ir acompañada de la siguiente documentación, original o copia</w:t>
      </w:r>
      <w:r>
        <w:rPr>
          <w:spacing w:val="-26"/>
        </w:rPr>
        <w:t xml:space="preserve"> </w:t>
      </w:r>
      <w:r>
        <w:rPr/>
        <w:t>compulsada:</w:t>
      </w:r>
    </w:p>
    <w:p>
      <w:pPr>
        <w:pStyle w:val="Default"/>
        <w:numPr>
          <w:ilvl w:val="0"/>
          <w:numId w:val="1"/>
        </w:numPr>
        <w:spacing w:before="206" w:after="0"/>
        <w:ind w:left="567" w:hanging="567"/>
        <w:jc w:val="both"/>
        <w:rPr/>
      </w:pPr>
      <w:r>
        <w:rPr>
          <w:rFonts w:cs="Times New Roman" w:ascii="Times New Roman" w:hAnsi="Times New Roman"/>
        </w:rPr>
        <w:t>Original o copia compulsada del DNI de la persona solicitante y de los menores e incapacitados, en su caso, afectadas por la enfermedad o intolerancia al gluten.</w:t>
      </w:r>
    </w:p>
    <w:p>
      <w:pPr>
        <w:pStyle w:val="Default"/>
        <w:numPr>
          <w:ilvl w:val="0"/>
          <w:numId w:val="1"/>
        </w:numPr>
        <w:spacing w:before="206" w:after="0"/>
        <w:ind w:left="567" w:hanging="567"/>
        <w:jc w:val="both"/>
        <w:rPr/>
      </w:pPr>
      <w:r>
        <w:rPr>
          <w:rFonts w:cs="Times New Roman" w:ascii="Times New Roman" w:hAnsi="Times New Roman"/>
        </w:rPr>
        <w:t>Libro de familia que acredite el parentesco con el solicitante. En los casos de menores con medidas de protección y personas incapacitadas deberán presentarse las resoluciones administrativas y/o judiciales que lo acrediten.-Modelo normalizado de la relación de todos los miembros de la unidad familiar.</w:t>
      </w:r>
    </w:p>
    <w:p>
      <w:pPr>
        <w:pStyle w:val="Default"/>
        <w:numPr>
          <w:ilvl w:val="0"/>
          <w:numId w:val="1"/>
        </w:numPr>
        <w:spacing w:before="206" w:after="0"/>
        <w:ind w:left="567" w:hanging="567"/>
        <w:jc w:val="both"/>
        <w:rPr>
          <w:rFonts w:ascii="Times New Roman" w:hAnsi="Times New Roman" w:cs="Times New Roman"/>
        </w:rPr>
      </w:pPr>
      <w:r>
        <w:rPr>
          <w:rFonts w:cs="Times New Roman" w:ascii="Times New Roman" w:hAnsi="Times New Roman"/>
        </w:rPr>
        <w:t>Informe médico acreditativo de la condición de enfermo/a celiaco/a o intolerante al gluten.</w:t>
      </w:r>
    </w:p>
    <w:p>
      <w:pPr>
        <w:pStyle w:val="Default"/>
        <w:numPr>
          <w:ilvl w:val="0"/>
          <w:numId w:val="1"/>
        </w:numPr>
        <w:tabs>
          <w:tab w:val="clear" w:pos="709"/>
          <w:tab w:val="left" w:pos="567" w:leader="none"/>
        </w:tabs>
        <w:spacing w:before="206" w:after="0"/>
        <w:ind w:left="567" w:hanging="567"/>
        <w:jc w:val="both"/>
        <w:rPr>
          <w:rFonts w:ascii="Times New Roman" w:hAnsi="Times New Roman" w:cs="Times New Roman"/>
        </w:rPr>
      </w:pPr>
      <w:r>
        <w:rPr>
          <w:rFonts w:cs="Times New Roman" w:ascii="Times New Roman" w:hAnsi="Times New Roman"/>
        </w:rPr>
        <w:t>El requisito de empadronamiento se comprobará de oficio a través de los datos del Padrón Municipal.</w:t>
      </w:r>
    </w:p>
    <w:p>
      <w:pPr>
        <w:pStyle w:val="Default"/>
        <w:numPr>
          <w:ilvl w:val="0"/>
          <w:numId w:val="1"/>
        </w:numPr>
        <w:spacing w:before="206" w:after="0"/>
        <w:ind w:left="567" w:hanging="567"/>
        <w:jc w:val="both"/>
        <w:rPr/>
      </w:pPr>
      <w:r>
        <w:rPr>
          <w:rFonts w:cs="Times New Roman" w:ascii="Times New Roman" w:hAnsi="Times New Roman"/>
        </w:rPr>
        <w:t>Certificado de hallarse al corriente de pago de sus obligaciones tributarias frente a la Hacienda Municipal, Hacienda Estatal y Seguridad Social.</w:t>
      </w:r>
    </w:p>
    <w:p>
      <w:pPr>
        <w:pStyle w:val="Default"/>
        <w:numPr>
          <w:ilvl w:val="0"/>
          <w:numId w:val="1"/>
        </w:numPr>
        <w:spacing w:before="206" w:after="0"/>
        <w:ind w:left="567" w:hanging="567"/>
        <w:jc w:val="both"/>
        <w:rPr>
          <w:rFonts w:ascii="Times New Roman" w:hAnsi="Times New Roman" w:cs="Times New Roman"/>
        </w:rPr>
      </w:pPr>
      <w:r>
        <w:rPr>
          <w:rFonts w:cs="Times New Roman" w:ascii="Times New Roman" w:hAnsi="Times New Roman"/>
        </w:rPr>
        <w:t>Ficha de mantenimiento de terceros, según modelo oficial.</w:t>
      </w:r>
    </w:p>
    <w:p>
      <w:pPr>
        <w:pStyle w:val="Cuerpodetexto"/>
        <w:spacing w:before="100" w:after="120"/>
        <w:jc w:val="both"/>
        <w:rPr/>
      </w:pPr>
      <w:r>
        <w:rPr/>
      </w:r>
    </w:p>
    <w:p>
      <w:pPr>
        <w:pStyle w:val="Ttulo1"/>
        <w:spacing w:before="1" w:after="0"/>
        <w:ind w:left="0" w:hanging="0"/>
        <w:jc w:val="both"/>
        <w:rPr>
          <w:rFonts w:ascii="Times New Roman" w:hAnsi="Times New Roman" w:cs="Times New Roman"/>
          <w:sz w:val="24"/>
          <w:szCs w:val="24"/>
          <w:u w:val="none"/>
        </w:rPr>
      </w:pPr>
      <w:r>
        <w:rPr>
          <w:rFonts w:cs="Times New Roman" w:ascii="Times New Roman" w:hAnsi="Times New Roman"/>
          <w:sz w:val="24"/>
          <w:szCs w:val="24"/>
          <w:u w:val="none"/>
        </w:rPr>
        <w:t xml:space="preserve">10.- </w:t>
      </w:r>
      <w:r>
        <w:rPr>
          <w:rFonts w:cs="Times New Roman" w:ascii="Times New Roman" w:hAnsi="Times New Roman"/>
          <w:sz w:val="24"/>
          <w:szCs w:val="24"/>
        </w:rPr>
        <w:t>Lugar y plazo de presentación de la solicitud.</w:t>
      </w:r>
    </w:p>
    <w:p>
      <w:pPr>
        <w:pStyle w:val="Cuerpodetexto"/>
        <w:spacing w:before="100" w:after="120"/>
        <w:jc w:val="both"/>
        <w:rPr/>
      </w:pPr>
      <w:r>
        <w:rPr/>
        <w:t>1.-</w:t>
      </w:r>
      <w:r>
        <w:rPr>
          <w:spacing w:val="-7"/>
        </w:rPr>
        <w:t xml:space="preserve"> </w:t>
      </w:r>
      <w:r>
        <w:rPr/>
        <w:t>Las</w:t>
      </w:r>
      <w:r>
        <w:rPr>
          <w:spacing w:val="-6"/>
        </w:rPr>
        <w:t xml:space="preserve"> </w:t>
      </w:r>
      <w:r>
        <w:rPr/>
        <w:t>solicitudes</w:t>
      </w:r>
      <w:r>
        <w:rPr>
          <w:spacing w:val="-6"/>
        </w:rPr>
        <w:t xml:space="preserve"> </w:t>
      </w:r>
      <w:r>
        <w:rPr/>
        <w:t>se</w:t>
      </w:r>
      <w:r>
        <w:rPr>
          <w:spacing w:val="-8"/>
        </w:rPr>
        <w:t xml:space="preserve"> </w:t>
      </w:r>
      <w:r>
        <w:rPr/>
        <w:t>presentarán</w:t>
      </w:r>
      <w:r>
        <w:rPr>
          <w:spacing w:val="-9"/>
        </w:rPr>
        <w:t xml:space="preserve"> </w:t>
      </w:r>
      <w:r>
        <w:rPr/>
        <w:t>en</w:t>
      </w:r>
      <w:r>
        <w:rPr>
          <w:spacing w:val="-7"/>
        </w:rPr>
        <w:t xml:space="preserve"> </w:t>
      </w:r>
      <w:r>
        <w:rPr/>
        <w:t>el</w:t>
      </w:r>
      <w:r>
        <w:rPr>
          <w:spacing w:val="-8"/>
        </w:rPr>
        <w:t xml:space="preserve"> </w:t>
      </w:r>
      <w:r>
        <w:rPr/>
        <w:t>Registro</w:t>
      </w:r>
      <w:r>
        <w:rPr>
          <w:spacing w:val="-6"/>
        </w:rPr>
        <w:t xml:space="preserve"> </w:t>
      </w:r>
      <w:r>
        <w:rPr/>
        <w:t>General</w:t>
      </w:r>
      <w:r>
        <w:rPr>
          <w:spacing w:val="-8"/>
        </w:rPr>
        <w:t xml:space="preserve"> </w:t>
      </w:r>
      <w:r>
        <w:rPr/>
        <w:t>del</w:t>
      </w:r>
      <w:r>
        <w:rPr>
          <w:spacing w:val="-4"/>
        </w:rPr>
        <w:t xml:space="preserve"> </w:t>
      </w:r>
      <w:r>
        <w:rPr/>
        <w:t>Ayuntamiento</w:t>
      </w:r>
      <w:r>
        <w:rPr>
          <w:spacing w:val="-6"/>
        </w:rPr>
        <w:t xml:space="preserve"> </w:t>
      </w:r>
      <w:r>
        <w:rPr/>
        <w:t>de</w:t>
      </w:r>
      <w:r>
        <w:rPr>
          <w:spacing w:val="-5"/>
        </w:rPr>
        <w:t xml:space="preserve"> Tales</w:t>
      </w:r>
      <w:r>
        <w:rPr>
          <w:spacing w:val="-7"/>
        </w:rPr>
        <w:t xml:space="preserve"> </w:t>
      </w:r>
      <w:r>
        <w:rPr/>
        <w:t>(dirección:</w:t>
      </w:r>
      <w:r>
        <w:rPr>
          <w:spacing w:val="-7"/>
        </w:rPr>
        <w:t xml:space="preserve"> C/ Constitución, </w:t>
      </w:r>
      <w:r>
        <w:rPr/>
        <w:t>1. C.P. 12221), dentro del horario de atención al público, o por cualquiera de las formas</w:t>
      </w:r>
      <w:r>
        <w:rPr>
          <w:spacing w:val="-44"/>
        </w:rPr>
        <w:t xml:space="preserve"> </w:t>
      </w:r>
      <w:r>
        <w:rPr/>
        <w:t>previstas en el art. 16.4 de la Ley 39/2015, de 1 de octubre, del Procedimiento Administrativo Común de las Administraciones</w:t>
      </w:r>
      <w:r>
        <w:rPr>
          <w:spacing w:val="-2"/>
        </w:rPr>
        <w:t xml:space="preserve"> </w:t>
      </w:r>
      <w:r>
        <w:rPr/>
        <w:t>Públicas.</w:t>
      </w:r>
    </w:p>
    <w:p>
      <w:pPr>
        <w:pStyle w:val="Cuerpodetexto"/>
        <w:spacing w:before="100" w:after="120"/>
        <w:jc w:val="both"/>
        <w:rPr/>
      </w:pPr>
      <w:r>
        <w:rPr/>
        <w:t>2.- La fecha límite de presentación de instancias para ser aplicadas a los créditos del actual ejercicio presupuestario será 30 días naturales a partir de la publicación de la presente convocatoria en el Boletín Oficial de la Provincia.</w:t>
      </w:r>
    </w:p>
    <w:p>
      <w:pPr>
        <w:pStyle w:val="Cuerpodetexto"/>
        <w:spacing w:before="100" w:after="120"/>
        <w:jc w:val="both"/>
        <w:rPr/>
      </w:pPr>
      <w:r>
        <w:rPr/>
        <w:t>Finalizado el plazo de la convocatoria general se podrá solicitar dicha ayuda hasta el mes de noviembre del ejercicio económico en curso, en las condiciones establecidas en estas bases y siempre y cuando exista consignación presupuestaria en el momento de la concesión.</w:t>
      </w:r>
    </w:p>
    <w:p>
      <w:pPr>
        <w:pStyle w:val="Cuerpodetexto"/>
        <w:jc w:val="both"/>
        <w:rPr/>
      </w:pPr>
      <w:r>
        <w:rPr/>
        <w:t>3.-</w:t>
      </w:r>
      <w:r>
        <w:rPr>
          <w:spacing w:val="-10"/>
        </w:rPr>
        <w:t xml:space="preserve"> </w:t>
      </w:r>
      <w:r>
        <w:rPr/>
        <w:t>Las</w:t>
      </w:r>
      <w:r>
        <w:rPr>
          <w:spacing w:val="-9"/>
        </w:rPr>
        <w:t xml:space="preserve"> </w:t>
      </w:r>
      <w:r>
        <w:rPr/>
        <w:t>solicitudes</w:t>
      </w:r>
      <w:r>
        <w:rPr>
          <w:spacing w:val="-10"/>
        </w:rPr>
        <w:t xml:space="preserve"> </w:t>
      </w:r>
      <w:r>
        <w:rPr/>
        <w:t>presentadas</w:t>
      </w:r>
      <w:r>
        <w:rPr>
          <w:spacing w:val="-9"/>
        </w:rPr>
        <w:t xml:space="preserve"> </w:t>
      </w:r>
      <w:r>
        <w:rPr/>
        <w:t>fuera</w:t>
      </w:r>
      <w:r>
        <w:rPr>
          <w:spacing w:val="-8"/>
        </w:rPr>
        <w:t xml:space="preserve"> </w:t>
      </w:r>
      <w:r>
        <w:rPr/>
        <w:t>del</w:t>
      </w:r>
      <w:r>
        <w:rPr>
          <w:spacing w:val="-8"/>
        </w:rPr>
        <w:t xml:space="preserve"> </w:t>
      </w:r>
      <w:r>
        <w:rPr/>
        <w:t>plazo</w:t>
      </w:r>
      <w:r>
        <w:rPr>
          <w:spacing w:val="-9"/>
        </w:rPr>
        <w:t xml:space="preserve"> </w:t>
      </w:r>
      <w:r>
        <w:rPr/>
        <w:t>fijado</w:t>
      </w:r>
      <w:r>
        <w:rPr>
          <w:spacing w:val="-8"/>
        </w:rPr>
        <w:t xml:space="preserve"> </w:t>
      </w:r>
      <w:r>
        <w:rPr/>
        <w:t>serán</w:t>
      </w:r>
      <w:r>
        <w:rPr>
          <w:spacing w:val="-10"/>
        </w:rPr>
        <w:t xml:space="preserve"> </w:t>
      </w:r>
      <w:r>
        <w:rPr/>
        <w:t>inadmitidas</w:t>
      </w:r>
      <w:r>
        <w:rPr>
          <w:spacing w:val="-9"/>
        </w:rPr>
        <w:t xml:space="preserve"> </w:t>
      </w:r>
      <w:r>
        <w:rPr/>
        <w:t>mediante</w:t>
      </w:r>
      <w:r>
        <w:rPr>
          <w:spacing w:val="-9"/>
        </w:rPr>
        <w:t xml:space="preserve"> </w:t>
      </w:r>
      <w:r>
        <w:rPr/>
        <w:t>resolución</w:t>
      </w:r>
      <w:r>
        <w:rPr>
          <w:spacing w:val="-9"/>
        </w:rPr>
        <w:t xml:space="preserve"> </w:t>
      </w:r>
      <w:r>
        <w:rPr/>
        <w:t>motivada</w:t>
      </w:r>
      <w:r>
        <w:rPr>
          <w:spacing w:val="-8"/>
        </w:rPr>
        <w:t xml:space="preserve"> </w:t>
      </w:r>
      <w:r>
        <w:rPr/>
        <w:t>que se notificará a los</w:t>
      </w:r>
      <w:r>
        <w:rPr>
          <w:spacing w:val="-1"/>
        </w:rPr>
        <w:t xml:space="preserve"> </w:t>
      </w:r>
      <w:r>
        <w:rPr/>
        <w:t>interesados.</w:t>
      </w:r>
    </w:p>
    <w:p>
      <w:pPr>
        <w:pStyle w:val="Ttulo1"/>
        <w:ind w:left="0" w:hanging="0"/>
        <w:rPr>
          <w:rFonts w:ascii="Times New Roman" w:hAnsi="Times New Roman" w:cs="Times New Roman"/>
          <w:sz w:val="24"/>
          <w:szCs w:val="24"/>
          <w:u w:val="none"/>
        </w:rPr>
      </w:pPr>
      <w:r>
        <w:rPr>
          <w:rFonts w:cs="Times New Roman" w:ascii="Times New Roman" w:hAnsi="Times New Roman"/>
          <w:sz w:val="24"/>
          <w:szCs w:val="24"/>
          <w:u w:val="none"/>
        </w:rPr>
        <w:t xml:space="preserve">11.- </w:t>
      </w:r>
      <w:r>
        <w:rPr>
          <w:rFonts w:cs="Times New Roman" w:ascii="Times New Roman" w:hAnsi="Times New Roman"/>
          <w:sz w:val="24"/>
          <w:szCs w:val="24"/>
        </w:rPr>
        <w:t>Procedimiento de concesión, tramitación y plazos.</w:t>
      </w:r>
    </w:p>
    <w:p>
      <w:pPr>
        <w:pStyle w:val="Cuerpodetexto"/>
        <w:spacing w:before="143" w:after="120"/>
        <w:jc w:val="both"/>
        <w:rPr/>
      </w:pPr>
      <w:r>
        <w:rPr/>
        <w:t>1.- La concesión se tramitará en régimen de concurrencia competitiva.</w:t>
      </w:r>
    </w:p>
    <w:p>
      <w:pPr>
        <w:pStyle w:val="Cuerpodetexto"/>
        <w:jc w:val="both"/>
        <w:rPr/>
      </w:pPr>
      <w:r>
        <w:rPr/>
        <w:t>2.- Los acuerdos de concesión tendrán en cuenta las solicitudes presentadas en cada mes natural y se tomarán una vez este haya vencido. Dicho acuerdo será notificado a los solicitantes.</w:t>
      </w:r>
    </w:p>
    <w:p>
      <w:pPr>
        <w:pStyle w:val="Cuerpodetexto"/>
        <w:jc w:val="both"/>
        <w:rPr/>
      </w:pPr>
      <w:r>
        <w:rPr/>
        <w:t>Completada la documentación, una vez expirado el plazo otorgado al efecto, se comprobarán los datos y previo</w:t>
      </w:r>
      <w:r>
        <w:rPr>
          <w:spacing w:val="-13"/>
        </w:rPr>
        <w:t xml:space="preserve"> </w:t>
      </w:r>
      <w:r>
        <w:rPr/>
        <w:t>informe</w:t>
      </w:r>
      <w:r>
        <w:rPr>
          <w:spacing w:val="-9"/>
        </w:rPr>
        <w:t xml:space="preserve"> </w:t>
      </w:r>
      <w:r>
        <w:rPr/>
        <w:t>de</w:t>
      </w:r>
      <w:r>
        <w:rPr>
          <w:spacing w:val="-12"/>
        </w:rPr>
        <w:t xml:space="preserve"> </w:t>
      </w:r>
      <w:r>
        <w:rPr/>
        <w:t>Intervención,</w:t>
      </w:r>
      <w:r>
        <w:rPr>
          <w:spacing w:val="-8"/>
        </w:rPr>
        <w:t xml:space="preserve"> </w:t>
      </w:r>
      <w:r>
        <w:rPr/>
        <w:t>se</w:t>
      </w:r>
      <w:r>
        <w:rPr>
          <w:spacing w:val="-12"/>
        </w:rPr>
        <w:t xml:space="preserve"> </w:t>
      </w:r>
      <w:r>
        <w:rPr/>
        <w:t>elevará</w:t>
      </w:r>
      <w:r>
        <w:rPr>
          <w:spacing w:val="-12"/>
        </w:rPr>
        <w:t xml:space="preserve"> </w:t>
      </w:r>
      <w:r>
        <w:rPr/>
        <w:t>propuesta</w:t>
      </w:r>
      <w:r>
        <w:rPr>
          <w:spacing w:val="-11"/>
        </w:rPr>
        <w:t xml:space="preserve"> </w:t>
      </w:r>
      <w:r>
        <w:rPr/>
        <w:t>a</w:t>
      </w:r>
      <w:r>
        <w:rPr>
          <w:spacing w:val="-9"/>
        </w:rPr>
        <w:t xml:space="preserve"> </w:t>
      </w:r>
      <w:r>
        <w:rPr/>
        <w:t>la</w:t>
      </w:r>
      <w:r>
        <w:rPr>
          <w:spacing w:val="-12"/>
        </w:rPr>
        <w:t xml:space="preserve"> Alcaldía </w:t>
      </w:r>
      <w:r>
        <w:rPr/>
        <w:t>que</w:t>
      </w:r>
      <w:r>
        <w:rPr>
          <w:spacing w:val="-12"/>
        </w:rPr>
        <w:t xml:space="preserve"> </w:t>
      </w:r>
      <w:r>
        <w:rPr/>
        <w:t>acordará</w:t>
      </w:r>
      <w:r>
        <w:rPr>
          <w:spacing w:val="-11"/>
        </w:rPr>
        <w:t xml:space="preserve"> </w:t>
      </w:r>
      <w:r>
        <w:rPr/>
        <w:t>lo</w:t>
      </w:r>
      <w:r>
        <w:rPr>
          <w:spacing w:val="-13"/>
        </w:rPr>
        <w:t xml:space="preserve"> </w:t>
      </w:r>
      <w:r>
        <w:rPr/>
        <w:t>que</w:t>
      </w:r>
      <w:r>
        <w:rPr>
          <w:spacing w:val="-10"/>
        </w:rPr>
        <w:t xml:space="preserve"> </w:t>
      </w:r>
      <w:r>
        <w:rPr/>
        <w:t>proceda.</w:t>
      </w:r>
    </w:p>
    <w:p>
      <w:pPr>
        <w:pStyle w:val="Cuerpodetexto"/>
        <w:jc w:val="both"/>
        <w:rPr/>
      </w:pPr>
      <w:r>
        <w:rPr/>
        <w:t>Si las solicitudes no reuniesen los requisitos exigidos o no fueran acompañadas de la documentación necesaria se requerirá al interesado para que en el plazo improrrogable de 10 días hábiles subsane los defectos observados, previniéndole que de no hacerlo así se le tendrá por desistido de su petición, archivándose ésta previa resolución que así lo declare en los términos previstos en el art. 21.1 de la Ley 39/2015, de 1 de octubre, de Procedimiento Administrativo Común de las Administraciones Públicas.</w:t>
      </w:r>
    </w:p>
    <w:p>
      <w:pPr>
        <w:pStyle w:val="Cuerpodetexto"/>
        <w:jc w:val="both"/>
        <w:rPr/>
      </w:pPr>
      <w:r>
        <w:rPr/>
        <w:t>3.- La instrucción del procedimiento corresponderá a la Alcaldía.</w:t>
      </w:r>
    </w:p>
    <w:p>
      <w:pPr>
        <w:pStyle w:val="Cuerpodetexto"/>
        <w:jc w:val="both"/>
        <w:rPr/>
      </w:pPr>
      <w:r>
        <w:rPr/>
        <w:t>4.-</w:t>
      </w:r>
      <w:r>
        <w:rPr>
          <w:spacing w:val="-47"/>
        </w:rPr>
        <w:t xml:space="preserve"> </w:t>
      </w:r>
      <w:r>
        <w:rPr/>
        <w:t>El órgano colegiado competente para la valoración de las solicitudes será la Comisión de Valoración que examinará y valorará las solicitudes y la documentación presentada, y formulará la propuesta de concesión a través del órgano instructor, estando compuesta</w:t>
      </w:r>
      <w:r>
        <w:rPr>
          <w:spacing w:val="-8"/>
        </w:rPr>
        <w:t xml:space="preserve"> </w:t>
      </w:r>
      <w:r>
        <w:rPr/>
        <w:t>por dos personas funcionarias del ayuntamiento y una trabajadora social de los servicios sociales generales de la Mancomunidad Espadán-Mijares.</w:t>
      </w:r>
    </w:p>
    <w:p>
      <w:pPr>
        <w:pStyle w:val="Cuerpodetexto"/>
        <w:jc w:val="both"/>
        <w:rPr/>
      </w:pPr>
      <w:r>
        <w:rPr/>
        <w:t>5.-</w:t>
      </w:r>
      <w:r>
        <w:rPr>
          <w:spacing w:val="-13"/>
        </w:rPr>
        <w:t xml:space="preserve"> </w:t>
      </w:r>
      <w:r>
        <w:rPr/>
        <w:t>Será</w:t>
      </w:r>
      <w:r>
        <w:rPr>
          <w:spacing w:val="-12"/>
        </w:rPr>
        <w:t xml:space="preserve"> </w:t>
      </w:r>
      <w:r>
        <w:rPr/>
        <w:t>preceptivo</w:t>
      </w:r>
      <w:r>
        <w:rPr>
          <w:spacing w:val="-13"/>
        </w:rPr>
        <w:t xml:space="preserve"> </w:t>
      </w:r>
      <w:r>
        <w:rPr/>
        <w:t>informe</w:t>
      </w:r>
      <w:r>
        <w:rPr>
          <w:spacing w:val="-10"/>
        </w:rPr>
        <w:t xml:space="preserve"> de intervención </w:t>
      </w:r>
      <w:r>
        <w:rPr/>
        <w:t>sobre</w:t>
      </w:r>
      <w:r>
        <w:rPr>
          <w:spacing w:val="-11"/>
        </w:rPr>
        <w:t xml:space="preserve"> </w:t>
      </w:r>
      <w:r>
        <w:rPr/>
        <w:t>la</w:t>
      </w:r>
      <w:r>
        <w:rPr>
          <w:spacing w:val="-12"/>
        </w:rPr>
        <w:t xml:space="preserve"> </w:t>
      </w:r>
      <w:r>
        <w:rPr/>
        <w:t>existencia</w:t>
      </w:r>
      <w:r>
        <w:rPr>
          <w:spacing w:val="-12"/>
        </w:rPr>
        <w:t xml:space="preserve"> </w:t>
      </w:r>
      <w:r>
        <w:rPr/>
        <w:t>de</w:t>
      </w:r>
      <w:r>
        <w:rPr>
          <w:spacing w:val="-10"/>
        </w:rPr>
        <w:t xml:space="preserve"> </w:t>
      </w:r>
      <w:r>
        <w:rPr/>
        <w:t>crédito</w:t>
      </w:r>
      <w:r>
        <w:rPr>
          <w:spacing w:val="-12"/>
        </w:rPr>
        <w:t xml:space="preserve"> </w:t>
      </w:r>
      <w:r>
        <w:rPr/>
        <w:t>disponible,</w:t>
      </w:r>
      <w:r>
        <w:rPr>
          <w:spacing w:val="-13"/>
        </w:rPr>
        <w:t xml:space="preserve"> </w:t>
      </w:r>
      <w:r>
        <w:rPr/>
        <w:t>suficiente y adecuado, así como la fiscalización previa del</w:t>
      </w:r>
      <w:r>
        <w:rPr>
          <w:spacing w:val="-4"/>
        </w:rPr>
        <w:t xml:space="preserve"> </w:t>
      </w:r>
      <w:r>
        <w:rPr/>
        <w:t>gasto.</w:t>
      </w:r>
    </w:p>
    <w:p>
      <w:pPr>
        <w:pStyle w:val="Cuerpodetexto"/>
        <w:jc w:val="both"/>
        <w:rPr/>
      </w:pPr>
      <w:r>
        <w:rPr/>
        <w:t>6.-</w:t>
      </w:r>
      <w:r>
        <w:rPr>
          <w:spacing w:val="-11"/>
        </w:rPr>
        <w:t xml:space="preserve"> </w:t>
      </w:r>
      <w:r>
        <w:rPr/>
        <w:t>La</w:t>
      </w:r>
      <w:r>
        <w:rPr>
          <w:spacing w:val="-12"/>
        </w:rPr>
        <w:t xml:space="preserve"> </w:t>
      </w:r>
      <w:r>
        <w:rPr/>
        <w:t>resolución,</w:t>
      </w:r>
      <w:r>
        <w:rPr>
          <w:spacing w:val="-13"/>
        </w:rPr>
        <w:t xml:space="preserve"> </w:t>
      </w:r>
      <w:r>
        <w:rPr/>
        <w:t>que</w:t>
      </w:r>
      <w:r>
        <w:rPr>
          <w:spacing w:val="-10"/>
        </w:rPr>
        <w:t xml:space="preserve"> </w:t>
      </w:r>
      <w:r>
        <w:rPr/>
        <w:t>corresponderá</w:t>
      </w:r>
      <w:r>
        <w:rPr>
          <w:spacing w:val="-12"/>
        </w:rPr>
        <w:t xml:space="preserve"> </w:t>
      </w:r>
      <w:r>
        <w:rPr/>
        <w:t>a</w:t>
      </w:r>
      <w:r>
        <w:rPr>
          <w:spacing w:val="-12"/>
        </w:rPr>
        <w:t xml:space="preserve"> </w:t>
      </w:r>
      <w:r>
        <w:rPr/>
        <w:t>la</w:t>
      </w:r>
      <w:r>
        <w:rPr>
          <w:spacing w:val="-12"/>
        </w:rPr>
        <w:t xml:space="preserve"> Alcaldía</w:t>
      </w:r>
      <w:r>
        <w:rPr/>
        <w:t>,</w:t>
      </w:r>
      <w:r>
        <w:rPr>
          <w:spacing w:val="-13"/>
        </w:rPr>
        <w:t xml:space="preserve"> </w:t>
      </w:r>
      <w:r>
        <w:rPr/>
        <w:t>deberá</w:t>
      </w:r>
      <w:r>
        <w:rPr>
          <w:spacing w:val="-12"/>
        </w:rPr>
        <w:t xml:space="preserve"> </w:t>
      </w:r>
      <w:r>
        <w:rPr/>
        <w:t>ser</w:t>
      </w:r>
      <w:r>
        <w:rPr>
          <w:spacing w:val="-13"/>
        </w:rPr>
        <w:t xml:space="preserve"> </w:t>
      </w:r>
      <w:r>
        <w:rPr/>
        <w:t>motivada</w:t>
      </w:r>
      <w:r>
        <w:rPr>
          <w:spacing w:val="-12"/>
        </w:rPr>
        <w:t xml:space="preserve"> </w:t>
      </w:r>
      <w:r>
        <w:rPr/>
        <w:t>y</w:t>
      </w:r>
      <w:r>
        <w:rPr>
          <w:spacing w:val="-13"/>
        </w:rPr>
        <w:t xml:space="preserve"> </w:t>
      </w:r>
      <w:r>
        <w:rPr/>
        <w:t>deberá</w:t>
      </w:r>
      <w:r>
        <w:rPr>
          <w:spacing w:val="-12"/>
        </w:rPr>
        <w:t xml:space="preserve"> </w:t>
      </w:r>
      <w:r>
        <w:rPr/>
        <w:t>contener la relación de beneficiarios a los que se concede la subvención, especificando la cuantía, y la desestimación, en su caso, del resto de</w:t>
      </w:r>
      <w:r>
        <w:rPr>
          <w:spacing w:val="-4"/>
        </w:rPr>
        <w:t xml:space="preserve"> </w:t>
      </w:r>
      <w:r>
        <w:rPr/>
        <w:t>solicitudes.</w:t>
      </w:r>
    </w:p>
    <w:p>
      <w:pPr>
        <w:pStyle w:val="Cuerpodetexto"/>
        <w:jc w:val="both"/>
        <w:rPr/>
      </w:pPr>
      <w:r>
        <w:rPr/>
        <w:t>7.-</w:t>
      </w:r>
      <w:r>
        <w:rPr>
          <w:spacing w:val="-6"/>
        </w:rPr>
        <w:t xml:space="preserve"> </w:t>
      </w:r>
      <w:r>
        <w:rPr/>
        <w:t>La</w:t>
      </w:r>
      <w:r>
        <w:rPr>
          <w:spacing w:val="-7"/>
        </w:rPr>
        <w:t xml:space="preserve"> </w:t>
      </w:r>
      <w:r>
        <w:rPr/>
        <w:t>resolución</w:t>
      </w:r>
      <w:r>
        <w:rPr>
          <w:spacing w:val="-6"/>
        </w:rPr>
        <w:t xml:space="preserve"> </w:t>
      </w:r>
      <w:r>
        <w:rPr/>
        <w:t>del</w:t>
      </w:r>
      <w:r>
        <w:rPr>
          <w:spacing w:val="-7"/>
        </w:rPr>
        <w:t xml:space="preserve"> </w:t>
      </w:r>
      <w:r>
        <w:rPr/>
        <w:t>procedimiento</w:t>
      </w:r>
      <w:r>
        <w:rPr>
          <w:spacing w:val="-8"/>
        </w:rPr>
        <w:t xml:space="preserve"> </w:t>
      </w:r>
      <w:r>
        <w:rPr/>
        <w:t>se</w:t>
      </w:r>
      <w:r>
        <w:rPr>
          <w:spacing w:val="-4"/>
        </w:rPr>
        <w:t xml:space="preserve"> </w:t>
      </w:r>
      <w:r>
        <w:rPr/>
        <w:t>notificará</w:t>
      </w:r>
      <w:r>
        <w:rPr>
          <w:spacing w:val="-6"/>
        </w:rPr>
        <w:t xml:space="preserve"> </w:t>
      </w:r>
      <w:r>
        <w:rPr/>
        <w:t>a</w:t>
      </w:r>
      <w:r>
        <w:rPr>
          <w:spacing w:val="-7"/>
        </w:rPr>
        <w:t xml:space="preserve"> </w:t>
      </w:r>
      <w:r>
        <w:rPr/>
        <w:t>los</w:t>
      </w:r>
      <w:r>
        <w:rPr>
          <w:spacing w:val="-8"/>
        </w:rPr>
        <w:t xml:space="preserve"> </w:t>
      </w:r>
      <w:r>
        <w:rPr/>
        <w:t>interesados</w:t>
      </w:r>
      <w:r>
        <w:rPr>
          <w:spacing w:val="-7"/>
        </w:rPr>
        <w:t xml:space="preserve"> </w:t>
      </w:r>
      <w:r>
        <w:rPr/>
        <w:t>en</w:t>
      </w:r>
      <w:r>
        <w:rPr>
          <w:spacing w:val="-6"/>
        </w:rPr>
        <w:t xml:space="preserve"> </w:t>
      </w:r>
      <w:r>
        <w:rPr/>
        <w:t>la</w:t>
      </w:r>
      <w:r>
        <w:rPr>
          <w:spacing w:val="-4"/>
        </w:rPr>
        <w:t xml:space="preserve"> </w:t>
      </w:r>
      <w:r>
        <w:rPr/>
        <w:t>forma</w:t>
      </w:r>
      <w:r>
        <w:rPr>
          <w:spacing w:val="-7"/>
        </w:rPr>
        <w:t xml:space="preserve"> </w:t>
      </w:r>
      <w:r>
        <w:rPr/>
        <w:t>prevista</w:t>
      </w:r>
      <w:r>
        <w:rPr>
          <w:spacing w:val="-7"/>
        </w:rPr>
        <w:t xml:space="preserve"> </w:t>
      </w:r>
      <w:r>
        <w:rPr/>
        <w:t>en</w:t>
      </w:r>
      <w:r>
        <w:rPr>
          <w:spacing w:val="-6"/>
        </w:rPr>
        <w:t xml:space="preserve"> </w:t>
      </w:r>
      <w:r>
        <w:rPr/>
        <w:t>la</w:t>
      </w:r>
      <w:r>
        <w:rPr>
          <w:spacing w:val="-7"/>
        </w:rPr>
        <w:t xml:space="preserve"> </w:t>
      </w:r>
      <w:r>
        <w:rPr/>
        <w:t>Ley</w:t>
      </w:r>
      <w:r>
        <w:rPr>
          <w:spacing w:val="-6"/>
        </w:rPr>
        <w:t xml:space="preserve"> </w:t>
      </w:r>
      <w:r>
        <w:rPr/>
        <w:t>39/2015, de 1 de octubre.</w:t>
      </w:r>
    </w:p>
    <w:p>
      <w:pPr>
        <w:pStyle w:val="Cuerpodetexto"/>
        <w:jc w:val="both"/>
        <w:rPr/>
      </w:pPr>
      <w:r>
        <w:rPr/>
        <w:t>8.- La resolución adoptada pone fin a la vía administrativa y contra la misma podrá interponerse recurso potestativo de reposición en el plazo de un mes a contar desde el día siguiente a su notificación ante el Ayuntamiento de Tales, o directamente recurso contencioso-administrativo ante el Juzgado de lo Contencioso-Administrativo de Castellón en el plazo de dos meses a contar desde el día siguiente al de su notificación.</w:t>
      </w:r>
    </w:p>
    <w:p>
      <w:pPr>
        <w:pStyle w:val="Ttulo1"/>
        <w:ind w:left="0" w:hanging="0"/>
        <w:rPr>
          <w:rFonts w:ascii="Times New Roman" w:hAnsi="Times New Roman" w:cs="Times New Roman"/>
          <w:sz w:val="24"/>
          <w:szCs w:val="24"/>
        </w:rPr>
      </w:pPr>
      <w:r>
        <w:rPr>
          <w:rFonts w:cs="Times New Roman" w:ascii="Times New Roman" w:hAnsi="Times New Roman"/>
          <w:sz w:val="24"/>
          <w:szCs w:val="24"/>
          <w:u w:val="none"/>
        </w:rPr>
        <w:t xml:space="preserve">12.- </w:t>
      </w:r>
      <w:r>
        <w:rPr>
          <w:rFonts w:cs="Times New Roman" w:ascii="Times New Roman" w:hAnsi="Times New Roman"/>
          <w:sz w:val="24"/>
          <w:szCs w:val="24"/>
        </w:rPr>
        <w:t>Obligaciones de los beneficiarios.</w:t>
      </w:r>
    </w:p>
    <w:p>
      <w:pPr>
        <w:pStyle w:val="Cuerpodetexto"/>
        <w:spacing w:before="100" w:after="120"/>
        <w:jc w:val="both"/>
        <w:rPr/>
      </w:pPr>
      <w:r>
        <w:rPr/>
        <w:t>Los beneficiarios de estas ayudas están obligados a comunicar cualquier cambio que se produzca en las circunstancias que dieron lugar al reconocimiento de la prestación, así como cumplir y acreditar el fin o propósito que fundamenta la concesión de la subvención o ayuda.</w:t>
      </w:r>
    </w:p>
    <w:p>
      <w:pPr>
        <w:pStyle w:val="Cuerpodetexto"/>
        <w:jc w:val="both"/>
        <w:rPr/>
      </w:pPr>
      <w:r>
        <w:rPr/>
        <w:t>Si</w:t>
      </w:r>
      <w:r>
        <w:rPr>
          <w:spacing w:val="-7"/>
        </w:rPr>
        <w:t xml:space="preserve"> </w:t>
      </w:r>
      <w:r>
        <w:rPr/>
        <w:t>los</w:t>
      </w:r>
      <w:r>
        <w:rPr>
          <w:spacing w:val="-6"/>
        </w:rPr>
        <w:t xml:space="preserve"> </w:t>
      </w:r>
      <w:r>
        <w:rPr/>
        <w:t>beneficiarios</w:t>
      </w:r>
      <w:r>
        <w:rPr>
          <w:spacing w:val="-6"/>
        </w:rPr>
        <w:t xml:space="preserve"> causan baja en el Padrón Municipal, </w:t>
      </w:r>
      <w:r>
        <w:rPr/>
        <w:t>perderán</w:t>
      </w:r>
      <w:r>
        <w:rPr>
          <w:spacing w:val="-14"/>
        </w:rPr>
        <w:t xml:space="preserve"> </w:t>
      </w:r>
      <w:r>
        <w:rPr/>
        <w:t>la</w:t>
      </w:r>
      <w:r>
        <w:rPr>
          <w:spacing w:val="-13"/>
        </w:rPr>
        <w:t xml:space="preserve"> </w:t>
      </w:r>
      <w:r>
        <w:rPr/>
        <w:t>condición</w:t>
      </w:r>
      <w:r>
        <w:rPr>
          <w:spacing w:val="-14"/>
        </w:rPr>
        <w:t xml:space="preserve"> </w:t>
      </w:r>
      <w:r>
        <w:rPr/>
        <w:t>de</w:t>
      </w:r>
      <w:r>
        <w:rPr>
          <w:spacing w:val="-13"/>
        </w:rPr>
        <w:t xml:space="preserve"> </w:t>
      </w:r>
      <w:r>
        <w:rPr/>
        <w:t>beneficiarios, debiendo reintegran las cantidades</w:t>
      </w:r>
      <w:r>
        <w:rPr>
          <w:spacing w:val="-8"/>
        </w:rPr>
        <w:t xml:space="preserve"> </w:t>
      </w:r>
      <w:r>
        <w:rPr/>
        <w:t>percibidas.</w:t>
      </w:r>
    </w:p>
    <w:p>
      <w:pPr>
        <w:pStyle w:val="Cuerpodetexto"/>
        <w:jc w:val="both"/>
        <w:rPr>
          <w:spacing w:val="-11"/>
        </w:rPr>
      </w:pPr>
      <w:r>
        <w:rPr/>
        <w:t>Igualmente</w:t>
      </w:r>
      <w:r>
        <w:rPr>
          <w:spacing w:val="-10"/>
        </w:rPr>
        <w:t xml:space="preserve"> </w:t>
      </w:r>
      <w:r>
        <w:rPr/>
        <w:t>perderán</w:t>
      </w:r>
      <w:r>
        <w:rPr>
          <w:spacing w:val="-11"/>
        </w:rPr>
        <w:t xml:space="preserve"> </w:t>
      </w:r>
      <w:r>
        <w:rPr/>
        <w:t>la</w:t>
      </w:r>
      <w:r>
        <w:rPr>
          <w:spacing w:val="-9"/>
        </w:rPr>
        <w:t xml:space="preserve"> </w:t>
      </w:r>
      <w:r>
        <w:rPr/>
        <w:t>condición</w:t>
      </w:r>
      <w:r>
        <w:rPr>
          <w:spacing w:val="-12"/>
        </w:rPr>
        <w:t xml:space="preserve"> </w:t>
      </w:r>
      <w:r>
        <w:rPr/>
        <w:t>de</w:t>
      </w:r>
      <w:r>
        <w:rPr>
          <w:spacing w:val="-9"/>
        </w:rPr>
        <w:t xml:space="preserve"> </w:t>
      </w:r>
      <w:r>
        <w:rPr/>
        <w:t>beneficiarios</w:t>
      </w:r>
      <w:r>
        <w:rPr>
          <w:spacing w:val="-10"/>
        </w:rPr>
        <w:t xml:space="preserve"> </w:t>
      </w:r>
      <w:r>
        <w:rPr/>
        <w:t>de</w:t>
      </w:r>
      <w:r>
        <w:rPr>
          <w:spacing w:val="-10"/>
        </w:rPr>
        <w:t xml:space="preserve"> </w:t>
      </w:r>
      <w:r>
        <w:rPr/>
        <w:t>las</w:t>
      </w:r>
      <w:r>
        <w:rPr>
          <w:spacing w:val="-10"/>
        </w:rPr>
        <w:t xml:space="preserve"> </w:t>
      </w:r>
      <w:r>
        <w:rPr/>
        <w:t>ayudas</w:t>
      </w:r>
      <w:r>
        <w:rPr>
          <w:spacing w:val="-10"/>
        </w:rPr>
        <w:t xml:space="preserve"> </w:t>
      </w:r>
      <w:r>
        <w:rPr/>
        <w:t>y</w:t>
      </w:r>
      <w:r>
        <w:rPr>
          <w:spacing w:val="-12"/>
        </w:rPr>
        <w:t xml:space="preserve"> </w:t>
      </w:r>
      <w:r>
        <w:rPr/>
        <w:t>vendrán</w:t>
      </w:r>
      <w:r>
        <w:rPr>
          <w:spacing w:val="-11"/>
        </w:rPr>
        <w:t xml:space="preserve"> </w:t>
      </w:r>
      <w:r>
        <w:rPr/>
        <w:t>obligados</w:t>
      </w:r>
      <w:r>
        <w:rPr>
          <w:spacing w:val="-10"/>
        </w:rPr>
        <w:t xml:space="preserve"> </w:t>
      </w:r>
      <w:r>
        <w:rPr/>
        <w:t>a</w:t>
      </w:r>
      <w:r>
        <w:rPr>
          <w:spacing w:val="-10"/>
        </w:rPr>
        <w:t xml:space="preserve"> </w:t>
      </w:r>
      <w:r>
        <w:rPr/>
        <w:t>su</w:t>
      </w:r>
      <w:r>
        <w:rPr>
          <w:spacing w:val="-11"/>
        </w:rPr>
        <w:t xml:space="preserve"> </w:t>
      </w:r>
      <w:r>
        <w:rPr/>
        <w:t>reintegro</w:t>
      </w:r>
      <w:r>
        <w:rPr>
          <w:spacing w:val="-9"/>
        </w:rPr>
        <w:t xml:space="preserve"> </w:t>
      </w:r>
      <w:r>
        <w:rPr>
          <w:spacing w:val="-11"/>
        </w:rPr>
        <w:t>con la perdida de los requisitos que justifican la conc</w:t>
      </w:r>
      <w:bookmarkStart w:id="0" w:name="_GoBack"/>
      <w:bookmarkEnd w:id="0"/>
      <w:r>
        <w:rPr>
          <w:spacing w:val="-11"/>
        </w:rPr>
        <w:t>esión.</w:t>
      </w:r>
    </w:p>
    <w:p>
      <w:pPr>
        <w:pStyle w:val="Ttulo1"/>
        <w:spacing w:before="1" w:after="0"/>
        <w:ind w:left="0" w:hanging="0"/>
        <w:jc w:val="both"/>
        <w:rPr>
          <w:rFonts w:ascii="Times New Roman" w:hAnsi="Times New Roman" w:cs="Times New Roman"/>
          <w:sz w:val="24"/>
          <w:szCs w:val="24"/>
          <w:u w:val="none"/>
        </w:rPr>
      </w:pPr>
      <w:r>
        <w:rPr>
          <w:rFonts w:cs="Times New Roman" w:ascii="Times New Roman" w:hAnsi="Times New Roman"/>
          <w:sz w:val="24"/>
          <w:szCs w:val="24"/>
          <w:u w:val="none"/>
        </w:rPr>
        <w:t xml:space="preserve">13.- </w:t>
      </w:r>
      <w:r>
        <w:rPr>
          <w:rFonts w:cs="Times New Roman" w:ascii="Times New Roman" w:hAnsi="Times New Roman"/>
          <w:sz w:val="24"/>
          <w:szCs w:val="24"/>
        </w:rPr>
        <w:t>Inspección y control.</w:t>
      </w:r>
    </w:p>
    <w:p>
      <w:pPr>
        <w:pStyle w:val="Cuerpodetexto"/>
        <w:spacing w:before="99" w:after="120"/>
        <w:jc w:val="both"/>
        <w:rPr/>
      </w:pPr>
      <w:r>
        <w:rPr/>
        <w:t>1.- El Ayuntamiento de Tales ejercerá la inspección y el control de las ayudas reguladas en estas bases, pudiendo solicitar cualquier documento o justificante que considere necesario para su tramitación y para verificar el cumplimiento de los requisitos para su obtención.</w:t>
      </w:r>
    </w:p>
    <w:p>
      <w:pPr>
        <w:pStyle w:val="Cuerpodetexto"/>
        <w:jc w:val="both"/>
        <w:rPr/>
      </w:pPr>
      <w:r>
        <w:rPr/>
        <w:t xml:space="preserve">2.- Si como consecuencia de dicha inspección se pusiere de manifiesto que se ha obtenido la prestación sin reunir las condiciones requeridas para ello o se ha incumplido las obligaciones establecidas en </w:t>
      </w:r>
      <w:r>
        <w:rPr>
          <w:spacing w:val="2"/>
        </w:rPr>
        <w:t xml:space="preserve">estas </w:t>
      </w:r>
      <w:r>
        <w:rPr/>
        <w:t>bases</w:t>
      </w:r>
      <w:r>
        <w:rPr>
          <w:spacing w:val="-16"/>
        </w:rPr>
        <w:t xml:space="preserve"> </w:t>
      </w:r>
      <w:r>
        <w:rPr/>
        <w:t>o</w:t>
      </w:r>
      <w:r>
        <w:rPr>
          <w:spacing w:val="-16"/>
        </w:rPr>
        <w:t xml:space="preserve"> </w:t>
      </w:r>
      <w:r>
        <w:rPr/>
        <w:t>en</w:t>
      </w:r>
      <w:r>
        <w:rPr>
          <w:spacing w:val="-16"/>
        </w:rPr>
        <w:t xml:space="preserve"> </w:t>
      </w:r>
      <w:r>
        <w:rPr/>
        <w:t>la</w:t>
      </w:r>
      <w:r>
        <w:rPr>
          <w:spacing w:val="-15"/>
        </w:rPr>
        <w:t xml:space="preserve"> </w:t>
      </w:r>
      <w:r>
        <w:rPr/>
        <w:t>Ordenanza</w:t>
      </w:r>
      <w:r>
        <w:rPr>
          <w:spacing w:val="-14"/>
        </w:rPr>
        <w:t xml:space="preserve"> </w:t>
      </w:r>
      <w:r>
        <w:rPr/>
        <w:t>General</w:t>
      </w:r>
      <w:r>
        <w:rPr>
          <w:spacing w:val="-15"/>
        </w:rPr>
        <w:t xml:space="preserve"> </w:t>
      </w:r>
      <w:r>
        <w:rPr/>
        <w:t>de</w:t>
      </w:r>
      <w:r>
        <w:rPr>
          <w:spacing w:val="-15"/>
        </w:rPr>
        <w:t xml:space="preserve"> </w:t>
      </w:r>
      <w:r>
        <w:rPr/>
        <w:t>Subvenciones</w:t>
      </w:r>
      <w:r>
        <w:rPr>
          <w:spacing w:val="-16"/>
        </w:rPr>
        <w:t xml:space="preserve"> </w:t>
      </w:r>
      <w:r>
        <w:rPr/>
        <w:t>del</w:t>
      </w:r>
      <w:r>
        <w:rPr>
          <w:spacing w:val="-15"/>
        </w:rPr>
        <w:t xml:space="preserve"> </w:t>
      </w:r>
      <w:r>
        <w:rPr/>
        <w:t>Ayuntamiento</w:t>
      </w:r>
      <w:r>
        <w:rPr>
          <w:spacing w:val="-16"/>
        </w:rPr>
        <w:t xml:space="preserve"> </w:t>
      </w:r>
      <w:r>
        <w:rPr/>
        <w:t>de</w:t>
      </w:r>
      <w:r>
        <w:rPr>
          <w:spacing w:val="-15"/>
        </w:rPr>
        <w:t xml:space="preserve"> Tales</w:t>
      </w:r>
      <w:r>
        <w:rPr/>
        <w:t>,</w:t>
      </w:r>
      <w:r>
        <w:rPr>
          <w:spacing w:val="-15"/>
        </w:rPr>
        <w:t xml:space="preserve"> </w:t>
      </w:r>
      <w:r>
        <w:rPr/>
        <w:t>se</w:t>
      </w:r>
      <w:r>
        <w:rPr>
          <w:spacing w:val="-15"/>
        </w:rPr>
        <w:t xml:space="preserve"> </w:t>
      </w:r>
      <w:r>
        <w:rPr/>
        <w:t>procederá</w:t>
      </w:r>
      <w:r>
        <w:rPr>
          <w:spacing w:val="-14"/>
        </w:rPr>
        <w:t xml:space="preserve"> </w:t>
      </w:r>
      <w:r>
        <w:rPr/>
        <w:t>a</w:t>
      </w:r>
      <w:r>
        <w:rPr>
          <w:spacing w:val="-15"/>
        </w:rPr>
        <w:t xml:space="preserve"> </w:t>
      </w:r>
      <w:r>
        <w:rPr/>
        <w:t>acordar la cancelación y, en su caso, el reintegro de las cantidades indebidamente percibidas con el correspondiente interés de demora desde el momento del pago de</w:t>
      </w:r>
      <w:r>
        <w:rPr>
          <w:spacing w:val="-1"/>
        </w:rPr>
        <w:t xml:space="preserve"> </w:t>
      </w:r>
      <w:r>
        <w:rPr/>
        <w:t>subvención.</w:t>
      </w:r>
    </w:p>
    <w:p>
      <w:pPr>
        <w:pStyle w:val="Cuerpodetexto"/>
        <w:jc w:val="both"/>
        <w:rPr/>
      </w:pPr>
      <w:r>
        <w:rPr/>
        <w:t>3.- El reintegro que en su caso proceda se realizará de acuerdo con lo establecido en la Ordenanza General de Subvenciones del Ayuntamiento de Tales y en la Ley 38/2003, de 17 de noviembre, General de Subvenciones.</w:t>
      </w:r>
    </w:p>
    <w:p>
      <w:pPr>
        <w:pStyle w:val="Cuerpodetexto"/>
        <w:jc w:val="both"/>
        <w:rPr/>
      </w:pPr>
      <w:r>
        <w:rPr/>
        <w:t>4.- Las cantidades a reintegrar tendrán la consideración de ingresos de derecho público.</w:t>
      </w:r>
    </w:p>
    <w:p>
      <w:pPr>
        <w:pStyle w:val="Ttulo1"/>
        <w:ind w:left="0" w:hanging="0"/>
        <w:rPr>
          <w:rFonts w:ascii="Times New Roman" w:hAnsi="Times New Roman" w:cs="Times New Roman"/>
          <w:sz w:val="24"/>
          <w:szCs w:val="24"/>
          <w:u w:val="none"/>
        </w:rPr>
      </w:pPr>
      <w:r>
        <w:rPr>
          <w:rFonts w:cs="Times New Roman" w:ascii="Times New Roman" w:hAnsi="Times New Roman"/>
          <w:sz w:val="24"/>
          <w:szCs w:val="24"/>
          <w:u w:val="none"/>
        </w:rPr>
        <w:t xml:space="preserve">14.- </w:t>
      </w:r>
      <w:r>
        <w:rPr>
          <w:rFonts w:cs="Times New Roman" w:ascii="Times New Roman" w:hAnsi="Times New Roman"/>
          <w:sz w:val="24"/>
          <w:szCs w:val="24"/>
        </w:rPr>
        <w:t>Forma de pago de las ayudas y justificación.</w:t>
      </w:r>
    </w:p>
    <w:p>
      <w:pPr>
        <w:pStyle w:val="Cuerpodetexto"/>
        <w:spacing w:before="100" w:after="120"/>
        <w:jc w:val="both"/>
        <w:rPr/>
      </w:pPr>
      <w:r>
        <w:rPr/>
        <w:t xml:space="preserve">El </w:t>
      </w:r>
      <w:r>
        <w:rPr>
          <w:u w:val="single"/>
        </w:rPr>
        <w:t>pago</w:t>
      </w:r>
      <w:r>
        <w:rPr/>
        <w:t xml:space="preserve"> se realizará mediante transferencia bancaria a la cuenta bancaria indicada en la documentación comprensiva de su solicitud, una vez que se haya  comprobado que la justificación del importe concedido es conforme a lo que se establece en las presentes bases.</w:t>
      </w:r>
    </w:p>
    <w:p>
      <w:pPr>
        <w:pStyle w:val="Cuerpodetexto"/>
        <w:spacing w:before="100" w:after="120"/>
        <w:jc w:val="both"/>
        <w:rPr/>
      </w:pPr>
      <w:r>
        <w:rPr>
          <w:u w:val="single"/>
        </w:rPr>
        <w:t>Justificación</w:t>
      </w:r>
      <w:r>
        <w:rPr/>
        <w:t>: Una vez publicadas las ayudas concedidas, los posibles beneficiaros tendrán el plazo de tres meses para justificar el gasto concedido.</w:t>
      </w:r>
    </w:p>
    <w:p>
      <w:pPr>
        <w:pStyle w:val="Default"/>
        <w:spacing w:before="230" w:after="0"/>
        <w:jc w:val="both"/>
        <w:rPr/>
      </w:pPr>
      <w:r>
        <w:rPr>
          <w:rFonts w:cs="Times New Roman" w:ascii="Times New Roman" w:hAnsi="Times New Roman"/>
        </w:rPr>
        <w:t xml:space="preserve">Transcurrido el plazo establecido sin haberse presentado la justificación, el Departamento que haya tramitado el expediente para su concesión requerirá al beneficiario para que en el plazo improrrogable de quince días se presente la referida justificación. </w:t>
      </w:r>
    </w:p>
    <w:p>
      <w:pPr>
        <w:pStyle w:val="Default"/>
        <w:spacing w:before="206" w:after="0"/>
        <w:jc w:val="both"/>
        <w:rPr/>
      </w:pPr>
      <w:r>
        <w:rPr>
          <w:rFonts w:cs="Times New Roman" w:ascii="Times New Roman" w:hAnsi="Times New Roman"/>
        </w:rPr>
        <w:t>El transcurso de este plazo, sin que se haya presentado la justificación llevará consigo la anulación de su solicitud y el archivo de su expediente.</w:t>
      </w:r>
    </w:p>
    <w:p>
      <w:pPr>
        <w:pStyle w:val="Default"/>
        <w:spacing w:before="206" w:after="0"/>
        <w:jc w:val="both"/>
        <w:rPr>
          <w:rFonts w:ascii="Times New Roman" w:hAnsi="Times New Roman" w:cs="Times New Roman"/>
        </w:rPr>
      </w:pPr>
      <w:r>
        <w:rPr>
          <w:rFonts w:cs="Times New Roman" w:ascii="Times New Roman" w:hAnsi="Times New Roman"/>
        </w:rPr>
        <w:t>Los beneficiarios estarán obligados a presentar en el Registro General Municipal la siguiente documentación, a efectos de justificación de la ayuda:</w:t>
      </w:r>
    </w:p>
    <w:p>
      <w:pPr>
        <w:pStyle w:val="Default"/>
        <w:numPr>
          <w:ilvl w:val="0"/>
          <w:numId w:val="1"/>
        </w:numPr>
        <w:spacing w:before="206" w:after="0"/>
        <w:ind w:left="709" w:hanging="709"/>
        <w:jc w:val="both"/>
        <w:rPr/>
      </w:pPr>
      <w:r>
        <w:rPr>
          <w:rFonts w:eastAsia="Standard Symbols L" w:cs="Times New Roman" w:ascii="Times New Roman" w:hAnsi="Times New Roman"/>
        </w:rPr>
        <w:t xml:space="preserve">Copia compulsada de las facturas o documento equivalente, en las que conste claramente el nombre de los productos especializados adquiridos. A estos efectos sólo se admitirán facturas legalmente emitidas conforme a la normativa vigente. </w:t>
      </w:r>
    </w:p>
    <w:p>
      <w:pPr>
        <w:pStyle w:val="Default"/>
        <w:numPr>
          <w:ilvl w:val="0"/>
          <w:numId w:val="1"/>
        </w:numPr>
        <w:spacing w:before="206" w:after="0"/>
        <w:ind w:left="709" w:hanging="709"/>
        <w:jc w:val="both"/>
        <w:rPr/>
      </w:pPr>
      <w:r>
        <w:rPr>
          <w:rFonts w:eastAsia="Standard Symbols L" w:cs="Times New Roman" w:ascii="Times New Roman" w:hAnsi="Times New Roman"/>
        </w:rPr>
        <w:t>Si se realizan pagos mediante cheques o talones, sólo se admitirán si son nominativos y cruzados, es decir, expedidos a nombre del emisor de la factura que pretenden pagar y que solo puedan hacerse efectivos mediante el cargo en la cuenta bancaria del emisor. Para la justificación se presentará fotocopia del talón y extracto bancario en el que se compruebe el cargo en cuenta.</w:t>
      </w:r>
    </w:p>
    <w:p>
      <w:pPr>
        <w:pStyle w:val="Default"/>
        <w:numPr>
          <w:ilvl w:val="0"/>
          <w:numId w:val="1"/>
        </w:numPr>
        <w:spacing w:before="206" w:after="0"/>
        <w:ind w:left="709" w:hanging="709"/>
        <w:jc w:val="both"/>
        <w:rPr/>
      </w:pPr>
      <w:r>
        <w:rPr>
          <w:rFonts w:eastAsia="Standard Symbols L" w:cs="Times New Roman" w:ascii="Times New Roman" w:hAnsi="Times New Roman"/>
        </w:rPr>
        <w:t>Los documentos, que deberán ser originales, se presentarán en el Registro General del Ayuntamiento o en cualquiera de los lugares establecidos en el artículo 16 de la Ley 39/2015, de 1 de octubre, del Procedimiento Administrativo Común de las Administraciones Públicas, en los términos que detalle la convocatoria. En el caso de presentación en el Registro General, dichos documentos serán escaneados y devueltos a su propietario en ese mismo acto.</w:t>
      </w:r>
    </w:p>
    <w:p>
      <w:pPr>
        <w:pStyle w:val="Default"/>
        <w:numPr>
          <w:ilvl w:val="0"/>
          <w:numId w:val="1"/>
        </w:numPr>
        <w:spacing w:before="206" w:after="0"/>
        <w:ind w:left="709" w:hanging="709"/>
        <w:jc w:val="both"/>
        <w:rPr/>
      </w:pPr>
      <w:r>
        <w:rPr>
          <w:rFonts w:eastAsia="Standard Symbols L" w:cs="Times New Roman" w:ascii="Times New Roman" w:hAnsi="Times New Roman"/>
        </w:rPr>
        <w:t xml:space="preserve">Con la finalidad de agilizar dicho proceso de escaneo, los originales consistentes que por su pequeño tamaño no puedan ser objeto de escaneo, deberán presentarse fotocopiados en formato DINA4 y compulsados previamente en la Intervención Municipal. Tras dicha compulsa, se presentará toda la documentación en el Registro como se establece en el párrafo anterior. </w:t>
      </w:r>
    </w:p>
    <w:p>
      <w:pPr>
        <w:pStyle w:val="Default"/>
        <w:spacing w:before="206" w:after="0"/>
        <w:jc w:val="both"/>
        <w:rPr/>
      </w:pPr>
      <w:r>
        <w:rPr>
          <w:rFonts w:eastAsia="Standard Symbols L" w:cs="Times New Roman" w:ascii="Times New Roman" w:hAnsi="Times New Roman"/>
        </w:rPr>
        <w:t xml:space="preserve">Examinada la documentación justificativa se remitirá a la Intervención Municipal, a la que se unirá propuesta de pago si la justificación se considera correcta. </w:t>
      </w:r>
    </w:p>
    <w:p>
      <w:pPr>
        <w:pStyle w:val="Default"/>
        <w:spacing w:before="206" w:after="0"/>
        <w:jc w:val="both"/>
        <w:rPr>
          <w:rFonts w:ascii="Times New Roman" w:hAnsi="Times New Roman" w:cs="Times New Roman"/>
        </w:rPr>
      </w:pPr>
      <w:r>
        <w:rPr>
          <w:rFonts w:cs="Times New Roman" w:ascii="Times New Roman" w:hAnsi="Times New Roman"/>
        </w:rPr>
        <w:t xml:space="preserve">El Ayuntamiento de Tales podrá solicitar cualquier otra documentación en soporte físico o electrónico que, en su caso, considere necesaria para acreditar el efectivo cumplimiento de los requisitos que establecen las presentes bases. </w:t>
      </w:r>
    </w:p>
    <w:p>
      <w:pPr>
        <w:pStyle w:val="Ttulo1"/>
        <w:ind w:left="0" w:hanging="0"/>
        <w:jc w:val="both"/>
        <w:rPr>
          <w:rFonts w:ascii="Times New Roman" w:hAnsi="Times New Roman" w:cs="Times New Roman"/>
          <w:sz w:val="24"/>
          <w:szCs w:val="24"/>
          <w:u w:val="none"/>
        </w:rPr>
      </w:pPr>
      <w:r>
        <w:rPr>
          <w:rFonts w:cs="Times New Roman" w:ascii="Times New Roman" w:hAnsi="Times New Roman"/>
          <w:sz w:val="24"/>
          <w:szCs w:val="24"/>
          <w:u w:val="none" w:color="000000"/>
        </w:rPr>
      </w:r>
    </w:p>
    <w:p>
      <w:pPr>
        <w:pStyle w:val="Normal"/>
        <w:rPr>
          <w:b/>
          <w:b/>
          <w:u w:val="single"/>
        </w:rPr>
      </w:pPr>
      <w:r>
        <w:rPr>
          <w:b/>
        </w:rPr>
        <w:t xml:space="preserve">15.- </w:t>
      </w:r>
      <w:r>
        <w:rPr>
          <w:b/>
          <w:u w:val="single"/>
        </w:rPr>
        <w:t>Vigencia</w:t>
      </w:r>
    </w:p>
    <w:p>
      <w:pPr>
        <w:pStyle w:val="Cuerpodetexto"/>
        <w:spacing w:before="100" w:after="120"/>
        <w:jc w:val="both"/>
        <w:rPr/>
      </w:pPr>
      <w:r>
        <w:rPr/>
        <w:t>Las ayudas para sufragar los gastos en alimentación de las personas celiacas entrarán en vigor a partir de la publicación del extracto de la convocatoria en el Boletín Oficial de la Provincia de Castellón, y afectará a todas las solicitudes que se presenten, en tanto en cuanto no se modifique expresamente su articulado o su periodo de vigencia.</w:t>
      </w:r>
    </w:p>
    <w:p>
      <w:pPr>
        <w:pStyle w:val="Cuerpodetexto"/>
        <w:spacing w:before="100" w:after="120"/>
        <w:jc w:val="center"/>
        <w:rPr/>
      </w:pPr>
      <w:r>
        <w:rPr>
          <w:b/>
        </w:rPr>
        <w:t>Documento firmado electrónicamente en la fecha que figura al margen, por el Alcalde.</w:t>
      </w:r>
    </w:p>
    <w:sectPr>
      <w:headerReference w:type="default" r:id="rId4"/>
      <w:footerReference w:type="default" r:id="rId5"/>
      <w:type w:val="nextPage"/>
      <w:pgSz w:w="11906" w:h="16838"/>
      <w:pgMar w:left="1701" w:right="1416" w:gutter="0" w:header="709" w:top="2003" w:footer="709" w:bottom="1571"/>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pBdr>
        <w:top w:val="single" w:sz="4" w:space="5" w:color="000000"/>
      </w:pBdr>
      <w:jc w:val="center"/>
      <w:rPr>
        <w:sz w:val="16"/>
      </w:rPr>
    </w:pPr>
    <w:r>
      <w:rPr>
        <w:b/>
      </w:rPr>
      <w:t>Ayuntamiento de Tales</w:t>
    </w:r>
  </w:p>
  <w:p>
    <w:pPr>
      <w:pStyle w:val="Cuerpodetexto"/>
      <w:spacing w:before="0" w:after="120"/>
      <w:jc w:val="center"/>
      <w:rPr/>
    </w:pPr>
    <w:r>
      <w:rPr>
        <w:sz w:val="16"/>
      </w:rPr>
      <w:t>C/ Constitución, 1, Tales. 12221 (Castellón). Tfno. 964613008. Fax: 964617449</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mc:AlternateContent>
        <mc:Choice Requires="wps">
          <w:drawing>
            <wp:inline distT="0" distB="0" distL="0" distR="0">
              <wp:extent cx="695960" cy="695960"/>
              <wp:effectExtent l="0" t="0" r="0" b="0"/>
              <wp:docPr id="2" name="Imagen 2"/>
              <a:graphic xmlns:a="http://schemas.openxmlformats.org/drawingml/2006/main">
                <a:graphicData uri="http://schemas.openxmlformats.org/drawingml/2006/picture">
                  <pic:pic xmlns:pic="http://schemas.openxmlformats.org/drawingml/2006/picture">
                    <pic:nvPicPr>
                      <pic:cNvPr id="0" name="Imagen 2" descr=""/>
                      <pic:cNvPicPr/>
                    </pic:nvPicPr>
                    <pic:blipFill>
                      <a:blip r:embed="rId1"/>
                      <a:stretch/>
                    </pic:blipFill>
                    <pic:spPr>
                      <a:xfrm>
                        <a:off x="0" y="0"/>
                        <a:ext cx="695160" cy="695160"/>
                      </a:xfrm>
                      <a:prstGeom prst="rect">
                        <a:avLst/>
                      </a:prstGeom>
                      <a:ln w="0">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Imagen 2" stroked="f" o:allowincell="f" style="position:absolute;margin-left:0pt;margin-top:-54.8pt;width:54.7pt;height:54.7pt;mso-wrap-style:none;v-text-anchor:middle;mso-position-vertical:top" type="_x0000_t75">
              <v:imagedata r:id="rId1" o:detectmouseclick="t"/>
              <v:stroke color="#3465a4" joinstyle="round" endcap="flat"/>
              <w10:wrap type="none"/>
            </v:shape>
          </w:pict>
        </mc:Fallback>
      </mc:AlternateContent>
    </w:r>
    <w:r>
      <w:rPr/>
      <w:t xml:space="preserve">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1513" w:hanging="360"/>
      </w:pPr>
      <w:rPr>
        <w:rFonts w:ascii="Times New Roman" w:hAnsi="Times New Roman" w:cs="Times New Roman" w:hint="default"/>
      </w:rPr>
    </w:lvl>
    <w:lvl w:ilvl="1">
      <w:start w:val="1"/>
      <w:numFmt w:val="bullet"/>
      <w:lvlText w:val="o"/>
      <w:lvlJc w:val="left"/>
      <w:pPr>
        <w:tabs>
          <w:tab w:val="num" w:pos="0"/>
        </w:tabs>
        <w:ind w:left="2233" w:hanging="360"/>
      </w:pPr>
      <w:rPr>
        <w:rFonts w:ascii="Courier New" w:hAnsi="Courier New" w:cs="Courier New" w:hint="default"/>
      </w:rPr>
    </w:lvl>
    <w:lvl w:ilvl="2">
      <w:start w:val="1"/>
      <w:numFmt w:val="bullet"/>
      <w:lvlText w:val=""/>
      <w:lvlJc w:val="left"/>
      <w:pPr>
        <w:tabs>
          <w:tab w:val="num" w:pos="0"/>
        </w:tabs>
        <w:ind w:left="2953" w:hanging="360"/>
      </w:pPr>
      <w:rPr>
        <w:rFonts w:ascii="Wingdings" w:hAnsi="Wingdings" w:cs="Wingdings" w:hint="default"/>
      </w:rPr>
    </w:lvl>
    <w:lvl w:ilvl="3">
      <w:start w:val="1"/>
      <w:numFmt w:val="bullet"/>
      <w:lvlText w:val=""/>
      <w:lvlJc w:val="left"/>
      <w:pPr>
        <w:tabs>
          <w:tab w:val="num" w:pos="0"/>
        </w:tabs>
        <w:ind w:left="3673" w:hanging="360"/>
      </w:pPr>
      <w:rPr>
        <w:rFonts w:ascii="Symbol" w:hAnsi="Symbol" w:cs="Symbol" w:hint="default"/>
      </w:rPr>
    </w:lvl>
    <w:lvl w:ilvl="4">
      <w:start w:val="1"/>
      <w:numFmt w:val="bullet"/>
      <w:lvlText w:val="o"/>
      <w:lvlJc w:val="left"/>
      <w:pPr>
        <w:tabs>
          <w:tab w:val="num" w:pos="0"/>
        </w:tabs>
        <w:ind w:left="4393" w:hanging="360"/>
      </w:pPr>
      <w:rPr>
        <w:rFonts w:ascii="Courier New" w:hAnsi="Courier New" w:cs="Courier New" w:hint="default"/>
      </w:rPr>
    </w:lvl>
    <w:lvl w:ilvl="5">
      <w:start w:val="1"/>
      <w:numFmt w:val="bullet"/>
      <w:lvlText w:val=""/>
      <w:lvlJc w:val="left"/>
      <w:pPr>
        <w:tabs>
          <w:tab w:val="num" w:pos="0"/>
        </w:tabs>
        <w:ind w:left="5113" w:hanging="360"/>
      </w:pPr>
      <w:rPr>
        <w:rFonts w:ascii="Wingdings" w:hAnsi="Wingdings" w:cs="Wingdings" w:hint="default"/>
      </w:rPr>
    </w:lvl>
    <w:lvl w:ilvl="6">
      <w:start w:val="1"/>
      <w:numFmt w:val="bullet"/>
      <w:lvlText w:val=""/>
      <w:lvlJc w:val="left"/>
      <w:pPr>
        <w:tabs>
          <w:tab w:val="num" w:pos="0"/>
        </w:tabs>
        <w:ind w:left="5833" w:hanging="360"/>
      </w:pPr>
      <w:rPr>
        <w:rFonts w:ascii="Symbol" w:hAnsi="Symbol" w:cs="Symbol" w:hint="default"/>
      </w:rPr>
    </w:lvl>
    <w:lvl w:ilvl="7">
      <w:start w:val="1"/>
      <w:numFmt w:val="bullet"/>
      <w:lvlText w:val="o"/>
      <w:lvlJc w:val="left"/>
      <w:pPr>
        <w:tabs>
          <w:tab w:val="num" w:pos="0"/>
        </w:tabs>
        <w:ind w:left="6553" w:hanging="360"/>
      </w:pPr>
      <w:rPr>
        <w:rFonts w:ascii="Courier New" w:hAnsi="Courier New" w:cs="Courier New" w:hint="default"/>
      </w:rPr>
    </w:lvl>
    <w:lvl w:ilvl="8">
      <w:start w:val="1"/>
      <w:numFmt w:val="bullet"/>
      <w:lvlText w:val=""/>
      <w:lvlJc w:val="left"/>
      <w:pPr>
        <w:tabs>
          <w:tab w:val="num" w:pos="0"/>
        </w:tabs>
        <w:ind w:left="7273"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9"/>
  <w:autoHyphenation w:val="true"/>
  <w:compat>
    <w:compatSetting w:name="compatibilityMode" w:uri="http://schemas.microsoft.com/office/word" w:val="1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es-E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semiHidden="0" w:unhideWhenUsed="0" w:qFormat="1"/>
    <w:lsdException w:name="List" w:uiPriority="0"/>
    <w:lsdException w:name="Title" w:uiPriority="10" w:semiHidden="0" w:unhideWhenUsed="0" w:qFormat="1"/>
    <w:lsdException w:name="Default Paragraph Font" w:uiPriority="1"/>
    <w:lsdException w:name="Body Text" w:uiPriority="0"/>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1"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val="false"/>
      <w:suppressAutoHyphens w:val="true"/>
      <w:bidi w:val="0"/>
      <w:spacing w:before="0" w:after="0"/>
      <w:jc w:val="left"/>
    </w:pPr>
    <w:rPr>
      <w:rFonts w:eastAsia="Lucida Sans Unicode" w:ascii="Times New Roman" w:hAnsi="Times New Roman" w:cs="Times New Roman"/>
      <w:color w:val="auto"/>
      <w:kern w:val="2"/>
      <w:sz w:val="24"/>
      <w:szCs w:val="24"/>
      <w:lang w:val="es-ES" w:eastAsia="es-ES" w:bidi="ar-SA"/>
    </w:rPr>
  </w:style>
  <w:style w:type="paragraph" w:styleId="Ttulo1">
    <w:name w:val="Heading 1"/>
    <w:basedOn w:val="Normal"/>
    <w:link w:val="Ttulo1Car"/>
    <w:uiPriority w:val="1"/>
    <w:qFormat/>
    <w:rsid w:val="009e3e64"/>
    <w:pPr>
      <w:suppressAutoHyphens w:val="false"/>
      <w:ind w:left="119" w:hanging="0"/>
      <w:outlineLvl w:val="0"/>
    </w:pPr>
    <w:rPr>
      <w:rFonts w:ascii="Tahoma" w:hAnsi="Tahoma" w:eastAsia="Tahoma" w:cs="Tahoma"/>
      <w:b/>
      <w:bCs/>
      <w:kern w:val="0"/>
      <w:sz w:val="20"/>
      <w:szCs w:val="20"/>
      <w:u w:val="single" w:color="000000"/>
      <w:lang w:bidi="es-ES"/>
    </w:rPr>
  </w:style>
  <w:style w:type="character" w:styleId="DefaultParagraphFont" w:default="1">
    <w:name w:val="Default Paragraph Font"/>
    <w:uiPriority w:val="1"/>
    <w:semiHidden/>
    <w:unhideWhenUsed/>
    <w:qFormat/>
    <w:rPr/>
  </w:style>
  <w:style w:type="character" w:styleId="Ttulo1Car" w:customStyle="1">
    <w:name w:val="Título 1 Car"/>
    <w:link w:val="Ttulo1"/>
    <w:uiPriority w:val="1"/>
    <w:qFormat/>
    <w:rsid w:val="009e3e64"/>
    <w:rPr>
      <w:rFonts w:ascii="Tahoma" w:hAnsi="Tahoma" w:eastAsia="Tahoma" w:cs="Tahoma"/>
      <w:b/>
      <w:bCs/>
      <w:u w:val="single" w:color="000000"/>
      <w:lang w:bidi="es-ES"/>
    </w:rPr>
  </w:style>
  <w:style w:type="character" w:styleId="EnlacedeInternet" w:customStyle="1">
    <w:name w:val="Enlace de Internet"/>
    <w:uiPriority w:val="99"/>
    <w:unhideWhenUsed/>
    <w:rsid w:val="009e3e64"/>
    <w:rPr>
      <w:color w:val="0000FF"/>
      <w:u w:val="single"/>
    </w:rPr>
  </w:style>
  <w:style w:type="character" w:styleId="TextodegloboCar" w:customStyle="1">
    <w:name w:val="Texto de globo Car"/>
    <w:link w:val="Textodeglobo"/>
    <w:uiPriority w:val="99"/>
    <w:semiHidden/>
    <w:qFormat/>
    <w:rsid w:val="00b03f6e"/>
    <w:rPr>
      <w:rFonts w:ascii="Tahoma" w:hAnsi="Tahoma" w:eastAsia="Lucida Sans Unicode" w:cs="Tahoma"/>
      <w:kern w:val="2"/>
      <w:sz w:val="16"/>
      <w:szCs w:val="16"/>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before="0" w:after="120"/>
    </w:pPr>
    <w:rPr/>
  </w:style>
  <w:style w:type="paragraph" w:styleId="Lista">
    <w:name w:val="List"/>
    <w:basedOn w:val="Cuerpodetexto"/>
    <w:pPr/>
    <w:rPr>
      <w:rFonts w:cs="Tahoma"/>
      <w:sz w:val="22"/>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Tahoma"/>
      <w:sz w:val="22"/>
    </w:rPr>
  </w:style>
  <w:style w:type="paragraph" w:styleId="Ttulo11" w:customStyle="1">
    <w:name w:val="Título1"/>
    <w:basedOn w:val="Normal"/>
    <w:next w:val="Cuerpodetexto"/>
    <w:qFormat/>
    <w:pPr>
      <w:keepNext w:val="true"/>
      <w:spacing w:before="240" w:after="120"/>
    </w:pPr>
    <w:rPr>
      <w:rFonts w:eastAsia="MS Mincho" w:cs="Tahoma"/>
      <w:szCs w:val="28"/>
    </w:rPr>
  </w:style>
  <w:style w:type="paragraph" w:styleId="Caption">
    <w:name w:val="caption"/>
    <w:basedOn w:val="Normal"/>
    <w:qFormat/>
    <w:pPr>
      <w:suppressLineNumbers/>
      <w:spacing w:before="120" w:after="120"/>
    </w:pPr>
    <w:rPr>
      <w:rFonts w:cs="Tahoma"/>
      <w:i/>
      <w:iCs/>
      <w:sz w:val="22"/>
    </w:rPr>
  </w:style>
  <w:style w:type="paragraph" w:styleId="Header1" w:customStyle="1">
    <w:name w:val="Header1"/>
    <w:basedOn w:val="Normal"/>
    <w:qFormat/>
    <w:pPr>
      <w:suppressLineNumbers/>
      <w:tabs>
        <w:tab w:val="clear" w:pos="709"/>
        <w:tab w:val="center" w:pos="4818" w:leader="none"/>
        <w:tab w:val="right" w:pos="9637" w:leader="none"/>
      </w:tabs>
    </w:pPr>
    <w:rPr/>
  </w:style>
  <w:style w:type="paragraph" w:styleId="Footer1" w:customStyle="1">
    <w:name w:val="Footer1"/>
    <w:basedOn w:val="Normal"/>
    <w:qFormat/>
    <w:pPr>
      <w:suppressLineNumbers/>
      <w:tabs>
        <w:tab w:val="clear" w:pos="709"/>
        <w:tab w:val="center" w:pos="4818" w:leader="none"/>
        <w:tab w:val="right" w:pos="9637" w:leader="none"/>
      </w:tabs>
    </w:pPr>
    <w:rPr/>
  </w:style>
  <w:style w:type="paragraph" w:styleId="Header2" w:customStyle="1">
    <w:name w:val="Header2"/>
    <w:basedOn w:val="Normal"/>
    <w:qFormat/>
    <w:pPr>
      <w:suppressLineNumbers/>
      <w:tabs>
        <w:tab w:val="clear" w:pos="709"/>
        <w:tab w:val="right" w:pos="9637" w:leader="none"/>
      </w:tabs>
    </w:pPr>
    <w:rPr/>
  </w:style>
  <w:style w:type="paragraph" w:styleId="Footer2" w:customStyle="1">
    <w:name w:val="Footer2"/>
    <w:basedOn w:val="Normal"/>
    <w:qFormat/>
    <w:pPr>
      <w:suppressLineNumbers/>
      <w:tabs>
        <w:tab w:val="clear" w:pos="709"/>
        <w:tab w:val="right" w:pos="9637" w:leader="none"/>
      </w:tabs>
    </w:pPr>
    <w:rPr/>
  </w:style>
  <w:style w:type="paragraph" w:styleId="Header3" w:customStyle="1">
    <w:name w:val="Header3"/>
    <w:basedOn w:val="Normal"/>
    <w:qFormat/>
    <w:pPr>
      <w:suppressLineNumbers/>
      <w:tabs>
        <w:tab w:val="clear" w:pos="709"/>
        <w:tab w:val="center" w:pos="4818" w:leader="none"/>
        <w:tab w:val="right" w:pos="9637" w:leader="none"/>
      </w:tabs>
    </w:pPr>
    <w:rPr/>
  </w:style>
  <w:style w:type="paragraph" w:styleId="Header4" w:customStyle="1">
    <w:name w:val="Header4"/>
    <w:basedOn w:val="Normal"/>
    <w:qFormat/>
    <w:pPr>
      <w:suppressLineNumbers/>
      <w:tabs>
        <w:tab w:val="clear" w:pos="709"/>
        <w:tab w:val="center" w:pos="4818" w:leader="none"/>
        <w:tab w:val="right" w:pos="9637" w:leader="none"/>
      </w:tabs>
    </w:pPr>
    <w:rPr/>
  </w:style>
  <w:style w:type="paragraph" w:styleId="Footer3" w:customStyle="1">
    <w:name w:val="Footer3"/>
    <w:basedOn w:val="Normal"/>
    <w:qFormat/>
    <w:pPr>
      <w:suppressLineNumbers/>
      <w:tabs>
        <w:tab w:val="clear" w:pos="709"/>
        <w:tab w:val="center" w:pos="4818" w:leader="none"/>
        <w:tab w:val="right" w:pos="9637" w:leader="none"/>
      </w:tabs>
    </w:pPr>
    <w:rPr/>
  </w:style>
  <w:style w:type="paragraph" w:styleId="Contenidodelatabla" w:customStyle="1">
    <w:name w:val="Contenido de la tabla"/>
    <w:basedOn w:val="Normal"/>
    <w:qFormat/>
    <w:pPr>
      <w:suppressLineNumbers/>
    </w:pPr>
    <w:rPr/>
  </w:style>
  <w:style w:type="paragraph" w:styleId="Ttulodelatabla" w:customStyle="1">
    <w:name w:val="Título de la tabla"/>
    <w:basedOn w:val="Contenidodelatabla"/>
    <w:qFormat/>
    <w:pPr>
      <w:jc w:val="center"/>
    </w:pPr>
    <w:rPr>
      <w:b/>
      <w:bCs/>
    </w:rPr>
  </w:style>
  <w:style w:type="paragraph" w:styleId="Cabeceraypie">
    <w:name w:val="Cabecera y pie"/>
    <w:basedOn w:val="Normal"/>
    <w:qFormat/>
    <w:pPr/>
    <w:rPr/>
  </w:style>
  <w:style w:type="paragraph" w:styleId="Cabecera">
    <w:name w:val="Header"/>
    <w:basedOn w:val="Normal"/>
    <w:pPr>
      <w:suppressLineNumbers/>
      <w:tabs>
        <w:tab w:val="clear" w:pos="709"/>
        <w:tab w:val="center" w:pos="5386" w:leader="none"/>
        <w:tab w:val="right" w:pos="10772" w:leader="none"/>
      </w:tabs>
    </w:pPr>
    <w:rPr/>
  </w:style>
  <w:style w:type="paragraph" w:styleId="Piedepgina">
    <w:name w:val="Footer"/>
    <w:basedOn w:val="Normal"/>
    <w:pPr>
      <w:suppressLineNumbers/>
      <w:tabs>
        <w:tab w:val="clear" w:pos="709"/>
        <w:tab w:val="center" w:pos="5386" w:leader="none"/>
        <w:tab w:val="right" w:pos="10772" w:leader="none"/>
      </w:tabs>
    </w:pPr>
    <w:rPr/>
  </w:style>
  <w:style w:type="paragraph" w:styleId="ListParagraph">
    <w:name w:val="List Paragraph"/>
    <w:basedOn w:val="Normal"/>
    <w:uiPriority w:val="1"/>
    <w:qFormat/>
    <w:rsid w:val="009e3e64"/>
    <w:pPr>
      <w:suppressAutoHyphens w:val="false"/>
      <w:ind w:left="839" w:hanging="0"/>
      <w:jc w:val="both"/>
    </w:pPr>
    <w:rPr>
      <w:rFonts w:ascii="Tahoma" w:hAnsi="Tahoma" w:eastAsia="Tahoma" w:cs="Tahoma"/>
      <w:kern w:val="0"/>
      <w:sz w:val="22"/>
      <w:szCs w:val="22"/>
      <w:lang w:bidi="es-ES"/>
    </w:rPr>
  </w:style>
  <w:style w:type="paragraph" w:styleId="Default" w:customStyle="1">
    <w:name w:val="Default"/>
    <w:qFormat/>
    <w:rsid w:val="0098212e"/>
    <w:pPr>
      <w:widowControl/>
      <w:bidi w:val="0"/>
      <w:spacing w:before="0" w:after="0"/>
      <w:jc w:val="left"/>
    </w:pPr>
    <w:rPr>
      <w:rFonts w:ascii="Liberation Sans" w:hAnsi="Liberation Sans" w:eastAsia="Arial Unicode MS" w:cs="Liberation Sans"/>
      <w:color w:val="000000"/>
      <w:kern w:val="0"/>
      <w:sz w:val="24"/>
      <w:szCs w:val="24"/>
      <w:lang w:eastAsia="en-US" w:val="es-ES" w:bidi="ar-SA"/>
    </w:rPr>
  </w:style>
  <w:style w:type="paragraph" w:styleId="Contenidodelmarco" w:customStyle="1">
    <w:name w:val="Contenido del marco"/>
    <w:basedOn w:val="Normal"/>
    <w:qFormat/>
    <w:pPr/>
    <w:rPr/>
  </w:style>
  <w:style w:type="paragraph" w:styleId="BalloonText">
    <w:name w:val="Balloon Text"/>
    <w:basedOn w:val="Normal"/>
    <w:link w:val="TextodegloboCar"/>
    <w:uiPriority w:val="99"/>
    <w:semiHidden/>
    <w:unhideWhenUsed/>
    <w:qFormat/>
    <w:rsid w:val="00b03f6e"/>
    <w:pPr/>
    <w:rPr>
      <w:rFonts w:ascii="Tahoma" w:hAnsi="Tahoma" w:cs="Tahoma"/>
      <w:sz w:val="16"/>
      <w:szCs w:val="16"/>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tales.es/" TargetMode="External"/><Relationship Id="rId3" Type="http://schemas.openxmlformats.org/officeDocument/2006/relationships/hyperlink" Target="https://tales.sedelectronica.es/" TargetMode="Externa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491BBE-0952-4355-854C-5A1F44EC4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Application>LibreOffice/7.2.7.2$Windows_X86_64 LibreOffice_project/8d71d29d553c0f7dcbfa38fbfda25ee34cce99a2</Application>
  <AppVersion>15.0000</AppVersion>
  <DocSecurity>0</DocSecurity>
  <Pages>6</Pages>
  <Words>2562</Words>
  <Characters>14033</Characters>
  <CharactersWithSpaces>16514</CharactersWithSpaces>
  <Paragraphs>84</Paragraphs>
  <Company>GP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2023-07-20T07:05:00Z</dcterms:created>
  <dc:creator>Usuario</dc:creator>
  <dc:description/>
  <dc:language>es-ES</dc:language>
  <cp:lastModifiedBy>Usuario</cp:lastModifiedBy>
  <cp:lastPrinted>1900-12-31T23:00:00Z</cp:lastPrinted>
  <dcterms:modified xsi:type="dcterms:W3CDTF">2023-07-20T07:05:00Z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Informaci?n 1">
    <vt:lpwstr/>
  </property>
  <property fmtid="{D5CDD505-2E9C-101B-9397-08002B2CF9AE}" pid="4" name="Informaci?n 2">
    <vt:lpwstr/>
  </property>
  <property fmtid="{D5CDD505-2E9C-101B-9397-08002B2CF9AE}" pid="5" name="Informaci?n 3">
    <vt:lpwstr/>
  </property>
  <property fmtid="{D5CDD505-2E9C-101B-9397-08002B2CF9AE}" pid="6" name="Informaci?n 4">
    <vt:lpwstr/>
  </property>
  <property fmtid="{D5CDD505-2E9C-101B-9397-08002B2CF9AE}" pid="7" name="LinksUpToDate">
    <vt:bool>0</vt:bool>
  </property>
  <property fmtid="{D5CDD505-2E9C-101B-9397-08002B2CF9AE}" pid="8" name="ScaleCrop">
    <vt:bool>0</vt:bool>
  </property>
  <property fmtid="{D5CDD505-2E9C-101B-9397-08002B2CF9AE}" pid="9" name="ShareDoc">
    <vt:bool>0</vt:bool>
  </property>
</Properties>
</file>