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349" w:rsidRPr="00D47D0C" w:rsidRDefault="00D47D0C" w:rsidP="00D47D0C">
      <w:pPr>
        <w:autoSpaceDE w:val="0"/>
        <w:autoSpaceDN w:val="0"/>
        <w:adjustRightInd w:val="0"/>
        <w:spacing w:after="240" w:line="288" w:lineRule="auto"/>
        <w:rPr>
          <w:rFonts w:ascii="Arial" w:hAnsi="Arial" w:cs="Arial"/>
          <w:b/>
          <w:sz w:val="24"/>
          <w:szCs w:val="24"/>
        </w:rPr>
      </w:pPr>
      <w:r w:rsidRPr="00D47D0C">
        <w:rPr>
          <w:rFonts w:ascii="Arial" w:hAnsi="Arial" w:cs="Arial"/>
          <w:b/>
          <w:iCs/>
          <w:sz w:val="24"/>
          <w:szCs w:val="24"/>
        </w:rPr>
        <w:t>Ley 31/2022, de 23 de diciembre, de Presupuestos Generales del Estado para</w:t>
      </w:r>
      <w:r w:rsidRPr="00D47D0C">
        <w:rPr>
          <w:rFonts w:ascii="Arial" w:hAnsi="Arial" w:cs="Arial"/>
          <w:b/>
          <w:iCs/>
          <w:sz w:val="24"/>
          <w:szCs w:val="24"/>
        </w:rPr>
        <w:t xml:space="preserve"> </w:t>
      </w:r>
      <w:r w:rsidRPr="00D47D0C">
        <w:rPr>
          <w:rFonts w:ascii="Arial" w:hAnsi="Arial" w:cs="Arial"/>
          <w:b/>
          <w:iCs/>
          <w:sz w:val="24"/>
          <w:szCs w:val="24"/>
        </w:rPr>
        <w:t>e</w:t>
      </w:r>
      <w:bookmarkStart w:id="0" w:name="_GoBack"/>
      <w:bookmarkEnd w:id="0"/>
      <w:r w:rsidRPr="00D47D0C">
        <w:rPr>
          <w:rFonts w:ascii="Arial" w:hAnsi="Arial" w:cs="Arial"/>
          <w:b/>
          <w:iCs/>
          <w:sz w:val="24"/>
          <w:szCs w:val="24"/>
        </w:rPr>
        <w:t>l año 2023.</w:t>
      </w:r>
    </w:p>
    <w:p w:rsidR="00D47D0C" w:rsidRPr="00D47D0C" w:rsidRDefault="00D47D0C" w:rsidP="00D47D0C">
      <w:pPr>
        <w:spacing w:after="240" w:line="288" w:lineRule="auto"/>
        <w:rPr>
          <w:rFonts w:ascii="Arial" w:hAnsi="Arial" w:cs="Arial"/>
          <w:b/>
          <w:sz w:val="24"/>
          <w:szCs w:val="24"/>
        </w:rPr>
      </w:pPr>
    </w:p>
    <w:p w:rsidR="00D47D0C" w:rsidRPr="00D47D0C" w:rsidRDefault="00D47D0C" w:rsidP="00D47D0C">
      <w:pPr>
        <w:autoSpaceDE w:val="0"/>
        <w:autoSpaceDN w:val="0"/>
        <w:adjustRightInd w:val="0"/>
        <w:spacing w:after="240" w:line="288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D47D0C">
        <w:rPr>
          <w:rFonts w:ascii="Arial" w:hAnsi="Arial" w:cs="Arial"/>
          <w:sz w:val="24"/>
          <w:szCs w:val="24"/>
        </w:rPr>
        <w:t xml:space="preserve">Disposición adicional octogésima primera. </w:t>
      </w:r>
      <w:r w:rsidRPr="00D47D0C">
        <w:rPr>
          <w:rFonts w:ascii="Arial" w:hAnsi="Arial" w:cs="Arial"/>
          <w:i/>
          <w:iCs/>
          <w:sz w:val="24"/>
          <w:szCs w:val="24"/>
        </w:rPr>
        <w:t>Regulación de la concesión de subvenciones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D47D0C">
        <w:rPr>
          <w:rFonts w:ascii="Arial" w:hAnsi="Arial" w:cs="Arial"/>
          <w:i/>
          <w:iCs/>
          <w:sz w:val="24"/>
          <w:szCs w:val="24"/>
        </w:rPr>
        <w:t>nominativas destinadas a la financiación de actuaciones concretas y excepcionales a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D47D0C">
        <w:rPr>
          <w:rFonts w:ascii="Arial" w:hAnsi="Arial" w:cs="Arial"/>
          <w:i/>
          <w:iCs/>
          <w:sz w:val="24"/>
          <w:szCs w:val="24"/>
        </w:rPr>
        <w:t>determinados municipios del Campo de Gibraltar.</w:t>
      </w:r>
    </w:p>
    <w:p w:rsidR="00D47D0C" w:rsidRPr="00D47D0C" w:rsidRDefault="00D47D0C" w:rsidP="00D47D0C">
      <w:pPr>
        <w:autoSpaceDE w:val="0"/>
        <w:autoSpaceDN w:val="0"/>
        <w:adjustRightInd w:val="0"/>
        <w:spacing w:after="240" w:line="288" w:lineRule="auto"/>
        <w:jc w:val="both"/>
        <w:rPr>
          <w:rFonts w:ascii="Arial" w:hAnsi="Arial" w:cs="Arial"/>
          <w:sz w:val="24"/>
          <w:szCs w:val="24"/>
        </w:rPr>
      </w:pPr>
      <w:r w:rsidRPr="00D47D0C">
        <w:rPr>
          <w:rFonts w:ascii="Arial" w:hAnsi="Arial" w:cs="Arial"/>
          <w:sz w:val="24"/>
          <w:szCs w:val="24"/>
        </w:rPr>
        <w:t>Uno. Para el ejercicio 2023, al amparo de lo dispuesto en el artículo 22.2.a) y 28 de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la Ley 38/2003, de 17 de noviembre General de Subvenciones, en el programa 942N, de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la Sección 37 de los Presupuestos Generales del Estado, figura un crédito de 7,3 millones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de euros para las subvenciones nominativas a Entidades Locales del Campo de Gibraltar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para financiar actuaciones concretas y excepcionales (inversiones) en ejecución del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Acuerdo de Consejo de Ministros de 16 de noviembre de 2018 por el que se aprueba el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Plan Integral para el Campo de Gibraltar.</w:t>
      </w:r>
    </w:p>
    <w:p w:rsidR="00D47D0C" w:rsidRPr="00D47D0C" w:rsidRDefault="00D47D0C" w:rsidP="00D47D0C">
      <w:pPr>
        <w:autoSpaceDE w:val="0"/>
        <w:autoSpaceDN w:val="0"/>
        <w:adjustRightInd w:val="0"/>
        <w:spacing w:after="240" w:line="288" w:lineRule="auto"/>
        <w:jc w:val="both"/>
        <w:rPr>
          <w:rFonts w:ascii="Arial" w:hAnsi="Arial" w:cs="Arial"/>
          <w:sz w:val="24"/>
          <w:szCs w:val="24"/>
        </w:rPr>
      </w:pPr>
      <w:r w:rsidRPr="00D47D0C">
        <w:rPr>
          <w:rFonts w:ascii="Arial" w:hAnsi="Arial" w:cs="Arial"/>
          <w:sz w:val="24"/>
          <w:szCs w:val="24"/>
        </w:rPr>
        <w:t>Dos. Las actuaciones a realizar en los municipios de la Comarca del Campo de</w:t>
      </w:r>
    </w:p>
    <w:p w:rsidR="00D47D0C" w:rsidRPr="00D47D0C" w:rsidRDefault="00D47D0C" w:rsidP="00D47D0C">
      <w:pPr>
        <w:autoSpaceDE w:val="0"/>
        <w:autoSpaceDN w:val="0"/>
        <w:adjustRightInd w:val="0"/>
        <w:spacing w:after="240" w:line="288" w:lineRule="auto"/>
        <w:jc w:val="both"/>
        <w:rPr>
          <w:rFonts w:ascii="Arial" w:hAnsi="Arial" w:cs="Arial"/>
          <w:sz w:val="24"/>
          <w:szCs w:val="24"/>
        </w:rPr>
      </w:pPr>
      <w:r w:rsidRPr="00D47D0C">
        <w:rPr>
          <w:rFonts w:ascii="Arial" w:hAnsi="Arial" w:cs="Arial"/>
          <w:sz w:val="24"/>
          <w:szCs w:val="24"/>
        </w:rPr>
        <w:t>Gibraltar, deberán cuantificarse por municipios, a propuesta de la Mancomunidad de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Municipios del Campo de Gibraltar, y formalizar un convenio con cada uno de los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ayuntamientos afectados.</w:t>
      </w:r>
    </w:p>
    <w:p w:rsidR="00D47D0C" w:rsidRPr="00D47D0C" w:rsidRDefault="00D47D0C" w:rsidP="00D47D0C">
      <w:pPr>
        <w:autoSpaceDE w:val="0"/>
        <w:autoSpaceDN w:val="0"/>
        <w:adjustRightInd w:val="0"/>
        <w:spacing w:after="240" w:line="288" w:lineRule="auto"/>
        <w:jc w:val="both"/>
        <w:rPr>
          <w:rFonts w:ascii="Arial" w:hAnsi="Arial" w:cs="Arial"/>
          <w:sz w:val="24"/>
          <w:szCs w:val="24"/>
        </w:rPr>
      </w:pPr>
      <w:r w:rsidRPr="00D47D0C">
        <w:rPr>
          <w:rFonts w:ascii="Arial" w:hAnsi="Arial" w:cs="Arial"/>
          <w:sz w:val="24"/>
          <w:szCs w:val="24"/>
        </w:rPr>
        <w:t>Tres. Las subvenciones citadas en el párrafo anterior se harán efectivas en la forma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que se establezca en el instrumento regulador correspondiente, que para el otorgamiento</w:t>
      </w:r>
      <w:r w:rsidRPr="00D47D0C"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de subvenciones directas establece el artículo 28 de la Ley 38/2003, de 17 de noviembre,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General de Subvenciones, y el Real Decreto 887/2006, de 21 de julio, por el que se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aprueba su Reglamento de desarrollo.</w:t>
      </w:r>
    </w:p>
    <w:p w:rsidR="00D47D0C" w:rsidRPr="00D47D0C" w:rsidRDefault="00D47D0C" w:rsidP="00D47D0C">
      <w:pPr>
        <w:autoSpaceDE w:val="0"/>
        <w:autoSpaceDN w:val="0"/>
        <w:adjustRightInd w:val="0"/>
        <w:spacing w:after="240" w:line="288" w:lineRule="auto"/>
        <w:jc w:val="both"/>
        <w:rPr>
          <w:rFonts w:ascii="Arial" w:hAnsi="Arial" w:cs="Arial"/>
          <w:sz w:val="24"/>
          <w:szCs w:val="24"/>
        </w:rPr>
      </w:pPr>
      <w:r w:rsidRPr="00D47D0C">
        <w:rPr>
          <w:rFonts w:ascii="Arial" w:hAnsi="Arial" w:cs="Arial"/>
          <w:sz w:val="24"/>
          <w:szCs w:val="24"/>
        </w:rPr>
        <w:t>Cuatro. El otorgamiento de estas subvenciones por parte de la Administración</w:t>
      </w:r>
    </w:p>
    <w:p w:rsidR="00D47D0C" w:rsidRPr="00D47D0C" w:rsidRDefault="00D47D0C" w:rsidP="00D47D0C">
      <w:pPr>
        <w:autoSpaceDE w:val="0"/>
        <w:autoSpaceDN w:val="0"/>
        <w:adjustRightInd w:val="0"/>
        <w:spacing w:after="240" w:line="288" w:lineRule="auto"/>
        <w:jc w:val="both"/>
        <w:rPr>
          <w:rFonts w:ascii="Arial" w:hAnsi="Arial" w:cs="Arial"/>
          <w:sz w:val="24"/>
          <w:szCs w:val="24"/>
        </w:rPr>
      </w:pPr>
      <w:r w:rsidRPr="00D47D0C">
        <w:rPr>
          <w:rFonts w:ascii="Arial" w:hAnsi="Arial" w:cs="Arial"/>
          <w:sz w:val="24"/>
          <w:szCs w:val="24"/>
        </w:rPr>
        <w:t>General del Estado es compatible con otras subvenciones, ayudas, ingresos o recursos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para la misma finalidad, procedentes de cualesquiera Administraciones o entes públicos o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privados, nacionales, de la Unión Europea o de organismos internacionales.</w:t>
      </w:r>
    </w:p>
    <w:p w:rsidR="00D47D0C" w:rsidRDefault="00D47D0C" w:rsidP="00D47D0C">
      <w:pPr>
        <w:autoSpaceDE w:val="0"/>
        <w:autoSpaceDN w:val="0"/>
        <w:adjustRightInd w:val="0"/>
        <w:spacing w:after="240" w:line="288" w:lineRule="auto"/>
        <w:jc w:val="both"/>
      </w:pPr>
      <w:r w:rsidRPr="00D47D0C">
        <w:rPr>
          <w:rFonts w:ascii="Arial" w:hAnsi="Arial" w:cs="Arial"/>
          <w:sz w:val="24"/>
          <w:szCs w:val="24"/>
        </w:rPr>
        <w:t>Cinco. Por la Secretaría General de Financiación Autonómica y Local se adoptarán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las medidas oportunas para el cumplimiento de lo señalado en la presente disposición en</w:t>
      </w:r>
      <w:r>
        <w:rPr>
          <w:rFonts w:ascii="Arial" w:hAnsi="Arial" w:cs="Arial"/>
          <w:sz w:val="24"/>
          <w:szCs w:val="24"/>
        </w:rPr>
        <w:t xml:space="preserve"> </w:t>
      </w:r>
      <w:r w:rsidRPr="00D47D0C">
        <w:rPr>
          <w:rFonts w:ascii="Arial" w:hAnsi="Arial" w:cs="Arial"/>
          <w:sz w:val="24"/>
          <w:szCs w:val="24"/>
        </w:rPr>
        <w:t>relación a la gestión de los créditos correspondientes a estas subvencione</w:t>
      </w:r>
      <w:r>
        <w:rPr>
          <w:rFonts w:ascii="Arimo-Regular" w:hAnsi="Arimo-Regular" w:cs="Arimo-Regular"/>
          <w:sz w:val="20"/>
          <w:szCs w:val="20"/>
        </w:rPr>
        <w:t>s.</w:t>
      </w:r>
    </w:p>
    <w:sectPr w:rsidR="00D47D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D0C"/>
    <w:rsid w:val="00C20349"/>
    <w:rsid w:val="00D4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229C8"/>
  <w15:chartTrackingRefBased/>
  <w15:docId w15:val="{E10A4C9F-F5A3-44F3-B810-5536FC2A4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DGFT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Ortiz Ballesteros, María Yolanda</dc:creator>
  <cp:keywords/>
  <dc:description/>
  <cp:lastModifiedBy>Ortiz Ballesteros, María Yolanda</cp:lastModifiedBy>
  <cp:revision>1</cp:revision>
  <dcterms:created xsi:type="dcterms:W3CDTF">2023-01-12T14:59:00Z</dcterms:created>
  <dcterms:modified xsi:type="dcterms:W3CDTF">2023-01-12T15:01:00Z</dcterms:modified>
</cp:coreProperties>
</file>