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jc w:val="both"/>
        <w:rPr/>
      </w:pPr>
      <w:r>
        <w:rPr>
          <w:b/>
          <w:u w:val="single"/>
        </w:rPr>
        <w:t>BASES REGULADORAS REFORMADAS Y CONVOCATORIA PARA LA CONCESIÓN DE SUBVENCIÓN DE BONO ENERGÉTICO PARA FAMILIAS EN SITUACIÓN DE POBREZA ENERGÉTICA PARA EL AÑO 2023</w:t>
      </w:r>
      <w:r>
        <w:rPr/>
        <w:t>.</w:t>
      </w:r>
    </w:p>
    <w:p>
      <w:pPr>
        <w:pStyle w:val="Normal"/>
        <w:rPr/>
      </w:pPr>
      <w:r>
        <w:rPr/>
      </w:r>
    </w:p>
    <w:p>
      <w:pPr>
        <w:pStyle w:val="Normal"/>
        <w:rPr>
          <w:b/>
          <w:b/>
        </w:rPr>
      </w:pPr>
      <w:r>
        <w:rPr>
          <w:b/>
        </w:rPr>
        <w:t>Finalidad:</w:t>
      </w:r>
    </w:p>
    <w:p>
      <w:pPr>
        <w:pStyle w:val="Normal"/>
        <w:rPr>
          <w:b/>
          <w:b/>
        </w:rPr>
      </w:pPr>
      <w:r>
        <w:rPr>
          <w:b/>
        </w:rPr>
      </w:r>
    </w:p>
    <w:p>
      <w:pPr>
        <w:pStyle w:val="Normal"/>
        <w:jc w:val="both"/>
        <w:rPr/>
      </w:pPr>
      <w:r>
        <w:rPr/>
        <w:t xml:space="preserve">Establecimiento de las bases de un programa de bono energético, complementario de los demás recursos públicos existentes, impulsado por el Ayuntamiento de O Porriño para paliar las situaciones de pobreza energética de familias de este término municipal. El bono energético consistirá en una ayuda económica directa, en los términos que se establezcan en este programa. </w:t>
      </w:r>
    </w:p>
    <w:p>
      <w:pPr>
        <w:pStyle w:val="Normal"/>
        <w:jc w:val="both"/>
        <w:rPr/>
      </w:pPr>
      <w:r>
        <w:rPr/>
      </w:r>
    </w:p>
    <w:p>
      <w:pPr>
        <w:pStyle w:val="Normal"/>
        <w:jc w:val="both"/>
        <w:rPr>
          <w:b/>
          <w:b/>
        </w:rPr>
      </w:pPr>
      <w:r>
        <w:rPr>
          <w:b/>
        </w:rPr>
        <w:t>Población destinataria:</w:t>
      </w:r>
    </w:p>
    <w:p>
      <w:pPr>
        <w:pStyle w:val="Normal"/>
        <w:jc w:val="both"/>
        <w:rPr>
          <w:b/>
          <w:b/>
        </w:rPr>
      </w:pPr>
      <w:r>
        <w:rPr>
          <w:b/>
        </w:rPr>
      </w:r>
    </w:p>
    <w:p>
      <w:pPr>
        <w:pStyle w:val="Normal"/>
        <w:numPr>
          <w:ilvl w:val="0"/>
          <w:numId w:val="1"/>
        </w:numPr>
        <w:jc w:val="both"/>
        <w:rPr/>
      </w:pPr>
      <w:r>
        <w:rPr/>
        <w:t>Personas titulares de un contrato de suministro eléctrico o energético ubicado en el término municipal de O Porriño, en su vivienda habitual, y que figuren clasificadas en alguna de las modalidades de bono social eléctrico en la fecha de solicitud, de acuerdo a lo recogido en el Real decreto 897/2017, del 6 de octubre, por el que se regula la figura del consumidor vulnerable, el bono social y otras medidas de protección para los consumidores domésticos de energía eléctrica y demás normativa de desarrollo y también a lo contemplado en el Real decreto ley 18/2022, del 18 de octubre, por el que se aprueban medidas de refuerzo de la protección de los consumidores de energía y de contribución a la reducción del consumo de gas natural en aplicación del “Plan + seguridad para tu energía (+SE)”, así como medidas en materia de retribuciones del personal al servicio del sector público y de protección de las personas trabajadoras agrarias eventuales afectadas por la sequía.</w:t>
      </w:r>
    </w:p>
    <w:p>
      <w:pPr>
        <w:pStyle w:val="Normal"/>
        <w:ind w:left="720" w:right="0" w:hanging="0"/>
        <w:jc w:val="both"/>
        <w:rPr/>
      </w:pPr>
      <w:r>
        <w:rPr/>
      </w:r>
    </w:p>
    <w:p>
      <w:pPr>
        <w:pStyle w:val="Normal"/>
        <w:ind w:left="720" w:right="0" w:hanging="0"/>
        <w:jc w:val="both"/>
        <w:rPr/>
      </w:pPr>
      <w:r>
        <w:rPr/>
      </w:r>
    </w:p>
    <w:p>
      <w:pPr>
        <w:pStyle w:val="Normal"/>
        <w:ind w:left="720" w:right="0" w:hanging="0"/>
        <w:jc w:val="both"/>
        <w:rPr/>
      </w:pPr>
      <w:r>
        <w:rPr/>
        <w:t>En el caso de la tramitación de solicitudes según lo que se contempla en este apartado, se considera que la situación de pobreza energética se encuentra suficientemente demostrada debido a que cuentan en el momento de la solicitud con un título que acredita tal situación (factura de consumo eléctrico a nombre de alguna de las personas que forman parte de la unidad de convivencia de la persona solicitante que contenga un bono social eléctrico en vigor).</w:t>
      </w:r>
    </w:p>
    <w:p>
      <w:pPr>
        <w:pStyle w:val="Normal"/>
        <w:rPr/>
      </w:pPr>
      <w:r>
        <w:rPr/>
      </w:r>
    </w:p>
    <w:p>
      <w:pPr>
        <w:pStyle w:val="Normal"/>
        <w:numPr>
          <w:ilvl w:val="0"/>
          <w:numId w:val="1"/>
        </w:numPr>
        <w:spacing w:before="0" w:after="120"/>
        <w:ind w:left="714" w:right="0" w:hanging="357"/>
        <w:jc w:val="both"/>
        <w:rPr/>
      </w:pPr>
      <w:r>
        <w:rPr/>
        <w:t>Otras personas en situación de pobreza energética: podrán ser beneficiarias del bono energético del Ayuntamiento de O Porriño aquellas personas que, no encontrándose en alguno de los colectivos anteriores, reúnan los requisitos de nivel de renta familiar contemplados en la legislación vigente para ser clasificadas en alguna de las modalidades de bono social eléctrico, pero no lo hayan conseguido por cuestiones no imputables a la propia persona solicitante.</w:t>
      </w:r>
    </w:p>
    <w:p>
      <w:pPr>
        <w:pStyle w:val="Normal"/>
        <w:spacing w:before="0" w:after="120"/>
        <w:ind w:left="720" w:right="0" w:hanging="0"/>
        <w:jc w:val="both"/>
        <w:rPr/>
      </w:pPr>
      <w:r>
        <w:rPr/>
        <w:t xml:space="preserve">En el caso de la tramitación de solicitudes según lo que se contempla en el apartado </w:t>
      </w:r>
      <w:r>
        <w:rPr>
          <w:b/>
        </w:rPr>
        <w:t>B),</w:t>
      </w:r>
      <w:r>
        <w:rPr/>
        <w:t xml:space="preserve"> el departamento municipal de Servicios sociales comunitarios básicos del Ayuntamiento de O Porriño emitirá un informe-propuesta sobre las dos siguientes cuestiones:</w:t>
      </w:r>
    </w:p>
    <w:p>
      <w:pPr>
        <w:pStyle w:val="Normal"/>
        <w:numPr>
          <w:ilvl w:val="0"/>
          <w:numId w:val="4"/>
        </w:numPr>
        <w:jc w:val="both"/>
        <w:rPr/>
      </w:pPr>
      <w:r>
        <w:rPr/>
        <w:t>La situación de pobreza energética con arreglo a los criterios contemplados en el Real decreto 897/2017, de 6 de octubre, por el que se regula la figura del consumidor vulnerable, bono social y otras medidas de protección para los consumidores domésticos de energía eléctrica y normativa de desarrollo. También se tendrá en cuenta lo contemplado en el Real decreto-ley 18/2022, del 18 de octubre, por el que se aprueban medidas de refuerzo de la protección de los consumidores de energía y de contribución a la reducción del consumo de gas natural en aplicación del “Plan + seguridad para tu energía (+SE)”, así como medidas en materia de retribuciones del personal al servicio del sector público y de protección de las personas trabajadoras agrarias eventuales afectadas por la sequía.</w:t>
      </w:r>
    </w:p>
    <w:p>
      <w:pPr>
        <w:pStyle w:val="Normal"/>
        <w:ind w:left="1440" w:right="0" w:hanging="0"/>
        <w:jc w:val="both"/>
        <w:rPr/>
      </w:pPr>
      <w:r>
        <w:rPr/>
      </w:r>
    </w:p>
    <w:p>
      <w:pPr>
        <w:pStyle w:val="Normal"/>
        <w:numPr>
          <w:ilvl w:val="0"/>
          <w:numId w:val="4"/>
        </w:numPr>
        <w:jc w:val="both"/>
        <w:rPr/>
      </w:pPr>
      <w:r>
        <w:rPr/>
        <w:t>La causa no imputable a la persona solicitante o a las personas que forman parte de su unidad de convivencia que les impide incluirse en alguna de las modalidades de bono social contempladas en la legislación vigente, de acuerdo a la documentación relacionada en este programa y que deberá ser aportada en el momento de la solicitud.</w:t>
      </w:r>
    </w:p>
    <w:p>
      <w:pPr>
        <w:pStyle w:val="Prrafodelista"/>
        <w:rPr/>
      </w:pPr>
      <w:r>
        <w:rPr/>
      </w:r>
    </w:p>
    <w:p>
      <w:pPr>
        <w:pStyle w:val="Normal"/>
        <w:numPr>
          <w:ilvl w:val="0"/>
          <w:numId w:val="1"/>
        </w:numPr>
        <w:jc w:val="both"/>
        <w:rPr/>
      </w:pPr>
      <w:r>
        <w:rPr/>
        <w:t>Personas que necesiten del mantenimiento del suministro eléctrico para garantizar la correcta cobertura de tratamientos médicos.</w:t>
      </w:r>
    </w:p>
    <w:p>
      <w:pPr>
        <w:pStyle w:val="Normal"/>
        <w:ind w:left="720" w:right="0" w:hanging="0"/>
        <w:jc w:val="both"/>
        <w:rPr/>
      </w:pPr>
      <w:r>
        <w:rPr/>
      </w:r>
    </w:p>
    <w:p>
      <w:pPr>
        <w:pStyle w:val="Normal"/>
        <w:jc w:val="both"/>
        <w:rPr>
          <w:b/>
          <w:b/>
        </w:rPr>
      </w:pPr>
      <w:r>
        <w:rPr>
          <w:b/>
        </w:rPr>
        <w:t>Importe del bono energético del Ayuntamiento de O Porriño:</w:t>
      </w:r>
    </w:p>
    <w:p>
      <w:pPr>
        <w:pStyle w:val="Normal"/>
        <w:jc w:val="both"/>
        <w:rPr>
          <w:b/>
          <w:b/>
        </w:rPr>
      </w:pPr>
      <w:r>
        <w:rPr>
          <w:b/>
        </w:rPr>
      </w:r>
    </w:p>
    <w:p>
      <w:pPr>
        <w:pStyle w:val="Normal"/>
        <w:jc w:val="both"/>
        <w:rPr/>
      </w:pPr>
      <w:r>
        <w:rPr/>
        <w:t>Para todas las personas beneficiarias del programa, el bono energético del Ayuntamiento de O Porriño consistirá en una ayuda directa de 300 € (450 € en caso de familias numerosas).</w:t>
      </w:r>
    </w:p>
    <w:p>
      <w:pPr>
        <w:pStyle w:val="Normal"/>
        <w:jc w:val="both"/>
        <w:rPr/>
      </w:pPr>
      <w:r>
        <w:rPr/>
      </w:r>
    </w:p>
    <w:p>
      <w:pPr>
        <w:pStyle w:val="Normal"/>
        <w:jc w:val="both"/>
        <w:rPr>
          <w:b/>
          <w:b/>
        </w:rPr>
      </w:pPr>
      <w:r>
        <w:rPr>
          <w:b/>
        </w:rPr>
        <w:t>Modalidad de acceso:</w:t>
      </w:r>
    </w:p>
    <w:p>
      <w:pPr>
        <w:pStyle w:val="Normal"/>
        <w:jc w:val="both"/>
        <w:rPr>
          <w:b/>
          <w:b/>
        </w:rPr>
      </w:pPr>
      <w:r>
        <w:rPr>
          <w:b/>
        </w:rPr>
      </w:r>
    </w:p>
    <w:p>
      <w:pPr>
        <w:pStyle w:val="Normal"/>
        <w:jc w:val="both"/>
        <w:rPr/>
      </w:pPr>
      <w:r>
        <w:rPr/>
        <w:t>Concurrencia no competitiva, hasta el agotamiento del crédito presupuestario, de acuerdo con lo establecido en el artículo 19.2 de la Ley 9/2007, del 13 de junio, de subvenciones de Galicia, que en su artículo 19.2 podrá exceptuar del requisito de fijar una orden de prelación entre las solicitudes presentadas que reúna los requisitos establecidos cuando, por el objeto y finalidad de la subvención, no sea necesario realizar la comparación y prelación de las solicitudes presentadas en un único procedimiento hasta el agotamiento del crédito presupuestario.</w:t>
      </w:r>
    </w:p>
    <w:p>
      <w:pPr>
        <w:pStyle w:val="Normal"/>
        <w:jc w:val="both"/>
        <w:rPr/>
      </w:pPr>
      <w:r>
        <w:rPr/>
      </w:r>
    </w:p>
    <w:p>
      <w:pPr>
        <w:pStyle w:val="Normal"/>
        <w:jc w:val="both"/>
        <w:rPr>
          <w:b/>
          <w:b/>
        </w:rPr>
      </w:pPr>
      <w:r>
        <w:rPr>
          <w:b/>
        </w:rPr>
        <w:t>Procedimiento:</w:t>
      </w:r>
    </w:p>
    <w:p>
      <w:pPr>
        <w:pStyle w:val="Normal"/>
        <w:jc w:val="both"/>
        <w:rPr>
          <w:b/>
          <w:b/>
        </w:rPr>
      </w:pPr>
      <w:r>
        <w:rPr>
          <w:b/>
        </w:rPr>
      </w:r>
    </w:p>
    <w:p>
      <w:pPr>
        <w:pStyle w:val="Normal"/>
        <w:jc w:val="both"/>
        <w:rPr/>
      </w:pPr>
      <w:r>
        <w:rPr/>
        <w:t>1.- La instancia de parte a través de modelo genérico de solicitud (ANEXO I de estas bases) presentada en el Registro municipal del Ayuntamiento de O Porriño, de acuerdo a lo siguiente:</w:t>
      </w:r>
    </w:p>
    <w:p>
      <w:pPr>
        <w:pStyle w:val="Normal"/>
        <w:jc w:val="both"/>
        <w:rPr/>
      </w:pPr>
      <w:r>
        <w:rPr/>
      </w:r>
    </w:p>
    <w:p>
      <w:pPr>
        <w:pStyle w:val="Normal"/>
        <w:numPr>
          <w:ilvl w:val="0"/>
          <w:numId w:val="7"/>
        </w:numPr>
        <w:jc w:val="both"/>
        <w:rPr/>
      </w:pPr>
      <w:r>
        <w:rPr/>
        <w:t xml:space="preserve">Las personas destinatarias contempladas en el apartado </w:t>
      </w:r>
      <w:r>
        <w:rPr>
          <w:b/>
        </w:rPr>
        <w:t>A)</w:t>
      </w:r>
      <w:r>
        <w:rPr/>
        <w:t xml:space="preserve"> deberán acompañar la solicitud (ANEXO I) con un título acreditativo de su identidad, en vigor (DNI, NIE, …), factura que contenga el bono social de referencia, en vigor en la fecha de solicitud, y un certificado de una cuenta bancaria de su titularidad. </w:t>
      </w:r>
    </w:p>
    <w:p>
      <w:pPr>
        <w:pStyle w:val="Normal"/>
        <w:numPr>
          <w:ilvl w:val="0"/>
          <w:numId w:val="7"/>
        </w:numPr>
        <w:jc w:val="both"/>
        <w:rPr/>
      </w:pPr>
      <w:r>
        <w:rPr/>
        <w:t xml:space="preserve">La persona solicitante que se encuentre incluida dentro de la población en situación de pobreza energética contemplada en el apartado </w:t>
      </w:r>
      <w:r>
        <w:rPr>
          <w:b/>
        </w:rPr>
        <w:t>B)</w:t>
      </w:r>
      <w:r>
        <w:rPr/>
        <w:t xml:space="preserve">, deberá acompañar la solicitud con la siguiente documentación: </w:t>
      </w:r>
    </w:p>
    <w:p>
      <w:pPr>
        <w:pStyle w:val="Normal"/>
        <w:ind w:left="720" w:right="0" w:hanging="0"/>
        <w:jc w:val="both"/>
        <w:rPr/>
      </w:pPr>
      <w:r>
        <w:rPr/>
      </w:r>
    </w:p>
    <w:p>
      <w:pPr>
        <w:pStyle w:val="Normal"/>
        <w:numPr>
          <w:ilvl w:val="1"/>
          <w:numId w:val="7"/>
        </w:numPr>
        <w:jc w:val="both"/>
        <w:rPr/>
      </w:pPr>
      <w:r>
        <w:rPr/>
        <w:t>Título acreditativo de su identidad, en vigor (DNI, NIE, …).</w:t>
      </w:r>
    </w:p>
    <w:p>
      <w:pPr>
        <w:pStyle w:val="Normal"/>
        <w:numPr>
          <w:ilvl w:val="1"/>
          <w:numId w:val="7"/>
        </w:numPr>
        <w:jc w:val="both"/>
        <w:rPr/>
      </w:pPr>
      <w:r>
        <w:rPr/>
        <w:t xml:space="preserve">Factura de consumo de energía eléctrica y/o energética inmediatamente anterior a la fecha de solicitud del bono energético del Ayuntamiento de O Porriño correspondiente a su domicilio habitual. </w:t>
      </w:r>
    </w:p>
    <w:p>
      <w:pPr>
        <w:pStyle w:val="Normal"/>
        <w:numPr>
          <w:ilvl w:val="1"/>
          <w:numId w:val="7"/>
        </w:numPr>
        <w:jc w:val="both"/>
        <w:rPr/>
      </w:pPr>
      <w:r>
        <w:rPr/>
        <w:t>Certificado de una cuenta bancaria de su titularidad.</w:t>
      </w:r>
    </w:p>
    <w:p>
      <w:pPr>
        <w:pStyle w:val="Normal"/>
        <w:numPr>
          <w:ilvl w:val="1"/>
          <w:numId w:val="7"/>
        </w:numPr>
        <w:jc w:val="both"/>
        <w:rPr/>
      </w:pPr>
      <w:r>
        <w:rPr/>
        <w:t xml:space="preserve">Vida laboral de las personas en edad de trabajar que formen parte de la unidad de convivencia, y, de ser el caso, nómina de aquellas que mantengan una actividad laboral, inmediatamente anterior a la fecha de solicitud. </w:t>
      </w:r>
    </w:p>
    <w:p>
      <w:pPr>
        <w:pStyle w:val="Normal"/>
        <w:numPr>
          <w:ilvl w:val="1"/>
          <w:numId w:val="7"/>
        </w:numPr>
        <w:jc w:val="both"/>
        <w:rPr/>
      </w:pPr>
      <w:r>
        <w:rPr/>
        <w:t xml:space="preserve">Certificados de prestaciones del Instituto Nacional de la Seguridad Social, del Servicio de Empleo Público Estatal y de la Xunta de Galicia. </w:t>
      </w:r>
    </w:p>
    <w:p>
      <w:pPr>
        <w:pStyle w:val="Normal"/>
        <w:numPr>
          <w:ilvl w:val="1"/>
          <w:numId w:val="7"/>
        </w:numPr>
        <w:jc w:val="both"/>
        <w:rPr/>
      </w:pPr>
      <w:r>
        <w:rPr/>
        <w:t>Volante de empadronamiento colectivo.</w:t>
      </w:r>
    </w:p>
    <w:p>
      <w:pPr>
        <w:pStyle w:val="Normal"/>
        <w:numPr>
          <w:ilvl w:val="1"/>
          <w:numId w:val="7"/>
        </w:numPr>
        <w:jc w:val="both"/>
        <w:rPr/>
      </w:pPr>
      <w:r>
        <w:rPr/>
        <w:t>Contrato de alquiler de la vivienda habitual.</w:t>
      </w:r>
    </w:p>
    <w:p>
      <w:pPr>
        <w:pStyle w:val="Normal"/>
        <w:numPr>
          <w:ilvl w:val="1"/>
          <w:numId w:val="7"/>
        </w:numPr>
        <w:jc w:val="both"/>
        <w:rPr/>
      </w:pPr>
      <w:r>
        <w:rPr/>
        <w:t>Toda aquella que, atendiendo a la situación de la unidad familiar solicitante, le sea requerida por el personal de Trabajo social del departamento municipal de Servicios sociales comunitarios básicos para la correcta valoración de la solicitud.</w:t>
      </w:r>
    </w:p>
    <w:p>
      <w:pPr>
        <w:pStyle w:val="Normal"/>
        <w:ind w:left="720" w:right="0" w:hanging="0"/>
        <w:jc w:val="both"/>
        <w:rPr/>
      </w:pPr>
      <w:r>
        <w:rPr/>
      </w:r>
    </w:p>
    <w:p>
      <w:pPr>
        <w:pStyle w:val="Normal"/>
        <w:jc w:val="both"/>
        <w:rPr/>
      </w:pPr>
      <w:r>
        <w:rPr/>
        <w:t xml:space="preserve">En el caso de las solicitudes contempladas en este apartado, cuando las facturas de consumo no se encuentren a nombre de la persona solicitante o algún miembro de su unidad familiar, se deberá aportar documentación acreditativa que permita comprobar de manera inequívoca que se está asumiendo el pago de las mismas. </w:t>
      </w:r>
    </w:p>
    <w:p>
      <w:pPr>
        <w:pStyle w:val="Normal"/>
        <w:jc w:val="both"/>
        <w:rPr/>
      </w:pPr>
      <w:r>
        <w:rPr/>
      </w:r>
    </w:p>
    <w:p>
      <w:pPr>
        <w:pStyle w:val="Normal"/>
        <w:numPr>
          <w:ilvl w:val="0"/>
          <w:numId w:val="7"/>
        </w:numPr>
        <w:jc w:val="both"/>
        <w:rPr/>
      </w:pPr>
      <w:r>
        <w:rPr/>
        <w:t xml:space="preserve">La persona solicitante que se encuentre incluida dentro de apartado </w:t>
      </w:r>
      <w:r>
        <w:rPr>
          <w:b/>
        </w:rPr>
        <w:t>C)</w:t>
      </w:r>
      <w:r>
        <w:rPr/>
        <w:t>, deberá acompañar la solicitud con un título acreditativo de su identidad, en vigor (DNI, NIE, …), factura de suministro eléctrico a nombre de alguna de las personas que forman parta de la unidad familiar de la persona solicitante, inmediatamente anterior a la fecha de solicitud (en caso de que no coincida la persona solicitante con la persona titular del contrato de suministro eléctrico deberá aportarse volante de empadronamiento colectivo), certificado de una cuenta bancaria de su titularidad e informe médico donde se acredite la necesidad del mantenimiento del suministro eléctrico para garantizar la correcta cobertura de tratamientos médicos.</w:t>
      </w:r>
    </w:p>
    <w:p>
      <w:pPr>
        <w:pStyle w:val="Normal"/>
        <w:ind w:left="720" w:right="0" w:hanging="0"/>
        <w:jc w:val="both"/>
        <w:rPr/>
      </w:pPr>
      <w:r>
        <w:rPr/>
      </w:r>
    </w:p>
    <w:p>
      <w:pPr>
        <w:pStyle w:val="Normal"/>
        <w:jc w:val="both"/>
        <w:rPr/>
      </w:pPr>
      <w:r>
        <w:rPr/>
        <w:t>En todos los casos los beneficiarios solicitantes, deberán aportar:</w:t>
      </w:r>
    </w:p>
    <w:p>
      <w:pPr>
        <w:pStyle w:val="Normal"/>
        <w:jc w:val="both"/>
        <w:rPr/>
      </w:pPr>
      <w:r>
        <w:rPr/>
      </w:r>
    </w:p>
    <w:p>
      <w:pPr>
        <w:pStyle w:val="Normal"/>
        <w:numPr>
          <w:ilvl w:val="0"/>
          <w:numId w:val="7"/>
        </w:numPr>
        <w:spacing w:before="0" w:after="120"/>
        <w:ind w:left="714" w:right="0" w:hanging="357"/>
        <w:jc w:val="both"/>
        <w:rPr/>
      </w:pPr>
      <w:r>
        <w:rPr/>
        <w:t>Acreditación válida y en vigor, en el caso de la persona solicitante pertenezca a una familia numerosa.</w:t>
      </w:r>
    </w:p>
    <w:p>
      <w:pPr>
        <w:pStyle w:val="Normal"/>
        <w:numPr>
          <w:ilvl w:val="0"/>
          <w:numId w:val="7"/>
        </w:numPr>
        <w:spacing w:before="0" w:after="120"/>
        <w:ind w:left="714" w:right="0" w:hanging="357"/>
        <w:jc w:val="both"/>
        <w:rPr/>
      </w:pPr>
      <w:r>
        <w:rPr/>
        <w:t>El modelo de cuenta justificativa simplificada del ANEXO II de estas bases, conforme a lo establecido en el artículo 75 RD 887/2006, de 21 de julio, por el que se aprueba el Reglamento de la Ley 38/2003 general de subvenciones.</w:t>
      </w:r>
    </w:p>
    <w:p>
      <w:pPr>
        <w:pStyle w:val="Normal"/>
        <w:ind w:left="720" w:right="0" w:hanging="0"/>
        <w:jc w:val="both"/>
        <w:rPr/>
      </w:pPr>
      <w:r>
        <w:rPr/>
      </w:r>
    </w:p>
    <w:p>
      <w:pPr>
        <w:pStyle w:val="Normal"/>
        <w:jc w:val="both"/>
        <w:rPr/>
      </w:pPr>
      <w:r>
        <w:rPr/>
        <w:t>2.- Las solicitudes de ayuda presentadas en plazo y con los requisitos establecidos en las bases se tramitarán y se resolverán por la Alcaldía por orden de entrada de la solicitud en el Registro. Dichas resoluciones serán notificadas a los interesados. (Artículos 40 y 71.2 de la Ley 39/2015, de procedimiento administrativo común de las administraciones públicas).</w:t>
      </w:r>
    </w:p>
    <w:p>
      <w:pPr>
        <w:pStyle w:val="Normal"/>
        <w:jc w:val="both"/>
        <w:rPr/>
      </w:pPr>
      <w:r>
        <w:rPr/>
      </w:r>
    </w:p>
    <w:p>
      <w:pPr>
        <w:pStyle w:val="Normal"/>
        <w:spacing w:before="0" w:after="120"/>
        <w:jc w:val="both"/>
        <w:rPr/>
      </w:pPr>
      <w:r>
        <w:rPr/>
        <w:t>De conformidad con lo establecido en el artículo 68 de la Ley 39/2015, de procedimiento administrativo común de las administraciones públicas, si la solicitud no reúne alguno de los requisitos exigidos en estas bases reguladoras o en la correspondiente convocatoria se requerirá al interesado para que, en un plazo de diez días hábiles, enmiende la falta o aporte los documentos preceptivos.</w:t>
      </w:r>
    </w:p>
    <w:p>
      <w:pPr>
        <w:pStyle w:val="Normal"/>
        <w:spacing w:before="0" w:after="120"/>
        <w:jc w:val="both"/>
        <w:rPr/>
      </w:pPr>
      <w:r>
        <w:rPr/>
        <w:t>3.- Estas bases del programa de bono energético para personas vulnerables o en riesgo de exclusión del Ayuntamiento de O Porriño para el ejercicio 2023 se publicarán en el tablón de anuncios de la Sede electrónica y en el tablón físico de anuncios del Ayuntamiento de O Porriño, y de forma complementaria, en la página web municipal www.oporrino.org y en las redes sociales municipales.</w:t>
      </w:r>
    </w:p>
    <w:p>
      <w:pPr>
        <w:pStyle w:val="Normal"/>
        <w:jc w:val="both"/>
        <w:rPr/>
      </w:pPr>
      <w:r>
        <w:rPr/>
        <w:t>4.- De conformidad con lo previsto en los artículos 17.3 b) y 20.8.a) de la Ley 38/2023, de 17 de noviembre, general de subvenciones, se comunicará a la Base de datos nacional de subvenciones (BDNS) la información requerida por la misma, y un extracto del texto de esta CONVOCATORIA para publicarlo en el BOPPO a través de la BDNS.</w:t>
      </w:r>
    </w:p>
    <w:p>
      <w:pPr>
        <w:pStyle w:val="Normal"/>
        <w:jc w:val="both"/>
        <w:rPr/>
      </w:pPr>
      <w:r>
        <w:rPr/>
      </w:r>
    </w:p>
    <w:p>
      <w:pPr>
        <w:pStyle w:val="Normal"/>
        <w:jc w:val="both"/>
        <w:rPr/>
      </w:pPr>
      <w:r>
        <w:rPr/>
        <w:t>5.- El plazo de presentación de solicitudes comenzará al día siguiente al de la publicación del extracto de la convocatoria en el Boletín Oficial de la Provincia de Pontevedra (BOPPO) y terminará el 15 de noviembre de 2023.</w:t>
      </w:r>
    </w:p>
    <w:p>
      <w:pPr>
        <w:pStyle w:val="Normal"/>
        <w:jc w:val="both"/>
        <w:rPr/>
      </w:pPr>
      <w:r>
        <w:rPr/>
      </w:r>
    </w:p>
    <w:p>
      <w:pPr>
        <w:pStyle w:val="Normal"/>
        <w:jc w:val="both"/>
        <w:rPr/>
      </w:pPr>
      <w:r>
        <w:rPr/>
        <w:t xml:space="preserve">6.- Con todo, en el supuesto de que antes de finalizar el plazo de presentación de solicitudes se acabase el crédito establecido en la convocatoria, el alcalde, órgano concedente, acordará la inadmisión de solicitudes y publicará tal circunstancia en el tablón de anuncios de la Sede electrónica y en el tablón físico de anuncios del Ayuntamiento de O Porriño, y de forma complementaria en la página web municipal </w:t>
      </w:r>
      <w:hyperlink r:id="rId2">
        <w:r>
          <w:rPr>
            <w:rStyle w:val="EnlacedeInternet"/>
          </w:rPr>
          <w:t>www.oporrino.org</w:t>
        </w:r>
      </w:hyperlink>
      <w:r>
        <w:rPr/>
        <w:t>.</w:t>
      </w:r>
    </w:p>
    <w:p>
      <w:pPr>
        <w:pStyle w:val="Normal"/>
        <w:jc w:val="both"/>
        <w:rPr/>
      </w:pPr>
      <w:r>
        <w:rPr/>
      </w:r>
    </w:p>
    <w:p>
      <w:pPr>
        <w:pStyle w:val="Normal"/>
        <w:jc w:val="both"/>
        <w:rPr/>
      </w:pPr>
      <w:r>
        <w:rPr/>
        <w:t>7.- La presentación fuera de plazo de la solicitud implicará su inadmisión.</w:t>
      </w:r>
    </w:p>
    <w:p>
      <w:pPr>
        <w:pStyle w:val="Normal"/>
        <w:jc w:val="both"/>
        <w:rPr/>
      </w:pPr>
      <w:r>
        <w:rPr/>
      </w:r>
    </w:p>
    <w:p>
      <w:pPr>
        <w:pStyle w:val="Normal"/>
        <w:jc w:val="both"/>
        <w:rPr/>
      </w:pPr>
      <w:r>
        <w:rPr/>
        <w:t>8.- La instrucción del procedimiento de concesión, seguimiento y cumplimiento de esta subvención, corresponderá a los/las trabajadores/as sociales del departamento de Servicios sociales del Ayuntamiento de O Porriño, como departamento instructor y gestor a todos los efectos.</w:t>
      </w:r>
    </w:p>
    <w:p>
      <w:pPr>
        <w:pStyle w:val="Normal"/>
        <w:rPr/>
      </w:pPr>
      <w:r>
        <w:rPr/>
      </w:r>
    </w:p>
    <w:p>
      <w:pPr>
        <w:pStyle w:val="Normal"/>
        <w:numPr>
          <w:ilvl w:val="0"/>
          <w:numId w:val="2"/>
        </w:numPr>
        <w:spacing w:before="0" w:after="120"/>
        <w:ind w:left="714" w:right="0" w:hanging="357"/>
        <w:jc w:val="both"/>
        <w:rPr/>
      </w:pPr>
      <w:r>
        <w:rPr/>
        <w:t>Recibidas las solicitudes, el departamento gestor de la subvención, comprobará que se presentó la documentación justificativa en plazo y forma, y realizará de oficio cuantas actuaciones estime necesarias para la determinación, conocimiento y comprobación de los datos y evaluará las solicitudes de conformidad con lo establecido en estas bases. Dentro de estas actuaciones se contempla expresamente el informe de los/las trabajadores/las sociales del departamento gestor que pondrá de manifiesto el cumplimiento total del objeto de la subvención.</w:t>
      </w:r>
    </w:p>
    <w:p>
      <w:pPr>
        <w:pStyle w:val="Normal"/>
        <w:numPr>
          <w:ilvl w:val="0"/>
          <w:numId w:val="2"/>
        </w:numPr>
        <w:spacing w:before="0" w:after="120"/>
        <w:ind w:left="714" w:right="0" w:hanging="357"/>
        <w:jc w:val="both"/>
        <w:rPr/>
      </w:pPr>
      <w:r>
        <w:rPr/>
        <w:t>Emitidos los informes correspondientes por los/las trabajadores/las sociales, en su calidad de órgano instructor, el concejal delegado de Servicios sociales formulará la oportuna propuesta de resolución que deberá ser fiscalizada previamente por la Intervención municipal.</w:t>
      </w:r>
    </w:p>
    <w:p>
      <w:pPr>
        <w:pStyle w:val="Normal"/>
        <w:numPr>
          <w:ilvl w:val="0"/>
          <w:numId w:val="2"/>
        </w:numPr>
        <w:spacing w:before="0" w:after="120"/>
        <w:ind w:left="714" w:right="0" w:hanging="357"/>
        <w:jc w:val="both"/>
        <w:rPr/>
      </w:pPr>
      <w:r>
        <w:rPr/>
        <w:t>La resolución la dictará el alcalde, como órgano competente, y será notificada a los beneficiarios.</w:t>
      </w:r>
    </w:p>
    <w:p>
      <w:pPr>
        <w:pStyle w:val="Normal"/>
        <w:spacing w:before="0" w:after="120"/>
        <w:rPr>
          <w:b/>
          <w:b/>
        </w:rPr>
      </w:pPr>
      <w:r>
        <w:rPr>
          <w:b/>
        </w:rPr>
        <w:t xml:space="preserve">Aplicación presupuestaria e importe: </w:t>
      </w:r>
    </w:p>
    <w:p>
      <w:pPr>
        <w:pStyle w:val="Normal"/>
        <w:rPr/>
      </w:pPr>
      <w:r>
        <w:rPr/>
        <w:t>Partida presupuestaria: 231/4800005</w:t>
      </w:r>
    </w:p>
    <w:p>
      <w:pPr>
        <w:pStyle w:val="Normal"/>
        <w:jc w:val="both"/>
        <w:rPr/>
      </w:pPr>
      <w:r>
        <w:rPr/>
        <w:t>Importe: 150.000 euros.</w:t>
      </w:r>
    </w:p>
    <w:p>
      <w:pPr>
        <w:pStyle w:val="Normal"/>
        <w:jc w:val="both"/>
        <w:rPr/>
      </w:pPr>
      <w:r>
        <w:rPr/>
      </w:r>
    </w:p>
    <w:p>
      <w:pPr>
        <w:pStyle w:val="Normal"/>
        <w:spacing w:before="0" w:after="120"/>
        <w:jc w:val="both"/>
        <w:rPr>
          <w:b/>
          <w:b/>
        </w:rPr>
      </w:pPr>
      <w:r>
        <w:rPr>
          <w:b/>
        </w:rPr>
        <w:t>Remisión normativa:</w:t>
      </w:r>
    </w:p>
    <w:p>
      <w:pPr>
        <w:pStyle w:val="Normal"/>
        <w:jc w:val="both"/>
        <w:rPr/>
      </w:pPr>
      <w:r>
        <w:rPr/>
        <w:t>Para todo lo no previsto en estas Bases, se observará lo establecido en la Ley 38/2003, de 17 de noviembre, general de subvenciones y en su reglamento, en la Ley 9/2007, de 13 de junio, de subvenciones de Galicia y en su reglamento, y en la Ley 39/2015, de 1 de octubre, del procedimiento administrativo común de las administraciones públicas y demás normativa de aplicación.</w:t>
      </w:r>
    </w:p>
    <w:p>
      <w:pPr>
        <w:pStyle w:val="Normal"/>
        <w:rPr/>
      </w:pPr>
      <w:r>
        <w:rPr/>
      </w:r>
    </w:p>
    <w:p>
      <w:pPr>
        <w:pStyle w:val="Normal"/>
        <w:rPr>
          <w:b/>
          <w:b/>
        </w:rPr>
      </w:pPr>
      <w:r>
        <w:rPr>
          <w:b/>
        </w:rPr>
        <w:t xml:space="preserve">Recursos: </w:t>
      </w:r>
    </w:p>
    <w:p>
      <w:pPr>
        <w:pStyle w:val="Normal"/>
        <w:rPr>
          <w:b/>
          <w:b/>
        </w:rPr>
      </w:pPr>
      <w:r>
        <w:rPr>
          <w:b/>
        </w:rPr>
      </w:r>
    </w:p>
    <w:p>
      <w:pPr>
        <w:pStyle w:val="Normal"/>
        <w:jc w:val="both"/>
        <w:rPr/>
      </w:pPr>
      <w:r>
        <w:rPr/>
        <w:t>Estas bases y cuantos actos administrativos se deriven de las mismas podrán ser impugnadas por los interesados en la forma prevista en la Ley 39/2015, de 1 de octubre, del procedimiento administrativo común de las administraciones públicas.</w:t>
      </w:r>
    </w:p>
    <w:p>
      <w:pPr>
        <w:pStyle w:val="Normal"/>
        <w:rPr/>
      </w:pPr>
      <w:r>
        <w:rPr/>
      </w:r>
    </w:p>
    <w:p>
      <w:pPr>
        <w:pStyle w:val="Normal"/>
        <w:rPr/>
      </w:pPr>
      <w:r>
        <w:rPr/>
      </w:r>
    </w:p>
    <w:p>
      <w:pPr>
        <w:pStyle w:val="Normal"/>
        <w:jc w:val="center"/>
        <w:rPr>
          <w:b/>
          <w:b/>
        </w:rPr>
      </w:pPr>
      <w:r>
        <w:rPr>
          <w:b/>
        </w:rPr>
        <w:t>ANEXO I. SOLICITUD</w:t>
      </w:r>
    </w:p>
    <w:p>
      <w:pPr>
        <w:pStyle w:val="Normal"/>
        <w:rPr>
          <w:b/>
          <w:b/>
        </w:rPr>
      </w:pPr>
      <w:r>
        <w:rPr>
          <w:b/>
        </w:rPr>
      </w:r>
    </w:p>
    <w:p>
      <w:pPr>
        <w:pStyle w:val="Normal"/>
        <w:rPr/>
      </w:pPr>
      <w:r>
        <w:rPr/>
      </w:r>
    </w:p>
    <w:p>
      <w:pPr>
        <w:pStyle w:val="Normal"/>
        <w:rPr/>
      </w:pPr>
      <w:r>
        <w:rPr/>
      </w:r>
    </w:p>
    <w:tbl>
      <w:tblPr>
        <w:tblW w:w="9131" w:type="dxa"/>
        <w:jc w:val="left"/>
        <w:tblInd w:w="-113" w:type="dxa"/>
        <w:tblLayout w:type="fixed"/>
        <w:tblCellMar>
          <w:top w:w="0" w:type="dxa"/>
          <w:left w:w="108" w:type="dxa"/>
          <w:bottom w:w="0" w:type="dxa"/>
          <w:right w:w="108" w:type="dxa"/>
        </w:tblCellMar>
      </w:tblPr>
      <w:tblGrid>
        <w:gridCol w:w="2282"/>
        <w:gridCol w:w="830"/>
        <w:gridCol w:w="1958"/>
        <w:gridCol w:w="4061"/>
      </w:tblGrid>
      <w:tr>
        <w:trPr>
          <w:trHeight w:val="270" w:hRule="atLeast"/>
        </w:trPr>
        <w:tc>
          <w:tcPr>
            <w:tcW w:w="5070" w:type="dxa"/>
            <w:gridSpan w:val="3"/>
            <w:tcBorders>
              <w:top w:val="single" w:sz="4" w:space="0" w:color="000000"/>
              <w:left w:val="single" w:sz="4" w:space="0" w:color="000000"/>
              <w:bottom w:val="single" w:sz="4" w:space="0" w:color="000000"/>
              <w:right w:val="single" w:sz="4" w:space="0" w:color="000000"/>
            </w:tcBorders>
          </w:tcPr>
          <w:p>
            <w:pPr>
              <w:pStyle w:val="Normal"/>
              <w:rPr>
                <w:sz w:val="20"/>
                <w:szCs w:val="20"/>
              </w:rPr>
            </w:pPr>
            <w:r>
              <w:rPr>
                <w:sz w:val="20"/>
                <w:szCs w:val="20"/>
              </w:rPr>
              <w:t>D./D.ª:</w:t>
            </w:r>
          </w:p>
        </w:tc>
        <w:tc>
          <w:tcPr>
            <w:tcW w:w="4061" w:type="dxa"/>
            <w:tcBorders>
              <w:top w:val="single" w:sz="4" w:space="0" w:color="000000"/>
              <w:left w:val="single" w:sz="4" w:space="0" w:color="000000"/>
              <w:bottom w:val="single" w:sz="4" w:space="0" w:color="000000"/>
              <w:right w:val="single" w:sz="4" w:space="0" w:color="000000"/>
            </w:tcBorders>
          </w:tcPr>
          <w:p>
            <w:pPr>
              <w:pStyle w:val="Normal"/>
              <w:rPr>
                <w:sz w:val="20"/>
                <w:szCs w:val="20"/>
              </w:rPr>
            </w:pPr>
            <w:r>
              <w:rPr>
                <w:sz w:val="20"/>
                <w:szCs w:val="20"/>
              </w:rPr>
              <w:t>DNI:</w:t>
            </w:r>
          </w:p>
        </w:tc>
      </w:tr>
      <w:tr>
        <w:trPr>
          <w:trHeight w:val="297" w:hRule="atLeast"/>
        </w:trPr>
        <w:tc>
          <w:tcPr>
            <w:tcW w:w="5070" w:type="dxa"/>
            <w:gridSpan w:val="3"/>
            <w:tcBorders>
              <w:top w:val="single" w:sz="4" w:space="0" w:color="000000"/>
              <w:left w:val="single" w:sz="4" w:space="0" w:color="000000"/>
              <w:bottom w:val="single" w:sz="4" w:space="0" w:color="000000"/>
              <w:right w:val="single" w:sz="4" w:space="0" w:color="000000"/>
            </w:tcBorders>
          </w:tcPr>
          <w:p>
            <w:pPr>
              <w:pStyle w:val="Normal"/>
              <w:snapToGrid w:val="false"/>
              <w:rPr>
                <w:sz w:val="20"/>
                <w:szCs w:val="20"/>
              </w:rPr>
            </w:pPr>
            <w:r>
              <w:rPr>
                <w:sz w:val="20"/>
                <w:szCs w:val="20"/>
              </w:rPr>
            </w:r>
          </w:p>
        </w:tc>
        <w:tc>
          <w:tcPr>
            <w:tcW w:w="4061" w:type="dxa"/>
            <w:tcBorders>
              <w:top w:val="single" w:sz="4" w:space="0" w:color="000000"/>
              <w:left w:val="single" w:sz="4" w:space="0" w:color="000000"/>
              <w:bottom w:val="single" w:sz="4" w:space="0" w:color="000000"/>
              <w:right w:val="single" w:sz="4" w:space="0" w:color="000000"/>
            </w:tcBorders>
          </w:tcPr>
          <w:p>
            <w:pPr>
              <w:pStyle w:val="Normal"/>
              <w:snapToGrid w:val="false"/>
              <w:rPr>
                <w:sz w:val="20"/>
                <w:szCs w:val="20"/>
              </w:rPr>
            </w:pPr>
            <w:r>
              <w:rPr>
                <w:sz w:val="20"/>
                <w:szCs w:val="20"/>
              </w:rPr>
            </w:r>
          </w:p>
        </w:tc>
      </w:tr>
      <w:tr>
        <w:trPr>
          <w:trHeight w:val="284" w:hRule="atLeast"/>
        </w:trPr>
        <w:tc>
          <w:tcPr>
            <w:tcW w:w="5070" w:type="dxa"/>
            <w:gridSpan w:val="3"/>
            <w:tcBorders>
              <w:top w:val="single" w:sz="4" w:space="0" w:color="000000"/>
              <w:left w:val="single" w:sz="4" w:space="0" w:color="000000"/>
              <w:bottom w:val="single" w:sz="4" w:space="0" w:color="000000"/>
              <w:right w:val="single" w:sz="4" w:space="0" w:color="000000"/>
            </w:tcBorders>
          </w:tcPr>
          <w:p>
            <w:pPr>
              <w:pStyle w:val="Normal"/>
              <w:rPr>
                <w:sz w:val="20"/>
                <w:szCs w:val="20"/>
              </w:rPr>
            </w:pPr>
            <w:r>
              <w:rPr>
                <w:sz w:val="20"/>
                <w:szCs w:val="20"/>
              </w:rPr>
              <w:t xml:space="preserve">En representación de: </w:t>
            </w:r>
          </w:p>
        </w:tc>
        <w:tc>
          <w:tcPr>
            <w:tcW w:w="4061" w:type="dxa"/>
            <w:tcBorders>
              <w:top w:val="single" w:sz="4" w:space="0" w:color="000000"/>
              <w:left w:val="single" w:sz="4" w:space="0" w:color="000000"/>
              <w:bottom w:val="single" w:sz="4" w:space="0" w:color="000000"/>
              <w:right w:val="single" w:sz="4" w:space="0" w:color="000000"/>
            </w:tcBorders>
          </w:tcPr>
          <w:p>
            <w:pPr>
              <w:pStyle w:val="Normal"/>
              <w:rPr>
                <w:sz w:val="20"/>
                <w:szCs w:val="20"/>
              </w:rPr>
            </w:pPr>
            <w:r>
              <w:rPr>
                <w:sz w:val="20"/>
                <w:szCs w:val="20"/>
              </w:rPr>
              <w:t>DNI/CIF:</w:t>
            </w:r>
          </w:p>
        </w:tc>
      </w:tr>
      <w:tr>
        <w:trPr>
          <w:trHeight w:val="297" w:hRule="atLeast"/>
        </w:trPr>
        <w:tc>
          <w:tcPr>
            <w:tcW w:w="5070" w:type="dxa"/>
            <w:gridSpan w:val="3"/>
            <w:tcBorders>
              <w:top w:val="single" w:sz="4" w:space="0" w:color="000000"/>
              <w:left w:val="single" w:sz="4" w:space="0" w:color="000000"/>
              <w:bottom w:val="single" w:sz="4" w:space="0" w:color="000000"/>
              <w:right w:val="single" w:sz="4" w:space="0" w:color="000000"/>
            </w:tcBorders>
          </w:tcPr>
          <w:p>
            <w:pPr>
              <w:pStyle w:val="Normal"/>
              <w:snapToGrid w:val="false"/>
              <w:rPr>
                <w:sz w:val="20"/>
                <w:szCs w:val="20"/>
              </w:rPr>
            </w:pPr>
            <w:r>
              <w:rPr>
                <w:sz w:val="20"/>
                <w:szCs w:val="20"/>
              </w:rPr>
            </w:r>
          </w:p>
        </w:tc>
        <w:tc>
          <w:tcPr>
            <w:tcW w:w="4061" w:type="dxa"/>
            <w:tcBorders>
              <w:top w:val="single" w:sz="4" w:space="0" w:color="000000"/>
              <w:left w:val="single" w:sz="4" w:space="0" w:color="000000"/>
              <w:bottom w:val="single" w:sz="4" w:space="0" w:color="000000"/>
              <w:right w:val="single" w:sz="4" w:space="0" w:color="000000"/>
            </w:tcBorders>
          </w:tcPr>
          <w:p>
            <w:pPr>
              <w:pStyle w:val="Normal"/>
              <w:snapToGrid w:val="false"/>
              <w:rPr>
                <w:sz w:val="20"/>
                <w:szCs w:val="20"/>
              </w:rPr>
            </w:pPr>
            <w:r>
              <w:rPr>
                <w:sz w:val="20"/>
                <w:szCs w:val="20"/>
              </w:rPr>
            </w:r>
          </w:p>
        </w:tc>
      </w:tr>
      <w:tr>
        <w:trPr>
          <w:trHeight w:val="270" w:hRule="atLeast"/>
        </w:trPr>
        <w:tc>
          <w:tcPr>
            <w:tcW w:w="3112" w:type="dxa"/>
            <w:gridSpan w:val="2"/>
            <w:tcBorders>
              <w:top w:val="single" w:sz="4" w:space="0" w:color="000000"/>
              <w:left w:val="single" w:sz="4" w:space="0" w:color="000000"/>
              <w:bottom w:val="single" w:sz="4" w:space="0" w:color="000000"/>
              <w:right w:val="single" w:sz="4" w:space="0" w:color="000000"/>
            </w:tcBorders>
          </w:tcPr>
          <w:p>
            <w:pPr>
              <w:pStyle w:val="Normal"/>
              <w:rPr>
                <w:sz w:val="20"/>
                <w:szCs w:val="20"/>
              </w:rPr>
            </w:pPr>
            <w:r>
              <w:rPr>
                <w:sz w:val="20"/>
                <w:szCs w:val="20"/>
              </w:rPr>
              <w:t>Teléfono fijo:</w:t>
            </w:r>
          </w:p>
        </w:tc>
        <w:tc>
          <w:tcPr>
            <w:tcW w:w="1958" w:type="dxa"/>
            <w:tcBorders>
              <w:top w:val="single" w:sz="4" w:space="0" w:color="000000"/>
              <w:left w:val="single" w:sz="4" w:space="0" w:color="000000"/>
              <w:bottom w:val="single" w:sz="4" w:space="0" w:color="000000"/>
              <w:right w:val="single" w:sz="4" w:space="0" w:color="000000"/>
            </w:tcBorders>
          </w:tcPr>
          <w:p>
            <w:pPr>
              <w:pStyle w:val="Normal"/>
              <w:rPr>
                <w:sz w:val="20"/>
                <w:szCs w:val="20"/>
              </w:rPr>
            </w:pPr>
            <w:r>
              <w:rPr>
                <w:sz w:val="20"/>
                <w:szCs w:val="20"/>
              </w:rPr>
              <w:t>Teléfono móvil:</w:t>
            </w:r>
          </w:p>
        </w:tc>
        <w:tc>
          <w:tcPr>
            <w:tcW w:w="4061" w:type="dxa"/>
            <w:tcBorders>
              <w:top w:val="single" w:sz="4" w:space="0" w:color="000000"/>
              <w:left w:val="single" w:sz="4" w:space="0" w:color="000000"/>
              <w:bottom w:val="single" w:sz="4" w:space="0" w:color="000000"/>
              <w:right w:val="single" w:sz="4" w:space="0" w:color="000000"/>
            </w:tcBorders>
          </w:tcPr>
          <w:p>
            <w:pPr>
              <w:pStyle w:val="Normal"/>
              <w:rPr>
                <w:sz w:val="20"/>
                <w:szCs w:val="20"/>
              </w:rPr>
            </w:pPr>
            <w:r>
              <w:rPr>
                <w:sz w:val="20"/>
                <w:szCs w:val="20"/>
              </w:rPr>
              <w:t>Correo electrónico:</w:t>
            </w:r>
          </w:p>
        </w:tc>
      </w:tr>
      <w:tr>
        <w:trPr>
          <w:trHeight w:val="297" w:hRule="atLeast"/>
        </w:trPr>
        <w:tc>
          <w:tcPr>
            <w:tcW w:w="3112" w:type="dxa"/>
            <w:gridSpan w:val="2"/>
            <w:tcBorders>
              <w:top w:val="single" w:sz="4" w:space="0" w:color="000000"/>
              <w:left w:val="single" w:sz="4" w:space="0" w:color="000000"/>
              <w:bottom w:val="single" w:sz="4" w:space="0" w:color="000000"/>
              <w:right w:val="single" w:sz="4" w:space="0" w:color="000000"/>
            </w:tcBorders>
          </w:tcPr>
          <w:p>
            <w:pPr>
              <w:pStyle w:val="Normal"/>
              <w:snapToGrid w:val="false"/>
              <w:rPr>
                <w:sz w:val="20"/>
                <w:szCs w:val="20"/>
              </w:rPr>
            </w:pPr>
            <w:r>
              <w:rPr>
                <w:sz w:val="20"/>
                <w:szCs w:val="20"/>
              </w:rPr>
            </w:r>
          </w:p>
        </w:tc>
        <w:tc>
          <w:tcPr>
            <w:tcW w:w="1958" w:type="dxa"/>
            <w:tcBorders>
              <w:top w:val="single" w:sz="4" w:space="0" w:color="000000"/>
              <w:left w:val="single" w:sz="4" w:space="0" w:color="000000"/>
              <w:bottom w:val="single" w:sz="4" w:space="0" w:color="000000"/>
              <w:right w:val="single" w:sz="4" w:space="0" w:color="000000"/>
            </w:tcBorders>
          </w:tcPr>
          <w:p>
            <w:pPr>
              <w:pStyle w:val="Normal"/>
              <w:snapToGrid w:val="false"/>
              <w:rPr>
                <w:sz w:val="20"/>
                <w:szCs w:val="20"/>
              </w:rPr>
            </w:pPr>
            <w:r>
              <w:rPr>
                <w:sz w:val="20"/>
                <w:szCs w:val="20"/>
              </w:rPr>
            </w:r>
          </w:p>
        </w:tc>
        <w:tc>
          <w:tcPr>
            <w:tcW w:w="4061" w:type="dxa"/>
            <w:tcBorders>
              <w:top w:val="single" w:sz="4" w:space="0" w:color="000000"/>
              <w:left w:val="single" w:sz="4" w:space="0" w:color="000000"/>
              <w:bottom w:val="single" w:sz="4" w:space="0" w:color="000000"/>
              <w:right w:val="single" w:sz="4" w:space="0" w:color="000000"/>
            </w:tcBorders>
          </w:tcPr>
          <w:p>
            <w:pPr>
              <w:pStyle w:val="Normal"/>
              <w:snapToGrid w:val="false"/>
              <w:rPr>
                <w:sz w:val="20"/>
                <w:szCs w:val="20"/>
              </w:rPr>
            </w:pPr>
            <w:r>
              <w:rPr>
                <w:sz w:val="20"/>
                <w:szCs w:val="20"/>
              </w:rPr>
            </w:r>
          </w:p>
        </w:tc>
      </w:tr>
      <w:tr>
        <w:trPr>
          <w:trHeight w:val="297" w:hRule="atLeast"/>
        </w:trPr>
        <w:tc>
          <w:tcPr>
            <w:tcW w:w="2282" w:type="dxa"/>
            <w:tcBorders>
              <w:top w:val="single" w:sz="4" w:space="0" w:color="000000"/>
              <w:left w:val="single" w:sz="4" w:space="0" w:color="000000"/>
              <w:bottom w:val="single" w:sz="4" w:space="0" w:color="000000"/>
              <w:right w:val="single" w:sz="4" w:space="0" w:color="000000"/>
            </w:tcBorders>
          </w:tcPr>
          <w:p>
            <w:pPr>
              <w:pStyle w:val="Normal"/>
              <w:rPr>
                <w:sz w:val="20"/>
                <w:szCs w:val="20"/>
              </w:rPr>
            </w:pPr>
            <w:r>
              <w:rPr>
                <w:sz w:val="20"/>
                <w:szCs w:val="20"/>
              </w:rPr>
              <w:t>Dirección: calle/número</w:t>
            </w:r>
          </w:p>
        </w:tc>
        <w:tc>
          <w:tcPr>
            <w:tcW w:w="6849" w:type="dxa"/>
            <w:gridSpan w:val="3"/>
            <w:tcBorders>
              <w:top w:val="single" w:sz="4" w:space="0" w:color="000000"/>
              <w:left w:val="single" w:sz="4" w:space="0" w:color="000000"/>
              <w:bottom w:val="single" w:sz="4" w:space="0" w:color="000000"/>
              <w:right w:val="single" w:sz="4" w:space="0" w:color="000000"/>
            </w:tcBorders>
          </w:tcPr>
          <w:p>
            <w:pPr>
              <w:pStyle w:val="Normal"/>
              <w:snapToGrid w:val="false"/>
              <w:rPr>
                <w:sz w:val="20"/>
                <w:szCs w:val="20"/>
              </w:rPr>
            </w:pPr>
            <w:r>
              <w:rPr>
                <w:sz w:val="20"/>
                <w:szCs w:val="20"/>
              </w:rPr>
            </w:r>
          </w:p>
        </w:tc>
      </w:tr>
      <w:tr>
        <w:trPr>
          <w:trHeight w:val="297" w:hRule="atLeast"/>
        </w:trPr>
        <w:tc>
          <w:tcPr>
            <w:tcW w:w="2282" w:type="dxa"/>
            <w:tcBorders>
              <w:top w:val="single" w:sz="4" w:space="0" w:color="000000"/>
              <w:left w:val="single" w:sz="4" w:space="0" w:color="000000"/>
              <w:bottom w:val="single" w:sz="4" w:space="0" w:color="000000"/>
              <w:right w:val="single" w:sz="4" w:space="0" w:color="000000"/>
            </w:tcBorders>
          </w:tcPr>
          <w:p>
            <w:pPr>
              <w:pStyle w:val="Normal"/>
              <w:snapToGrid w:val="false"/>
              <w:rPr>
                <w:sz w:val="20"/>
                <w:szCs w:val="20"/>
              </w:rPr>
            </w:pPr>
            <w:r>
              <w:rPr>
                <w:sz w:val="20"/>
                <w:szCs w:val="20"/>
              </w:rPr>
            </w:r>
          </w:p>
        </w:tc>
        <w:tc>
          <w:tcPr>
            <w:tcW w:w="6849" w:type="dxa"/>
            <w:gridSpan w:val="3"/>
            <w:tcBorders>
              <w:top w:val="single" w:sz="4" w:space="0" w:color="000000"/>
              <w:left w:val="single" w:sz="4" w:space="0" w:color="000000"/>
              <w:bottom w:val="single" w:sz="4" w:space="0" w:color="000000"/>
              <w:right w:val="single" w:sz="4" w:space="0" w:color="000000"/>
            </w:tcBorders>
          </w:tcPr>
          <w:p>
            <w:pPr>
              <w:pStyle w:val="Normal"/>
              <w:snapToGrid w:val="false"/>
              <w:rPr>
                <w:sz w:val="20"/>
                <w:szCs w:val="20"/>
              </w:rPr>
            </w:pPr>
            <w:r>
              <w:rPr>
                <w:sz w:val="20"/>
                <w:szCs w:val="20"/>
              </w:rPr>
            </w:r>
          </w:p>
        </w:tc>
      </w:tr>
      <w:tr>
        <w:trPr>
          <w:trHeight w:val="58" w:hRule="atLeast"/>
        </w:trPr>
        <w:tc>
          <w:tcPr>
            <w:tcW w:w="2282" w:type="dxa"/>
            <w:tcBorders>
              <w:top w:val="single" w:sz="4" w:space="0" w:color="000000"/>
              <w:left w:val="single" w:sz="4" w:space="0" w:color="000000"/>
              <w:bottom w:val="single" w:sz="4" w:space="0" w:color="000000"/>
              <w:right w:val="single" w:sz="4" w:space="0" w:color="000000"/>
            </w:tcBorders>
          </w:tcPr>
          <w:p>
            <w:pPr>
              <w:pStyle w:val="Normal"/>
              <w:rPr>
                <w:sz w:val="20"/>
                <w:szCs w:val="20"/>
              </w:rPr>
            </w:pPr>
            <w:r>
              <w:rPr>
                <w:sz w:val="20"/>
                <w:szCs w:val="20"/>
              </w:rPr>
              <w:t>Ayuntamiento:</w:t>
            </w:r>
          </w:p>
        </w:tc>
        <w:tc>
          <w:tcPr>
            <w:tcW w:w="2788" w:type="dxa"/>
            <w:gridSpan w:val="2"/>
            <w:tcBorders>
              <w:top w:val="single" w:sz="4" w:space="0" w:color="000000"/>
              <w:left w:val="single" w:sz="4" w:space="0" w:color="000000"/>
              <w:bottom w:val="single" w:sz="4" w:space="0" w:color="000000"/>
              <w:right w:val="single" w:sz="4" w:space="0" w:color="000000"/>
            </w:tcBorders>
          </w:tcPr>
          <w:p>
            <w:pPr>
              <w:pStyle w:val="Normal"/>
              <w:rPr>
                <w:sz w:val="20"/>
                <w:szCs w:val="20"/>
              </w:rPr>
            </w:pPr>
            <w:r>
              <w:rPr>
                <w:sz w:val="20"/>
                <w:szCs w:val="20"/>
              </w:rPr>
              <w:t>Provincia:</w:t>
            </w:r>
          </w:p>
        </w:tc>
        <w:tc>
          <w:tcPr>
            <w:tcW w:w="4061" w:type="dxa"/>
            <w:tcBorders>
              <w:top w:val="single" w:sz="4" w:space="0" w:color="000000"/>
              <w:left w:val="single" w:sz="4" w:space="0" w:color="000000"/>
              <w:bottom w:val="single" w:sz="4" w:space="0" w:color="000000"/>
              <w:right w:val="single" w:sz="4" w:space="0" w:color="000000"/>
            </w:tcBorders>
          </w:tcPr>
          <w:p>
            <w:pPr>
              <w:pStyle w:val="Normal"/>
              <w:rPr>
                <w:sz w:val="20"/>
                <w:szCs w:val="20"/>
              </w:rPr>
            </w:pPr>
            <w:r>
              <w:rPr>
                <w:sz w:val="20"/>
                <w:szCs w:val="20"/>
              </w:rPr>
              <w:t>Código postal:</w:t>
            </w:r>
          </w:p>
        </w:tc>
      </w:tr>
      <w:tr>
        <w:trPr>
          <w:trHeight w:val="58" w:hRule="atLeast"/>
        </w:trPr>
        <w:tc>
          <w:tcPr>
            <w:tcW w:w="2282" w:type="dxa"/>
            <w:tcBorders>
              <w:top w:val="single" w:sz="4" w:space="0" w:color="000000"/>
              <w:left w:val="single" w:sz="4" w:space="0" w:color="000000"/>
              <w:bottom w:val="single" w:sz="4" w:space="0" w:color="000000"/>
              <w:right w:val="single" w:sz="4" w:space="0" w:color="000000"/>
            </w:tcBorders>
          </w:tcPr>
          <w:p>
            <w:pPr>
              <w:pStyle w:val="Normal"/>
              <w:snapToGrid w:val="false"/>
              <w:rPr>
                <w:sz w:val="20"/>
                <w:szCs w:val="20"/>
              </w:rPr>
            </w:pPr>
            <w:r>
              <w:rPr>
                <w:sz w:val="20"/>
                <w:szCs w:val="20"/>
              </w:rPr>
            </w:r>
          </w:p>
        </w:tc>
        <w:tc>
          <w:tcPr>
            <w:tcW w:w="2788" w:type="dxa"/>
            <w:gridSpan w:val="2"/>
            <w:tcBorders>
              <w:top w:val="single" w:sz="4" w:space="0" w:color="000000"/>
              <w:left w:val="single" w:sz="4" w:space="0" w:color="000000"/>
              <w:bottom w:val="single" w:sz="4" w:space="0" w:color="000000"/>
              <w:right w:val="single" w:sz="4" w:space="0" w:color="000000"/>
            </w:tcBorders>
          </w:tcPr>
          <w:p>
            <w:pPr>
              <w:pStyle w:val="Normal"/>
              <w:snapToGrid w:val="false"/>
              <w:rPr>
                <w:sz w:val="20"/>
                <w:szCs w:val="20"/>
              </w:rPr>
            </w:pPr>
            <w:r>
              <w:rPr>
                <w:sz w:val="20"/>
                <w:szCs w:val="20"/>
              </w:rPr>
            </w:r>
          </w:p>
        </w:tc>
        <w:tc>
          <w:tcPr>
            <w:tcW w:w="4061" w:type="dxa"/>
            <w:tcBorders>
              <w:top w:val="single" w:sz="4" w:space="0" w:color="000000"/>
              <w:left w:val="single" w:sz="4" w:space="0" w:color="000000"/>
              <w:bottom w:val="single" w:sz="4" w:space="0" w:color="000000"/>
              <w:right w:val="single" w:sz="4" w:space="0" w:color="000000"/>
            </w:tcBorders>
          </w:tcPr>
          <w:p>
            <w:pPr>
              <w:pStyle w:val="Normal"/>
              <w:snapToGrid w:val="false"/>
              <w:rPr>
                <w:sz w:val="20"/>
                <w:szCs w:val="20"/>
              </w:rPr>
            </w:pPr>
            <w:r>
              <w:rPr>
                <w:sz w:val="20"/>
                <w:szCs w:val="20"/>
              </w:rPr>
            </w:r>
          </w:p>
        </w:tc>
      </w:tr>
    </w:tbl>
    <w:p>
      <w:pPr>
        <w:pStyle w:val="Normal"/>
        <w:rPr/>
      </w:pPr>
      <w:r>
        <w:rPr/>
      </w:r>
    </w:p>
    <w:p>
      <w:pPr>
        <w:pStyle w:val="Normal"/>
        <w:rPr/>
      </w:pPr>
      <w:r>
        <w:rPr/>
      </w:r>
    </w:p>
    <w:p>
      <w:pPr>
        <w:pStyle w:val="Normal"/>
        <w:jc w:val="both"/>
        <w:rPr/>
      </w:pPr>
      <w:r>
        <w:rPr>
          <w:b/>
        </w:rPr>
        <w:t>Expone</w:t>
      </w:r>
      <w:r>
        <w:rPr/>
        <w:t>: Reunidos los requisitos previstos en el apartado A), B), C) (marcar lo que proceda) de las bases reguladoras del Programa de bono energético para las familias en situación de pobreza energética para el año 2023:</w:t>
      </w:r>
    </w:p>
    <w:p>
      <w:pPr>
        <w:pStyle w:val="Normal"/>
        <w:rPr/>
      </w:pPr>
      <w:r>
        <w:rPr/>
      </w:r>
    </w:p>
    <w:p>
      <w:pPr>
        <w:pStyle w:val="Normal"/>
        <w:numPr>
          <w:ilvl w:val="0"/>
          <w:numId w:val="5"/>
        </w:numPr>
        <w:rPr/>
      </w:pPr>
      <w:r>
        <w:rPr/>
        <w:t>A)</w:t>
      </w:r>
    </w:p>
    <w:p>
      <w:pPr>
        <w:pStyle w:val="Normal"/>
        <w:numPr>
          <w:ilvl w:val="0"/>
          <w:numId w:val="5"/>
        </w:numPr>
        <w:rPr/>
      </w:pPr>
      <w:r>
        <w:rPr/>
        <w:t>B)</w:t>
      </w:r>
    </w:p>
    <w:p>
      <w:pPr>
        <w:pStyle w:val="Normal"/>
        <w:numPr>
          <w:ilvl w:val="0"/>
          <w:numId w:val="5"/>
        </w:numPr>
        <w:rPr/>
      </w:pPr>
      <w:r>
        <w:rPr/>
        <w:t>C)</w:t>
      </w:r>
    </w:p>
    <w:p>
      <w:pPr>
        <w:pStyle w:val="Normal"/>
        <w:ind w:left="720" w:right="0" w:hanging="0"/>
        <w:rPr/>
      </w:pPr>
      <w:r>
        <w:rPr/>
      </w:r>
    </w:p>
    <w:p>
      <w:pPr>
        <w:pStyle w:val="Normal"/>
        <w:rPr/>
      </w:pPr>
      <w:r>
        <w:rPr>
          <w:b/>
        </w:rPr>
        <w:t>Aporta</w:t>
      </w:r>
      <w:r>
        <w:rPr/>
        <w:t>: Modelo de cuenta justificativa simplificada (ANEXO II).</w:t>
      </w:r>
    </w:p>
    <w:p>
      <w:pPr>
        <w:pStyle w:val="Normal"/>
        <w:rPr/>
      </w:pPr>
      <w:r>
        <w:rPr/>
      </w:r>
    </w:p>
    <w:p>
      <w:pPr>
        <w:pStyle w:val="Normal"/>
        <w:rPr/>
      </w:pPr>
      <w:r>
        <w:rPr>
          <w:b/>
        </w:rPr>
        <w:t>Solicita</w:t>
      </w:r>
      <w:r>
        <w:rPr/>
        <w:t>: La concesión del bono energético para familias en situación de pobreza energética para el año 2023.</w:t>
      </w:r>
    </w:p>
    <w:p>
      <w:pPr>
        <w:pStyle w:val="Normal"/>
        <w:rPr/>
      </w:pPr>
      <w:r>
        <w:rPr/>
      </w:r>
    </w:p>
    <w:p>
      <w:pPr>
        <w:pStyle w:val="Normal"/>
        <w:rPr/>
      </w:pPr>
      <w:r>
        <w:rPr/>
      </w:r>
    </w:p>
    <w:p>
      <w:pPr>
        <w:pStyle w:val="Normal"/>
        <w:rPr/>
      </w:pPr>
      <w:r>
        <w:rPr/>
        <w:t>O Porriño, ________________ de_________ de 2023.</w:t>
      </w:r>
    </w:p>
    <w:p>
      <w:pPr>
        <w:pStyle w:val="Normal"/>
        <w:rPr/>
      </w:pPr>
      <w:r>
        <w:rPr/>
      </w:r>
    </w:p>
    <w:p>
      <w:pPr>
        <w:pStyle w:val="Normal"/>
        <w:rPr/>
      </w:pPr>
      <w:r>
        <w:rPr/>
      </w:r>
    </w:p>
    <w:p>
      <w:pPr>
        <w:pStyle w:val="Normal"/>
        <w:rPr/>
      </w:pPr>
      <w:r>
        <w:rPr/>
      </w:r>
    </w:p>
    <w:p>
      <w:pPr>
        <w:pStyle w:val="Normal"/>
        <w:jc w:val="center"/>
        <w:rPr>
          <w:b/>
          <w:b/>
          <w:sz w:val="16"/>
          <w:u w:val="single"/>
        </w:rPr>
      </w:pPr>
      <w:r>
        <w:rPr>
          <w:b/>
          <w:sz w:val="16"/>
          <w:u w:val="single"/>
        </w:rPr>
        <w:t>INFORMACIÓN SOBRE PROTECCIÓN DE DATOS PERSONALES (RGPD 2016/679 y LOPDGDD 3/2018)</w:t>
      </w:r>
    </w:p>
    <w:p>
      <w:pPr>
        <w:pStyle w:val="Normal"/>
        <w:rPr/>
      </w:pPr>
      <w:r>
        <w:rPr>
          <w:b/>
          <w:sz w:val="16"/>
        </w:rPr>
        <w:t>RESPONSABLE DEL TRATAMIENTO</w:t>
      </w:r>
      <w:r>
        <w:rPr>
          <w:sz w:val="16"/>
        </w:rPr>
        <w:t>: AYUNTAMIENTO DE O PORRIÑO (NIF P3603900F)</w:t>
      </w:r>
    </w:p>
    <w:p>
      <w:pPr>
        <w:pStyle w:val="Normal"/>
        <w:jc w:val="both"/>
        <w:rPr/>
      </w:pPr>
      <w:r>
        <w:rPr>
          <w:b/>
          <w:sz w:val="16"/>
        </w:rPr>
        <w:t>FINALIDADES DEL TRATAMIENTO</w:t>
      </w:r>
      <w:r>
        <w:rPr>
          <w:sz w:val="16"/>
        </w:rPr>
        <w:t>: la gestión de su solicitud y la tramitación administrativa que en su caso se pueda derivar de la misma;</w:t>
      </w:r>
    </w:p>
    <w:p>
      <w:pPr>
        <w:pStyle w:val="Normal"/>
        <w:jc w:val="both"/>
        <w:rPr/>
      </w:pPr>
      <w:r>
        <w:rPr>
          <w:b/>
          <w:sz w:val="16"/>
        </w:rPr>
        <w:t>LEGITIMACIÓN PARA EL TRATAMIENTO</w:t>
      </w:r>
      <w:r>
        <w:rPr>
          <w:sz w:val="16"/>
        </w:rPr>
        <w:t>: consentimiento de la persona interesada (artículo 6.1, a del RGPD) y el ejercicio de los poderes públicos conferidos al Responsable (artículo 6.1,y del RGPD).</w:t>
      </w:r>
    </w:p>
    <w:p>
      <w:pPr>
        <w:pStyle w:val="Normal"/>
        <w:jc w:val="both"/>
        <w:rPr/>
      </w:pPr>
      <w:r>
        <w:rPr>
          <w:b/>
          <w:sz w:val="16"/>
        </w:rPr>
        <w:t>DESTINATARIOS DE LOS DATOS</w:t>
      </w:r>
      <w:r>
        <w:rPr>
          <w:sz w:val="16"/>
        </w:rPr>
        <w:t>: las administraciones públicas en el ejercicio de sus competencias, cuando sea necesario para la gestión d su solicitud;</w:t>
      </w:r>
    </w:p>
    <w:p>
      <w:pPr>
        <w:pStyle w:val="Normal"/>
        <w:jc w:val="both"/>
        <w:rPr/>
      </w:pPr>
      <w:r>
        <w:rPr>
          <w:b/>
          <w:sz w:val="16"/>
        </w:rPr>
        <w:t>PLAZO DE CONSERVACIÓN</w:t>
      </w:r>
      <w:r>
        <w:rPr>
          <w:sz w:val="16"/>
        </w:rPr>
        <w:t>: los datos proporcionados se conservarán durante el tiempo necesario para cumplir con las obligaciones legales del Responsable.</w:t>
      </w:r>
    </w:p>
    <w:p>
      <w:pPr>
        <w:pStyle w:val="Normal"/>
        <w:jc w:val="both"/>
        <w:rPr/>
      </w:pPr>
      <w:r>
        <w:rPr>
          <w:b/>
          <w:sz w:val="16"/>
        </w:rPr>
        <w:t>EJERCICIO DE DERECHOS</w:t>
      </w:r>
      <w:r>
        <w:rPr>
          <w:sz w:val="16"/>
        </w:rPr>
        <w:t>: las personas interesadas podrán solicitar el acceso, rectificación o supresión de sus datos, así como ejercitar otros derechos o retirar en su caso el consentimiento otorgado a través de la sede electrónica en la sección ''Protección de Datos";</w:t>
      </w:r>
    </w:p>
    <w:p>
      <w:pPr>
        <w:pStyle w:val="Normal"/>
        <w:jc w:val="both"/>
        <w:rPr/>
      </w:pPr>
      <w:r>
        <w:rPr>
          <w:b/>
          <w:sz w:val="16"/>
        </w:rPr>
        <w:t>CONTACTO DELEGADO DE PROTECCIÓN DE DATOS E INFORMACIÓN ADICIONAL</w:t>
      </w:r>
      <w:r>
        <w:rPr>
          <w:sz w:val="16"/>
        </w:rPr>
        <w:t xml:space="preserve">: </w:t>
      </w:r>
      <w:hyperlink r:id="rId3">
        <w:r>
          <w:rPr>
            <w:rStyle w:val="EnlacedeInternet"/>
            <w:sz w:val="16"/>
          </w:rPr>
          <w:t>dpd@oporrino.org</w:t>
        </w:r>
      </w:hyperlink>
      <w:r>
        <w:rPr>
          <w:sz w:val="16"/>
        </w:rPr>
        <w:t xml:space="preserve">  </w:t>
      </w:r>
    </w:p>
    <w:p>
      <w:pPr>
        <w:pStyle w:val="Normal"/>
        <w:rPr>
          <w:sz w:val="16"/>
        </w:rPr>
      </w:pPr>
      <w:r>
        <w:rPr>
          <w:sz w:val="16"/>
        </w:rPr>
      </w:r>
    </w:p>
    <w:p>
      <w:pPr>
        <w:pStyle w:val="Normal"/>
        <w:rPr>
          <w:sz w:val="16"/>
        </w:rPr>
      </w:pPr>
      <w:r>
        <w:rPr>
          <w:sz w:val="16"/>
        </w:rPr>
      </w:r>
    </w:p>
    <w:p>
      <w:pPr>
        <w:pStyle w:val="Normal"/>
        <w:jc w:val="center"/>
        <w:rPr>
          <w:b/>
          <w:b/>
          <w:sz w:val="16"/>
        </w:rPr>
      </w:pPr>
      <w:r>
        <w:rPr>
          <w:b/>
          <w:sz w:val="16"/>
        </w:rPr>
      </w:r>
    </w:p>
    <w:p>
      <w:pPr>
        <w:pStyle w:val="Normal"/>
        <w:jc w:val="center"/>
        <w:rPr>
          <w:b/>
          <w:b/>
        </w:rPr>
      </w:pPr>
      <w:r>
        <w:rPr>
          <w:b/>
        </w:rPr>
        <w:t>ANEXO II</w:t>
      </w:r>
    </w:p>
    <w:p>
      <w:pPr>
        <w:pStyle w:val="Normal"/>
        <w:jc w:val="center"/>
        <w:rPr>
          <w:b/>
          <w:b/>
        </w:rPr>
      </w:pPr>
      <w:r>
        <w:rPr>
          <w:b/>
        </w:rPr>
        <w:t>MODELO DE CUENTA JUSTIFICATIVA SIMPLIFICADA DE LA SUBVENCIÓN</w:t>
      </w:r>
    </w:p>
    <w:p>
      <w:pPr>
        <w:pStyle w:val="Normal"/>
        <w:rPr>
          <w:b/>
          <w:b/>
        </w:rPr>
      </w:pPr>
      <w:r>
        <w:rPr>
          <w:b/>
        </w:rPr>
      </w:r>
    </w:p>
    <w:p>
      <w:pPr>
        <w:pStyle w:val="Normal"/>
        <w:rPr/>
      </w:pPr>
      <w:r>
        <w:rPr/>
        <w:t xml:space="preserve">Datos del/la beneficiario/a de la subvención </w:t>
      </w:r>
    </w:p>
    <w:p>
      <w:pPr>
        <w:pStyle w:val="Normal"/>
        <w:rPr/>
      </w:pPr>
      <w:r>
        <w:rPr/>
        <w:t>Nombre y apellidos:</w:t>
      </w:r>
    </w:p>
    <w:p>
      <w:pPr>
        <w:pStyle w:val="Normal"/>
        <w:rPr/>
      </w:pPr>
      <w:r>
        <w:rPr/>
        <w:t>NIF:</w:t>
      </w:r>
    </w:p>
    <w:p>
      <w:pPr>
        <w:pStyle w:val="Normal"/>
        <w:jc w:val="both"/>
        <w:rPr/>
      </w:pPr>
      <w:r>
        <w:rPr/>
        <w:t>Subvención, año o actividad subvencionada: Bono energético 2023.</w:t>
      </w:r>
    </w:p>
    <w:p>
      <w:pPr>
        <w:pStyle w:val="Normal"/>
        <w:rPr/>
      </w:pPr>
      <w:r>
        <w:rPr/>
        <w:t>Importe concedido</w:t>
      </w:r>
    </w:p>
    <w:p>
      <w:pPr>
        <w:pStyle w:val="Normal"/>
        <w:rPr/>
      </w:pPr>
      <w:r>
        <w:rPr/>
      </w:r>
    </w:p>
    <w:p>
      <w:pPr>
        <w:pStyle w:val="Normal"/>
        <w:rPr/>
      </w:pPr>
      <w:r>
        <w:rPr/>
      </w:r>
    </w:p>
    <w:p>
      <w:pPr>
        <w:pStyle w:val="Normal"/>
        <w:numPr>
          <w:ilvl w:val="0"/>
          <w:numId w:val="3"/>
        </w:numPr>
        <w:spacing w:before="0" w:after="120"/>
        <w:ind w:left="714" w:right="0" w:hanging="357"/>
        <w:jc w:val="both"/>
        <w:rPr/>
      </w:pPr>
      <w:r>
        <w:rPr/>
        <w:t>Memoria de actuación: se hace constar que se cumple con los requisitos marcados por las bases del bono energético aprobadas por el Ayuntamiento de O Porriño para el ejercicio 2023 y que los fondos recibidos se destinarán a los gastos específicamente subvencionados en las citadas bases.</w:t>
      </w:r>
    </w:p>
    <w:p>
      <w:pPr>
        <w:pStyle w:val="Normal"/>
        <w:numPr>
          <w:ilvl w:val="0"/>
          <w:numId w:val="3"/>
        </w:numPr>
        <w:rPr/>
      </w:pPr>
      <w:r>
        <w:rPr/>
        <w:t>Relación clasificada de los gastos efectuados relacionados con la actividad subvencionada.</w:t>
      </w:r>
    </w:p>
    <w:p>
      <w:pPr>
        <w:pStyle w:val="Normal"/>
        <w:rPr/>
      </w:pPr>
      <w:r>
        <w:rPr/>
      </w:r>
    </w:p>
    <w:tbl>
      <w:tblPr>
        <w:tblW w:w="8220" w:type="dxa"/>
        <w:jc w:val="left"/>
        <w:tblInd w:w="-113" w:type="dxa"/>
        <w:tblLayout w:type="fixed"/>
        <w:tblCellMar>
          <w:top w:w="0" w:type="dxa"/>
          <w:left w:w="108" w:type="dxa"/>
          <w:bottom w:w="0" w:type="dxa"/>
          <w:right w:w="108" w:type="dxa"/>
        </w:tblCellMar>
      </w:tblPr>
      <w:tblGrid>
        <w:gridCol w:w="1644"/>
        <w:gridCol w:w="1644"/>
        <w:gridCol w:w="1644"/>
        <w:gridCol w:w="1644"/>
        <w:gridCol w:w="1644"/>
      </w:tblGrid>
      <w:tr>
        <w:trPr/>
        <w:tc>
          <w:tcPr>
            <w:tcW w:w="1644" w:type="dxa"/>
            <w:tcBorders>
              <w:top w:val="single" w:sz="4" w:space="0" w:color="000000"/>
              <w:left w:val="single" w:sz="4" w:space="0" w:color="000000"/>
              <w:bottom w:val="single" w:sz="4" w:space="0" w:color="000000"/>
              <w:right w:val="single" w:sz="4" w:space="0" w:color="000000"/>
            </w:tcBorders>
          </w:tcPr>
          <w:p>
            <w:pPr>
              <w:pStyle w:val="Normal"/>
              <w:jc w:val="center"/>
              <w:rPr>
                <w:sz w:val="20"/>
                <w:szCs w:val="22"/>
              </w:rPr>
            </w:pPr>
            <w:r>
              <w:rPr>
                <w:sz w:val="20"/>
                <w:szCs w:val="22"/>
              </w:rPr>
              <w:t>Fecha factura</w:t>
            </w:r>
          </w:p>
        </w:tc>
        <w:tc>
          <w:tcPr>
            <w:tcW w:w="1644" w:type="dxa"/>
            <w:tcBorders>
              <w:top w:val="single" w:sz="4" w:space="0" w:color="000000"/>
              <w:left w:val="single" w:sz="4" w:space="0" w:color="000000"/>
              <w:bottom w:val="single" w:sz="4" w:space="0" w:color="000000"/>
              <w:right w:val="single" w:sz="4" w:space="0" w:color="000000"/>
            </w:tcBorders>
          </w:tcPr>
          <w:p>
            <w:pPr>
              <w:pStyle w:val="Normal"/>
              <w:jc w:val="center"/>
              <w:rPr>
                <w:sz w:val="20"/>
                <w:szCs w:val="22"/>
              </w:rPr>
            </w:pPr>
            <w:r>
              <w:rPr>
                <w:sz w:val="20"/>
                <w:szCs w:val="22"/>
              </w:rPr>
              <w:t>Proveedor</w:t>
            </w:r>
          </w:p>
        </w:tc>
        <w:tc>
          <w:tcPr>
            <w:tcW w:w="1644" w:type="dxa"/>
            <w:tcBorders>
              <w:top w:val="single" w:sz="4" w:space="0" w:color="000000"/>
              <w:left w:val="single" w:sz="4" w:space="0" w:color="000000"/>
              <w:bottom w:val="single" w:sz="4" w:space="0" w:color="000000"/>
              <w:right w:val="single" w:sz="4" w:space="0" w:color="000000"/>
            </w:tcBorders>
          </w:tcPr>
          <w:p>
            <w:pPr>
              <w:pStyle w:val="Normal"/>
              <w:jc w:val="center"/>
              <w:rPr>
                <w:sz w:val="20"/>
                <w:szCs w:val="22"/>
              </w:rPr>
            </w:pPr>
            <w:r>
              <w:rPr>
                <w:sz w:val="20"/>
                <w:szCs w:val="22"/>
              </w:rPr>
              <w:t>N.º de factura</w:t>
            </w:r>
          </w:p>
        </w:tc>
        <w:tc>
          <w:tcPr>
            <w:tcW w:w="1644" w:type="dxa"/>
            <w:tcBorders>
              <w:top w:val="single" w:sz="4" w:space="0" w:color="000000"/>
              <w:left w:val="single" w:sz="4" w:space="0" w:color="000000"/>
              <w:bottom w:val="single" w:sz="4" w:space="0" w:color="000000"/>
              <w:right w:val="single" w:sz="4" w:space="0" w:color="000000"/>
            </w:tcBorders>
          </w:tcPr>
          <w:p>
            <w:pPr>
              <w:pStyle w:val="Normal"/>
              <w:jc w:val="center"/>
              <w:rPr>
                <w:sz w:val="20"/>
                <w:szCs w:val="22"/>
              </w:rPr>
            </w:pPr>
            <w:r>
              <w:rPr>
                <w:sz w:val="20"/>
                <w:szCs w:val="22"/>
              </w:rPr>
              <w:t>Importe</w:t>
            </w:r>
          </w:p>
        </w:tc>
        <w:tc>
          <w:tcPr>
            <w:tcW w:w="1644" w:type="dxa"/>
            <w:tcBorders>
              <w:top w:val="single" w:sz="4" w:space="0" w:color="000000"/>
              <w:left w:val="single" w:sz="4" w:space="0" w:color="000000"/>
              <w:bottom w:val="single" w:sz="4" w:space="0" w:color="000000"/>
              <w:right w:val="single" w:sz="4" w:space="0" w:color="000000"/>
            </w:tcBorders>
          </w:tcPr>
          <w:p>
            <w:pPr>
              <w:pStyle w:val="Normal"/>
              <w:jc w:val="center"/>
              <w:rPr>
                <w:sz w:val="20"/>
                <w:szCs w:val="22"/>
              </w:rPr>
            </w:pPr>
            <w:r>
              <w:rPr>
                <w:sz w:val="20"/>
                <w:szCs w:val="22"/>
              </w:rPr>
              <w:t>Fecha de pago</w:t>
            </w:r>
          </w:p>
        </w:tc>
      </w:tr>
      <w:tr>
        <w:trPr/>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 w:val="20"/>
                <w:szCs w:val="22"/>
              </w:rPr>
            </w:pPr>
            <w:r>
              <w:rPr>
                <w:sz w:val="20"/>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r>
      <w:tr>
        <w:trPr/>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r>
      <w:tr>
        <w:trPr/>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r>
      <w:tr>
        <w:trPr/>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r>
      <w:tr>
        <w:trPr/>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r>
      <w:tr>
        <w:trPr/>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c>
          <w:tcPr>
            <w:tcW w:w="1644" w:type="dxa"/>
            <w:tcBorders>
              <w:top w:val="single" w:sz="4" w:space="0" w:color="000000"/>
              <w:left w:val="single" w:sz="4" w:space="0" w:color="000000"/>
              <w:bottom w:val="single" w:sz="4" w:space="0" w:color="000000"/>
              <w:right w:val="single" w:sz="4" w:space="0" w:color="000000"/>
            </w:tcBorders>
          </w:tcPr>
          <w:p>
            <w:pPr>
              <w:pStyle w:val="Normal"/>
              <w:snapToGrid w:val="false"/>
              <w:rPr>
                <w:szCs w:val="22"/>
              </w:rPr>
            </w:pPr>
            <w:r>
              <w:rPr>
                <w:szCs w:val="22"/>
              </w:rPr>
            </w:r>
          </w:p>
        </w:tc>
      </w:tr>
    </w:tbl>
    <w:p>
      <w:pPr>
        <w:pStyle w:val="Normal"/>
        <w:ind w:left="0" w:right="0" w:firstLine="709"/>
        <w:rPr/>
      </w:pPr>
      <w:r>
        <w:rPr/>
      </w:r>
    </w:p>
    <w:p>
      <w:pPr>
        <w:pStyle w:val="Normal"/>
        <w:numPr>
          <w:ilvl w:val="0"/>
          <w:numId w:val="3"/>
        </w:numPr>
        <w:jc w:val="both"/>
        <w:rPr/>
      </w:pPr>
      <w:r>
        <w:rPr/>
        <w:t>Relación detallada de otros ingresos o subvenciones que hayan financiado la actividad subvencionada.</w:t>
      </w:r>
    </w:p>
    <w:p>
      <w:pPr>
        <w:pStyle w:val="Normal"/>
        <w:ind w:left="720" w:right="0" w:hanging="0"/>
        <w:rPr/>
      </w:pPr>
      <w:r>
        <w:rPr/>
      </w:r>
    </w:p>
    <w:tbl>
      <w:tblPr>
        <w:tblW w:w="8220" w:type="dxa"/>
        <w:jc w:val="left"/>
        <w:tblInd w:w="-113" w:type="dxa"/>
        <w:tblLayout w:type="fixed"/>
        <w:tblCellMar>
          <w:top w:w="0" w:type="dxa"/>
          <w:left w:w="108" w:type="dxa"/>
          <w:bottom w:w="0" w:type="dxa"/>
          <w:right w:w="108" w:type="dxa"/>
        </w:tblCellMar>
      </w:tblPr>
      <w:tblGrid>
        <w:gridCol w:w="4110"/>
        <w:gridCol w:w="4110"/>
      </w:tblGrid>
      <w:tr>
        <w:trPr/>
        <w:tc>
          <w:tcPr>
            <w:tcW w:w="4110" w:type="dxa"/>
            <w:tcBorders>
              <w:top w:val="single" w:sz="4" w:space="0" w:color="000000"/>
              <w:left w:val="single" w:sz="4" w:space="0" w:color="000000"/>
              <w:bottom w:val="single" w:sz="4" w:space="0" w:color="000000"/>
              <w:right w:val="single" w:sz="4" w:space="0" w:color="000000"/>
            </w:tcBorders>
          </w:tcPr>
          <w:p>
            <w:pPr>
              <w:pStyle w:val="Normal"/>
              <w:jc w:val="center"/>
              <w:rPr>
                <w:sz w:val="20"/>
                <w:szCs w:val="22"/>
              </w:rPr>
            </w:pPr>
            <w:r>
              <w:rPr>
                <w:sz w:val="20"/>
                <w:szCs w:val="22"/>
              </w:rPr>
              <w:t>Entidad</w:t>
            </w:r>
          </w:p>
        </w:tc>
        <w:tc>
          <w:tcPr>
            <w:tcW w:w="4110" w:type="dxa"/>
            <w:tcBorders>
              <w:top w:val="single" w:sz="4" w:space="0" w:color="000000"/>
              <w:left w:val="single" w:sz="4" w:space="0" w:color="000000"/>
              <w:bottom w:val="single" w:sz="4" w:space="0" w:color="000000"/>
              <w:right w:val="single" w:sz="4" w:space="0" w:color="000000"/>
            </w:tcBorders>
          </w:tcPr>
          <w:p>
            <w:pPr>
              <w:pStyle w:val="Normal"/>
              <w:jc w:val="center"/>
              <w:rPr>
                <w:sz w:val="20"/>
                <w:szCs w:val="22"/>
              </w:rPr>
            </w:pPr>
            <w:r>
              <w:rPr>
                <w:sz w:val="20"/>
                <w:szCs w:val="22"/>
              </w:rPr>
              <w:t>Importe concedido para el mismo fin</w:t>
            </w:r>
          </w:p>
        </w:tc>
      </w:tr>
      <w:tr>
        <w:trPr/>
        <w:tc>
          <w:tcPr>
            <w:tcW w:w="4110" w:type="dxa"/>
            <w:tcBorders>
              <w:top w:val="single" w:sz="4" w:space="0" w:color="000000"/>
              <w:left w:val="single" w:sz="4" w:space="0" w:color="000000"/>
              <w:bottom w:val="single" w:sz="4" w:space="0" w:color="000000"/>
              <w:right w:val="single" w:sz="4" w:space="0" w:color="000000"/>
            </w:tcBorders>
          </w:tcPr>
          <w:p>
            <w:pPr>
              <w:pStyle w:val="Normal"/>
              <w:snapToGrid w:val="false"/>
              <w:rPr>
                <w:sz w:val="20"/>
                <w:szCs w:val="22"/>
              </w:rPr>
            </w:pPr>
            <w:r>
              <w:rPr>
                <w:sz w:val="20"/>
                <w:szCs w:val="22"/>
              </w:rPr>
            </w:r>
          </w:p>
        </w:tc>
        <w:tc>
          <w:tcPr>
            <w:tcW w:w="4110" w:type="dxa"/>
            <w:tcBorders>
              <w:top w:val="single" w:sz="4" w:space="0" w:color="000000"/>
              <w:left w:val="single" w:sz="4" w:space="0" w:color="000000"/>
              <w:bottom w:val="single" w:sz="4" w:space="0" w:color="000000"/>
              <w:right w:val="single" w:sz="4" w:space="0" w:color="000000"/>
            </w:tcBorders>
          </w:tcPr>
          <w:p>
            <w:pPr>
              <w:pStyle w:val="Normal"/>
              <w:snapToGrid w:val="false"/>
              <w:rPr>
                <w:sz w:val="20"/>
                <w:szCs w:val="22"/>
              </w:rPr>
            </w:pPr>
            <w:r>
              <w:rPr>
                <w:sz w:val="20"/>
                <w:szCs w:val="22"/>
              </w:rPr>
            </w:r>
          </w:p>
        </w:tc>
      </w:tr>
      <w:tr>
        <w:trPr/>
        <w:tc>
          <w:tcPr>
            <w:tcW w:w="4110" w:type="dxa"/>
            <w:tcBorders>
              <w:top w:val="single" w:sz="4" w:space="0" w:color="000000"/>
              <w:left w:val="single" w:sz="4" w:space="0" w:color="000000"/>
              <w:bottom w:val="single" w:sz="4" w:space="0" w:color="000000"/>
              <w:right w:val="single" w:sz="4" w:space="0" w:color="000000"/>
            </w:tcBorders>
          </w:tcPr>
          <w:p>
            <w:pPr>
              <w:pStyle w:val="Normal"/>
              <w:snapToGrid w:val="false"/>
              <w:rPr>
                <w:sz w:val="20"/>
                <w:szCs w:val="22"/>
              </w:rPr>
            </w:pPr>
            <w:r>
              <w:rPr>
                <w:sz w:val="20"/>
                <w:szCs w:val="22"/>
              </w:rPr>
            </w:r>
          </w:p>
        </w:tc>
        <w:tc>
          <w:tcPr>
            <w:tcW w:w="4110" w:type="dxa"/>
            <w:tcBorders>
              <w:top w:val="single" w:sz="4" w:space="0" w:color="000000"/>
              <w:left w:val="single" w:sz="4" w:space="0" w:color="000000"/>
              <w:bottom w:val="single" w:sz="4" w:space="0" w:color="000000"/>
              <w:right w:val="single" w:sz="4" w:space="0" w:color="000000"/>
            </w:tcBorders>
          </w:tcPr>
          <w:p>
            <w:pPr>
              <w:pStyle w:val="Normal"/>
              <w:snapToGrid w:val="false"/>
              <w:rPr>
                <w:sz w:val="20"/>
                <w:szCs w:val="22"/>
              </w:rPr>
            </w:pPr>
            <w:r>
              <w:rPr>
                <w:sz w:val="20"/>
                <w:szCs w:val="22"/>
              </w:rPr>
            </w:r>
          </w:p>
        </w:tc>
      </w:tr>
      <w:tr>
        <w:trPr/>
        <w:tc>
          <w:tcPr>
            <w:tcW w:w="4110" w:type="dxa"/>
            <w:tcBorders>
              <w:top w:val="single" w:sz="4" w:space="0" w:color="000000"/>
              <w:left w:val="single" w:sz="4" w:space="0" w:color="000000"/>
              <w:bottom w:val="single" w:sz="4" w:space="0" w:color="000000"/>
              <w:right w:val="single" w:sz="4" w:space="0" w:color="000000"/>
            </w:tcBorders>
          </w:tcPr>
          <w:p>
            <w:pPr>
              <w:pStyle w:val="Normal"/>
              <w:snapToGrid w:val="false"/>
              <w:rPr>
                <w:sz w:val="20"/>
                <w:szCs w:val="22"/>
              </w:rPr>
            </w:pPr>
            <w:r>
              <w:rPr>
                <w:sz w:val="20"/>
                <w:szCs w:val="22"/>
              </w:rPr>
            </w:r>
          </w:p>
        </w:tc>
        <w:tc>
          <w:tcPr>
            <w:tcW w:w="4110" w:type="dxa"/>
            <w:tcBorders>
              <w:top w:val="single" w:sz="4" w:space="0" w:color="000000"/>
              <w:left w:val="single" w:sz="4" w:space="0" w:color="000000"/>
              <w:bottom w:val="single" w:sz="4" w:space="0" w:color="000000"/>
              <w:right w:val="single" w:sz="4" w:space="0" w:color="000000"/>
            </w:tcBorders>
          </w:tcPr>
          <w:p>
            <w:pPr>
              <w:pStyle w:val="Normal"/>
              <w:snapToGrid w:val="false"/>
              <w:rPr>
                <w:sz w:val="20"/>
                <w:szCs w:val="22"/>
              </w:rPr>
            </w:pPr>
            <w:r>
              <w:rPr>
                <w:sz w:val="20"/>
                <w:szCs w:val="22"/>
              </w:rPr>
            </w:r>
          </w:p>
        </w:tc>
      </w:tr>
      <w:tr>
        <w:trPr/>
        <w:tc>
          <w:tcPr>
            <w:tcW w:w="4110" w:type="dxa"/>
            <w:tcBorders>
              <w:top w:val="single" w:sz="4" w:space="0" w:color="000000"/>
              <w:left w:val="single" w:sz="4" w:space="0" w:color="000000"/>
              <w:bottom w:val="single" w:sz="4" w:space="0" w:color="000000"/>
              <w:right w:val="single" w:sz="4" w:space="0" w:color="000000"/>
            </w:tcBorders>
          </w:tcPr>
          <w:p>
            <w:pPr>
              <w:pStyle w:val="Normal"/>
              <w:snapToGrid w:val="false"/>
              <w:rPr>
                <w:sz w:val="20"/>
                <w:szCs w:val="22"/>
              </w:rPr>
            </w:pPr>
            <w:r>
              <w:rPr>
                <w:sz w:val="20"/>
                <w:szCs w:val="22"/>
              </w:rPr>
            </w:r>
          </w:p>
        </w:tc>
        <w:tc>
          <w:tcPr>
            <w:tcW w:w="4110" w:type="dxa"/>
            <w:tcBorders>
              <w:top w:val="single" w:sz="4" w:space="0" w:color="000000"/>
              <w:left w:val="single" w:sz="4" w:space="0" w:color="000000"/>
              <w:bottom w:val="single" w:sz="4" w:space="0" w:color="000000"/>
              <w:right w:val="single" w:sz="4" w:space="0" w:color="000000"/>
            </w:tcBorders>
          </w:tcPr>
          <w:p>
            <w:pPr>
              <w:pStyle w:val="Normal"/>
              <w:snapToGrid w:val="false"/>
              <w:rPr>
                <w:sz w:val="20"/>
                <w:szCs w:val="22"/>
              </w:rPr>
            </w:pPr>
            <w:r>
              <w:rPr>
                <w:sz w:val="20"/>
                <w:szCs w:val="22"/>
              </w:rPr>
            </w:r>
          </w:p>
        </w:tc>
      </w:tr>
      <w:tr>
        <w:trPr/>
        <w:tc>
          <w:tcPr>
            <w:tcW w:w="4110" w:type="dxa"/>
            <w:tcBorders>
              <w:top w:val="single" w:sz="4" w:space="0" w:color="000000"/>
              <w:left w:val="single" w:sz="4" w:space="0" w:color="000000"/>
              <w:bottom w:val="single" w:sz="4" w:space="0" w:color="000000"/>
              <w:right w:val="single" w:sz="4" w:space="0" w:color="000000"/>
            </w:tcBorders>
          </w:tcPr>
          <w:p>
            <w:pPr>
              <w:pStyle w:val="Normal"/>
              <w:snapToGrid w:val="false"/>
              <w:rPr>
                <w:sz w:val="20"/>
                <w:szCs w:val="22"/>
              </w:rPr>
            </w:pPr>
            <w:r>
              <w:rPr>
                <w:sz w:val="20"/>
                <w:szCs w:val="22"/>
              </w:rPr>
            </w:r>
          </w:p>
        </w:tc>
        <w:tc>
          <w:tcPr>
            <w:tcW w:w="4110" w:type="dxa"/>
            <w:tcBorders>
              <w:top w:val="single" w:sz="4" w:space="0" w:color="000000"/>
              <w:left w:val="single" w:sz="4" w:space="0" w:color="000000"/>
              <w:bottom w:val="single" w:sz="4" w:space="0" w:color="000000"/>
              <w:right w:val="single" w:sz="4" w:space="0" w:color="000000"/>
            </w:tcBorders>
          </w:tcPr>
          <w:p>
            <w:pPr>
              <w:pStyle w:val="Normal"/>
              <w:snapToGrid w:val="false"/>
              <w:rPr>
                <w:sz w:val="20"/>
                <w:szCs w:val="22"/>
              </w:rPr>
            </w:pPr>
            <w:r>
              <w:rPr>
                <w:sz w:val="20"/>
                <w:szCs w:val="22"/>
              </w:rPr>
            </w:r>
          </w:p>
        </w:tc>
      </w:tr>
    </w:tbl>
    <w:p>
      <w:pPr>
        <w:pStyle w:val="Normal"/>
        <w:rPr/>
      </w:pPr>
      <w:r>
        <w:rPr/>
      </w:r>
    </w:p>
    <w:p>
      <w:pPr>
        <w:pStyle w:val="Normal"/>
        <w:numPr>
          <w:ilvl w:val="0"/>
          <w:numId w:val="3"/>
        </w:numPr>
        <w:rPr/>
      </w:pPr>
      <w:r>
        <w:rPr/>
        <w:t>Por tanto, los gastos asumidos dentro del objeto de la subvención (electricidad, gas u otros similares):</w:t>
      </w:r>
    </w:p>
    <w:p>
      <w:pPr>
        <w:pStyle w:val="Normal"/>
        <w:jc w:val="both"/>
        <w:rPr/>
      </w:pPr>
      <w:r>
        <w:rPr/>
      </w:r>
    </w:p>
    <w:p>
      <w:pPr>
        <w:pStyle w:val="Normal"/>
        <w:numPr>
          <w:ilvl w:val="0"/>
          <w:numId w:val="6"/>
        </w:numPr>
        <w:spacing w:before="0" w:after="120"/>
        <w:ind w:left="1066" w:right="0" w:hanging="357"/>
        <w:jc w:val="both"/>
        <w:rPr/>
      </w:pPr>
      <w:r>
        <w:rPr/>
        <w:t>No son superiores a los importes recibidos en concepto de subvenciones de las distintas administraciones con el mismo objeto.</w:t>
      </w:r>
    </w:p>
    <w:p>
      <w:pPr>
        <w:pStyle w:val="Normal"/>
        <w:numPr>
          <w:ilvl w:val="0"/>
          <w:numId w:val="6"/>
        </w:numPr>
        <w:jc w:val="both"/>
        <w:rPr/>
      </w:pPr>
      <w:r>
        <w:rPr/>
        <w:t xml:space="preserve">Son superiores a los importes recibidos en concepto de subvenciones de las distintas administraciones con el mismo objeto. </w:t>
      </w:r>
    </w:p>
    <w:p>
      <w:pPr>
        <w:pStyle w:val="Normal"/>
        <w:jc w:val="both"/>
        <w:rPr/>
      </w:pPr>
      <w:r>
        <w:rPr/>
      </w:r>
    </w:p>
    <w:p>
      <w:pPr>
        <w:pStyle w:val="Normal"/>
        <w:rPr/>
      </w:pPr>
      <w:r>
        <w:rPr/>
        <w:t>O Porriño, ________, de______________, de 2023</w:t>
      </w:r>
    </w:p>
    <w:p>
      <w:pPr>
        <w:pStyle w:val="Normal"/>
        <w:rPr/>
      </w:pPr>
      <w:r>
        <w:rPr/>
      </w:r>
    </w:p>
    <w:p>
      <w:pPr>
        <w:pStyle w:val="Normal"/>
        <w:rPr/>
      </w:pPr>
      <w:r>
        <w:rPr/>
      </w:r>
    </w:p>
    <w:p>
      <w:pPr>
        <w:pStyle w:val="Normal"/>
        <w:rPr/>
      </w:pPr>
      <w:r>
        <w:rPr/>
        <w:t>Firma del/a beneficiario/a.</w:t>
      </w:r>
    </w:p>
    <w:p>
      <w:pPr>
        <w:pStyle w:val="Normal"/>
        <w:rPr/>
      </w:pPr>
      <w:r>
        <w:rPr/>
      </w:r>
    </w:p>
    <w:p>
      <w:pPr>
        <w:pStyle w:val="Normal"/>
        <w:rPr/>
      </w:pPr>
      <w:r>
        <w:rPr/>
      </w:r>
    </w:p>
    <w:p>
      <w:pPr>
        <w:pStyle w:val="Normal"/>
        <w:rPr>
          <w:b/>
          <w:b/>
        </w:rPr>
      </w:pPr>
      <w:r>
        <w:rPr>
          <w:b/>
        </w:rPr>
      </w:r>
    </w:p>
    <w:sectPr>
      <w:headerReference w:type="default" r:id="rId4"/>
      <w:footerReference w:type="default" r:id="rId5"/>
      <w:type w:val="nextPage"/>
      <w:pgSz w:w="11906" w:h="16838"/>
      <w:pgMar w:left="1701" w:right="2125" w:gutter="0" w:header="709" w:top="1417" w:footer="709" w:bottom="1417"/>
      <w:pgNumType w:fmt="decimal"/>
      <w:formProt w:val="false"/>
      <w:textDirection w:val="lrTb"/>
      <w:docGrid w:type="default" w:linePitch="299"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0"/>
    <w:family w:val="swiss"/>
    <w:pitch w:val="variable"/>
  </w:font>
  <w:font w:name="Calibri">
    <w:charset w:val="00"/>
    <w:family w:val="swiss"/>
    <w:pitch w:val="variable"/>
  </w:font>
  <w:font w:name="Courier New">
    <w:charset w:val="00"/>
    <w:family w:val="modern"/>
    <w:pitch w:val="default"/>
  </w:font>
  <w:font w:name="Wingdings">
    <w:charset w:val="02"/>
    <w:family w:val="auto"/>
    <w:pitch w:val="variable"/>
  </w:font>
  <w:font w:name="Palatino Linotype">
    <w:charset w:val="00"/>
    <w:family w:val="roman"/>
    <w:pitch w:val="variable"/>
  </w:font>
  <w:font w:name="Segoe UI">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pBdr>
        <w:top w:val="single" w:sz="4" w:space="5" w:color="000000"/>
      </w:pBdr>
      <w:jc w:val="center"/>
      <w:rPr>
        <w:b/>
        <w:b/>
      </w:rPr>
    </w:pPr>
    <w:r>
      <w:rPr>
        <w:b/>
      </w:rPr>
      <w:t>Concello do Porriño</w:t>
    </w:r>
  </w:p>
  <w:p>
    <w:pPr>
      <w:pStyle w:val="Cuerpodetexto"/>
      <w:spacing w:before="0" w:after="120"/>
      <w:jc w:val="center"/>
      <w:rPr>
        <w:sz w:val="16"/>
      </w:rPr>
    </w:pPr>
    <w:r>
      <w:rPr>
        <w:sz w:val="16"/>
      </w:rPr>
      <w:t>r/ Antonio Palacios, 1 O Porriño  36400 (Pontevedra). Tfno.: 986 33 50 00  Fax: 986 33 05 79</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1108710" cy="766445"/>
          <wp:effectExtent l="0" t="0" r="0" b="0"/>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13" t="-18" r="-13" b="-18"/>
                  <a:stretch>
                    <a:fillRect/>
                  </a:stretch>
                </pic:blipFill>
                <pic:spPr bwMode="auto">
                  <a:xfrm>
                    <a:off x="0" y="0"/>
                    <a:ext cx="1108710" cy="766445"/>
                  </a:xfrm>
                  <a:prstGeom prst="rect">
                    <a:avLst/>
                  </a:prstGeom>
                </pic:spPr>
              </pic:pic>
            </a:graphicData>
          </a:graphic>
        </wp:inline>
      </w:drawing>
    </w:r>
    <w:r>
      <w:rPr>
        <w:rFonts w:eastAsia="Verdana"/>
      </w:rPr>
      <w:t xml:space="preserve">                                                           </w:t>
    </w:r>
    <w:r>
      <w:rPr/>
      <w:tab/>
    </w:r>
  </w:p>
  <w:p>
    <w:pPr>
      <w:pStyle w:val="Cabecera"/>
      <w:rPr/>
    </w:pPr>
    <w:r>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upperLetter"/>
      <w:lvlText w:val="%1)"/>
      <w:lvlJc w:val="left"/>
      <w:pPr>
        <w:tabs>
          <w:tab w:val="num" w:pos="0"/>
        </w:tabs>
        <w:ind w:left="720" w:hanging="360"/>
      </w:pPr>
      <w:rPr/>
    </w:lvl>
  </w:abstractNum>
  <w:abstractNum w:abstractNumId="2">
    <w:lvl w:ilvl="0">
      <w:start w:val="1"/>
      <w:numFmt w:val="lowerLetter"/>
      <w:lvlText w:val="%1)"/>
      <w:lvlJc w:val="left"/>
      <w:pPr>
        <w:tabs>
          <w:tab w:val="num" w:pos="0"/>
        </w:tabs>
        <w:ind w:left="720" w:hanging="360"/>
      </w:pPr>
      <w:rPr/>
    </w:lvl>
  </w:abstractNum>
  <w:abstractNum w:abstractNumId="3">
    <w:lvl w:ilvl="0">
      <w:start w:val="1"/>
      <w:numFmt w:val="upperLetter"/>
      <w:lvlText w:val="%1."/>
      <w:lvlJc w:val="left"/>
      <w:pPr>
        <w:tabs>
          <w:tab w:val="num" w:pos="0"/>
        </w:tabs>
        <w:ind w:left="720" w:hanging="360"/>
      </w:pPr>
      <w:rPr/>
    </w:lvl>
  </w:abstractNum>
  <w:abstractNum w:abstractNumId="4">
    <w:lvl w:ilvl="0">
      <w:start w:val="1"/>
      <w:numFmt w:val="bullet"/>
      <w:lvlText w:val=""/>
      <w:lvlJc w:val="left"/>
      <w:pPr>
        <w:tabs>
          <w:tab w:val="num" w:pos="0"/>
        </w:tabs>
        <w:ind w:left="1440" w:hanging="360"/>
      </w:pPr>
      <w:rPr>
        <w:rFonts w:ascii="Symbol" w:hAnsi="Symbol" w:cs="Symbol"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abstractNum>
  <w:abstractNum w:abstractNumId="6">
    <w:lvl w:ilvl="0">
      <w:start w:val="1"/>
      <w:numFmt w:val="bullet"/>
      <w:lvlText w:val=""/>
      <w:lvlJc w:val="left"/>
      <w:pPr>
        <w:tabs>
          <w:tab w:val="num" w:pos="0"/>
        </w:tabs>
        <w:ind w:left="1069" w:hanging="360"/>
      </w:pPr>
      <w:rPr>
        <w:rFonts w:ascii="Symbol" w:hAnsi="Symbol" w:cs="Symbol" w:hint="default"/>
      </w:rPr>
    </w:lvl>
  </w:abstractNum>
  <w:abstractNum w:abstractNumId="7">
    <w:lvl w:ilvl="0">
      <w:start w:val="1"/>
      <w:numFmt w:val="bullet"/>
      <w:lvlText w:val="-"/>
      <w:lvlJc w:val="left"/>
      <w:pPr>
        <w:tabs>
          <w:tab w:val="num" w:pos="0"/>
        </w:tabs>
        <w:ind w:left="720" w:hanging="360"/>
      </w:pPr>
      <w:rPr>
        <w:rFonts w:ascii="Verdana" w:hAnsi="Verdana" w:cs="Verdan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isplayBackgroundShape/>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Unicode MS"/>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pPr>
    <w:rPr>
      <w:rFonts w:ascii="Verdana" w:hAnsi="Verdana" w:eastAsia="Lucida Sans Unicode" w:cs="Verdana"/>
      <w:color w:val="auto"/>
      <w:kern w:val="2"/>
      <w:sz w:val="22"/>
      <w:szCs w:val="24"/>
      <w:lang w:val="es-ES" w:bidi="ar-SA" w:eastAsia="zh-CN"/>
    </w:rPr>
  </w:style>
  <w:style w:type="character" w:styleId="WW8Num1z0">
    <w:name w:val="WW8Num1z0"/>
    <w:qFormat/>
    <w:rPr>
      <w:i/>
      <w:sz w:val="20"/>
    </w:rPr>
  </w:style>
  <w:style w:type="character" w:styleId="WW8Num1z1">
    <w:name w:val="WW8Num1z1"/>
    <w:qFormat/>
    <w:rPr>
      <w:rFonts w:ascii="Verdana" w:hAnsi="Verdana" w:eastAsia="Lucida Sans Unicode" w:cs="Times New Roman"/>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ascii="Calibri" w:hAnsi="Calibri" w:eastAsia="Calibri" w:cs="Calibri"/>
      <w:w w:val="99"/>
      <w:sz w:val="22"/>
      <w:szCs w:val="22"/>
      <w:lang w:val="es-ES" w:bidi="ar-SA"/>
    </w:rPr>
  </w:style>
  <w:style w:type="character" w:styleId="WW8Num3z1">
    <w:name w:val="WW8Num3z1"/>
    <w:qFormat/>
    <w:rPr>
      <w:lang w:val="es-ES" w:bidi="ar-SA"/>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rFonts w:ascii="Symbol" w:hAnsi="Symbol" w:cs="Symbol"/>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0">
    <w:name w:val="WW8Num8z0"/>
    <w:qFormat/>
    <w:rPr/>
  </w:style>
  <w:style w:type="character" w:styleId="WW8Num8z1">
    <w:name w:val="WW8Num8z1"/>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0">
    <w:name w:val="WW8Num9z0"/>
    <w:qFormat/>
    <w:rPr>
      <w:rFonts w:ascii="Palatino Linotype" w:hAnsi="Palatino Linotype" w:eastAsia="Times New Roman" w:cs="Arial"/>
    </w:rPr>
  </w:style>
  <w:style w:type="character" w:styleId="WW8Num9z1">
    <w:name w:val="WW8Num9z1"/>
    <w:qFormat/>
    <w:rPr>
      <w:rFonts w:ascii="Courier New" w:hAnsi="Courier New" w:cs="Courier New"/>
    </w:rPr>
  </w:style>
  <w:style w:type="character" w:styleId="WW8Num9z2">
    <w:name w:val="WW8Num9z2"/>
    <w:qFormat/>
    <w:rPr>
      <w:rFonts w:ascii="Wingdings" w:hAnsi="Wingdings" w:cs="Wingdings"/>
    </w:rPr>
  </w:style>
  <w:style w:type="character" w:styleId="WW8Num9z3">
    <w:name w:val="WW8Num9z3"/>
    <w:qFormat/>
    <w:rPr>
      <w:rFonts w:ascii="Symbol" w:hAnsi="Symbol" w:cs="Symbol"/>
    </w:rPr>
  </w:style>
  <w:style w:type="character" w:styleId="WW8Num10z0">
    <w:name w:val="WW8Num10z0"/>
    <w:qFormat/>
    <w:rPr>
      <w:rFonts w:ascii="Symbol" w:hAnsi="Symbol" w:cs="Symbol"/>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1z0">
    <w:name w:val="WW8Num11z0"/>
    <w:qFormat/>
    <w:rPr>
      <w:rFonts w:ascii="Symbol" w:hAnsi="Symbol" w:cs="Symbol"/>
    </w:rPr>
  </w:style>
  <w:style w:type="character" w:styleId="WW8Num11z1">
    <w:name w:val="WW8Num11z1"/>
    <w:qFormat/>
    <w:rPr>
      <w:rFonts w:ascii="Courier New" w:hAnsi="Courier New" w:cs="Courier New"/>
    </w:rPr>
  </w:style>
  <w:style w:type="character" w:styleId="WW8Num11z2">
    <w:name w:val="WW8Num11z2"/>
    <w:qFormat/>
    <w:rPr>
      <w:rFonts w:ascii="Wingdings" w:hAnsi="Wingdings" w:cs="Wingdings"/>
    </w:rPr>
  </w:style>
  <w:style w:type="character" w:styleId="WW8Num12z0">
    <w:name w:val="WW8Num12z0"/>
    <w:qFormat/>
    <w:rPr>
      <w:rFonts w:ascii="Symbol" w:hAnsi="Symbol" w:cs="Symbol"/>
    </w:rPr>
  </w:style>
  <w:style w:type="character" w:styleId="WW8Num12z1">
    <w:name w:val="WW8Num12z1"/>
    <w:qFormat/>
    <w:rPr>
      <w:rFonts w:ascii="Courier New" w:hAnsi="Courier New" w:cs="Courier New"/>
    </w:rPr>
  </w:style>
  <w:style w:type="character" w:styleId="WW8Num12z2">
    <w:name w:val="WW8Num12z2"/>
    <w:qFormat/>
    <w:rPr>
      <w:rFonts w:ascii="Wingdings" w:hAnsi="Wingdings" w:cs="Wingdings"/>
    </w:rPr>
  </w:style>
  <w:style w:type="character" w:styleId="WW8Num13z0">
    <w:name w:val="WW8Num13z0"/>
    <w:qFormat/>
    <w:rPr>
      <w:rFonts w:ascii="Symbol" w:hAnsi="Symbol" w:cs="Symbol"/>
      <w:w w:val="99"/>
      <w:sz w:val="22"/>
      <w:szCs w:val="22"/>
      <w:lang w:val="es-ES" w:bidi="ar-SA"/>
    </w:rPr>
  </w:style>
  <w:style w:type="character" w:styleId="WW8Num13z1">
    <w:name w:val="WW8Num13z1"/>
    <w:qFormat/>
    <w:rPr>
      <w:lang w:val="es-ES" w:bidi="ar-SA"/>
    </w:rPr>
  </w:style>
  <w:style w:type="character" w:styleId="WW8Num14z0">
    <w:name w:val="WW8Num14z0"/>
    <w:qFormat/>
    <w:rPr>
      <w:rFonts w:ascii="Wingdings" w:hAnsi="Wingdings" w:eastAsia="Wingdings" w:cs="Wingdings"/>
      <w:w w:val="99"/>
      <w:sz w:val="22"/>
      <w:szCs w:val="22"/>
      <w:lang w:val="es-ES" w:bidi="ar-SA"/>
    </w:rPr>
  </w:style>
  <w:style w:type="character" w:styleId="WW8Num14z1">
    <w:name w:val="WW8Num14z1"/>
    <w:qFormat/>
    <w:rPr>
      <w:lang w:val="es-ES" w:bidi="ar-SA"/>
    </w:rPr>
  </w:style>
  <w:style w:type="character" w:styleId="WW8Num15z0">
    <w:name w:val="WW8Num15z0"/>
    <w:qFormat/>
    <w:rPr>
      <w:rFonts w:ascii="Symbol" w:hAnsi="Symbol" w:cs="Symbol"/>
    </w:rPr>
  </w:style>
  <w:style w:type="character" w:styleId="WW8Num15z1">
    <w:name w:val="WW8Num15z1"/>
    <w:qFormat/>
    <w:rPr>
      <w:rFonts w:ascii="Courier New" w:hAnsi="Courier New" w:cs="Courier New"/>
    </w:rPr>
  </w:style>
  <w:style w:type="character" w:styleId="WW8Num15z2">
    <w:name w:val="WW8Num15z2"/>
    <w:qFormat/>
    <w:rPr>
      <w:rFonts w:ascii="Wingdings" w:hAnsi="Wingdings" w:cs="Wingdings"/>
    </w:rPr>
  </w:style>
  <w:style w:type="character" w:styleId="WW8Num16z0">
    <w:name w:val="WW8Num16z0"/>
    <w:qFormat/>
    <w:rPr>
      <w:rFonts w:ascii="Symbol" w:hAnsi="Symbol" w:cs="Symbol"/>
      <w:sz w:val="20"/>
    </w:rPr>
  </w:style>
  <w:style w:type="character" w:styleId="WW8Num16z1">
    <w:name w:val="WW8Num16z1"/>
    <w:qFormat/>
    <w:rPr>
      <w:rFonts w:ascii="Courier New" w:hAnsi="Courier New" w:cs="Courier New"/>
    </w:rPr>
  </w:style>
  <w:style w:type="character" w:styleId="WW8Num16z2">
    <w:name w:val="WW8Num16z2"/>
    <w:qFormat/>
    <w:rPr>
      <w:rFonts w:ascii="Wingdings" w:hAnsi="Wingdings" w:cs="Wingdings"/>
    </w:rPr>
  </w:style>
  <w:style w:type="character" w:styleId="WW8Num17z0">
    <w:name w:val="WW8Num17z0"/>
    <w:qFormat/>
    <w:rPr>
      <w:rFonts w:ascii="Verdana" w:hAnsi="Verdana" w:eastAsia="Lucida Sans Unicode" w:cs="Times New Roman"/>
    </w:rPr>
  </w:style>
  <w:style w:type="character" w:styleId="WW8Num17z1">
    <w:name w:val="WW8Num17z1"/>
    <w:qFormat/>
    <w:rPr>
      <w:rFonts w:ascii="Courier New" w:hAnsi="Courier New" w:cs="Courier New"/>
    </w:rPr>
  </w:style>
  <w:style w:type="character" w:styleId="WW8Num17z2">
    <w:name w:val="WW8Num17z2"/>
    <w:qFormat/>
    <w:rPr>
      <w:rFonts w:ascii="Wingdings" w:hAnsi="Wingdings" w:cs="Wingdings"/>
    </w:rPr>
  </w:style>
  <w:style w:type="character" w:styleId="WW8Num17z3">
    <w:name w:val="WW8Num17z3"/>
    <w:qFormat/>
    <w:rPr>
      <w:rFonts w:ascii="Symbol" w:hAnsi="Symbol" w:cs="Symbol"/>
    </w:rPr>
  </w:style>
  <w:style w:type="character" w:styleId="Fuentedeprrafopredeter">
    <w:name w:val="Fuente de párrafo predeter."/>
    <w:qFormat/>
    <w:rPr/>
  </w:style>
  <w:style w:type="character" w:styleId="TtuloCar">
    <w:name w:val="Título Car"/>
    <w:qFormat/>
    <w:rPr>
      <w:rFonts w:ascii="Calibri" w:hAnsi="Calibri" w:eastAsia="Calibri" w:cs="Calibri"/>
      <w:sz w:val="25"/>
      <w:szCs w:val="25"/>
      <w:lang w:val="es-ES"/>
    </w:rPr>
  </w:style>
  <w:style w:type="character" w:styleId="EnlacedeInternet">
    <w:name w:val="Enlace de Internet"/>
    <w:rPr>
      <w:color w:val="0000FF"/>
      <w:u w:val="single"/>
    </w:rPr>
  </w:style>
  <w:style w:type="character" w:styleId="TextodegloboCar">
    <w:name w:val="Texto de globo Car"/>
    <w:qFormat/>
    <w:rPr>
      <w:rFonts w:ascii="Segoe UI" w:hAnsi="Segoe UI" w:eastAsia="Lucida Sans Unicode" w:cs="Segoe UI"/>
      <w:kern w:val="2"/>
      <w:sz w:val="18"/>
      <w:szCs w:val="18"/>
    </w:rPr>
  </w:style>
  <w:style w:type="paragraph" w:styleId="Ttulo">
    <w:name w:val="Título"/>
    <w:basedOn w:val="Normal"/>
    <w:next w:val="Cuerpodetexto"/>
    <w:qFormat/>
    <w:pPr>
      <w:suppressAutoHyphens w:val="false"/>
      <w:autoSpaceDE w:val="false"/>
      <w:spacing w:before="27" w:after="0"/>
      <w:ind w:left="335" w:right="0" w:hanging="0"/>
    </w:pPr>
    <w:rPr>
      <w:rFonts w:ascii="Calibri" w:hAnsi="Calibri" w:eastAsia="Calibri" w:cs="Calibri"/>
      <w:kern w:val="0"/>
      <w:sz w:val="25"/>
      <w:szCs w:val="25"/>
    </w:rPr>
  </w:style>
  <w:style w:type="paragraph" w:styleId="Cuerpodetexto">
    <w:name w:val="Body Text"/>
    <w:basedOn w:val="Normal"/>
    <w:pPr>
      <w:spacing w:before="0" w:after="120"/>
    </w:pPr>
    <w:rPr/>
  </w:style>
  <w:style w:type="paragraph" w:styleId="Lista">
    <w:name w:val="List"/>
    <w:basedOn w:val="Cuerpodetexto"/>
    <w:pPr/>
    <w:rPr>
      <w:rFonts w:cs="Tahoma"/>
      <w:sz w:val="22"/>
    </w:rPr>
  </w:style>
  <w:style w:type="paragraph" w:styleId="Leyenda">
    <w:name w:val="Caption"/>
    <w:basedOn w:val="Normal"/>
    <w:qFormat/>
    <w:pPr>
      <w:suppressLineNumbers/>
      <w:spacing w:before="120" w:after="120"/>
    </w:pPr>
    <w:rPr>
      <w:rFonts w:cs="Arial Unicode MS"/>
      <w:i/>
      <w:iCs/>
      <w:sz w:val="24"/>
      <w:szCs w:val="24"/>
    </w:rPr>
  </w:style>
  <w:style w:type="paragraph" w:styleId="Ndice">
    <w:name w:val="Índice"/>
    <w:basedOn w:val="Normal"/>
    <w:qFormat/>
    <w:pPr>
      <w:suppressLineNumbers/>
    </w:pPr>
    <w:rPr>
      <w:rFonts w:cs="Arial Unicode MS"/>
      <w:lang w:val="zxx" w:eastAsia="zxx" w:bidi="zxx"/>
    </w:rPr>
  </w:style>
  <w:style w:type="paragraph" w:styleId="Heading">
    <w:name w:val="Heading"/>
    <w:basedOn w:val="Normal"/>
    <w:next w:val="Cuerpodetexto"/>
    <w:qFormat/>
    <w:pPr>
      <w:keepNext w:val="true"/>
      <w:spacing w:before="240" w:after="120"/>
    </w:pPr>
    <w:rPr>
      <w:rFonts w:ascii="Verdana" w:hAnsi="Verdana" w:eastAsia="MS Mincho;MS Gothic" w:cs="Tahoma"/>
      <w:sz w:val="22"/>
      <w:szCs w:val="28"/>
    </w:rPr>
  </w:style>
  <w:style w:type="paragraph" w:styleId="Epgrafe">
    <w:name w:val="Epígrafe"/>
    <w:basedOn w:val="Normal"/>
    <w:qFormat/>
    <w:pPr>
      <w:suppressLineNumbers/>
      <w:spacing w:before="120" w:after="120"/>
    </w:pPr>
    <w:rPr>
      <w:rFonts w:cs="Tahoma"/>
      <w:i/>
      <w:iCs/>
      <w:sz w:val="22"/>
      <w:szCs w:val="24"/>
    </w:rPr>
  </w:style>
  <w:style w:type="paragraph" w:styleId="Index">
    <w:name w:val="Index"/>
    <w:basedOn w:val="Normal"/>
    <w:qFormat/>
    <w:pPr>
      <w:suppressLineNumbers/>
    </w:pPr>
    <w:rPr>
      <w:rFonts w:cs="Tahoma"/>
      <w:sz w:val="22"/>
    </w:rPr>
  </w:style>
  <w:style w:type="paragraph" w:styleId="Header1">
    <w:name w:val="Header1"/>
    <w:basedOn w:val="Normal"/>
    <w:qFormat/>
    <w:pPr>
      <w:suppressLineNumbers/>
      <w:tabs>
        <w:tab w:val="clear" w:pos="709"/>
        <w:tab w:val="center" w:pos="4818" w:leader="none"/>
        <w:tab w:val="right" w:pos="9637" w:leader="none"/>
      </w:tabs>
    </w:pPr>
    <w:rPr/>
  </w:style>
  <w:style w:type="paragraph" w:styleId="Footer1">
    <w:name w:val="Footer1"/>
    <w:basedOn w:val="Normal"/>
    <w:qFormat/>
    <w:pPr>
      <w:suppressLineNumbers/>
      <w:tabs>
        <w:tab w:val="clear" w:pos="709"/>
        <w:tab w:val="center" w:pos="4818" w:leader="none"/>
        <w:tab w:val="right" w:pos="9637" w:leader="none"/>
      </w:tabs>
      <w:textAlignment w:val="auto"/>
    </w:pPr>
    <w:rPr/>
  </w:style>
  <w:style w:type="paragraph" w:styleId="Header2">
    <w:name w:val="Header2"/>
    <w:basedOn w:val="Normal"/>
    <w:qFormat/>
    <w:pPr>
      <w:suppressLineNumbers/>
      <w:tabs>
        <w:tab w:val="clear" w:pos="709"/>
        <w:tab w:val="right" w:pos="9637" w:leader="none"/>
      </w:tabs>
    </w:pPr>
    <w:rPr/>
  </w:style>
  <w:style w:type="paragraph" w:styleId="Footer2">
    <w:name w:val="Footer2"/>
    <w:basedOn w:val="Normal"/>
    <w:qFormat/>
    <w:pPr>
      <w:suppressLineNumbers/>
      <w:tabs>
        <w:tab w:val="clear" w:pos="709"/>
        <w:tab w:val="right" w:pos="9637" w:leader="none"/>
      </w:tabs>
      <w:textAlignment w:val="auto"/>
    </w:pPr>
    <w:rPr/>
  </w:style>
  <w:style w:type="paragraph" w:styleId="Header3">
    <w:name w:val="Header3"/>
    <w:basedOn w:val="Normal"/>
    <w:qFormat/>
    <w:pPr>
      <w:suppressLineNumbers/>
      <w:tabs>
        <w:tab w:val="clear" w:pos="709"/>
        <w:tab w:val="center" w:pos="4818" w:leader="none"/>
        <w:tab w:val="right" w:pos="9637" w:leader="none"/>
      </w:tabs>
    </w:pPr>
    <w:rPr/>
  </w:style>
  <w:style w:type="paragraph" w:styleId="Header4">
    <w:name w:val="Header4"/>
    <w:basedOn w:val="Normal"/>
    <w:qFormat/>
    <w:pPr>
      <w:suppressLineNumbers/>
      <w:tabs>
        <w:tab w:val="clear" w:pos="709"/>
        <w:tab w:val="center" w:pos="4818" w:leader="none"/>
        <w:tab w:val="right" w:pos="9637" w:leader="none"/>
      </w:tabs>
    </w:pPr>
    <w:rPr/>
  </w:style>
  <w:style w:type="paragraph" w:styleId="Footer3">
    <w:name w:val="Footer3"/>
    <w:basedOn w:val="Normal"/>
    <w:qFormat/>
    <w:pPr>
      <w:suppressLineNumbers/>
      <w:tabs>
        <w:tab w:val="clear" w:pos="709"/>
        <w:tab w:val="center" w:pos="4818" w:leader="none"/>
        <w:tab w:val="right" w:pos="9637" w:leader="none"/>
      </w:tabs>
      <w:textAlignment w:val="auto"/>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Cabeceraypie">
    <w:name w:val="Cabecera y pie"/>
    <w:basedOn w:val="Normal"/>
    <w:qFormat/>
    <w:pPr>
      <w:suppressLineNumbers/>
      <w:tabs>
        <w:tab w:val="clear" w:pos="709"/>
        <w:tab w:val="center" w:pos="4819" w:leader="none"/>
        <w:tab w:val="right" w:pos="9638" w:leader="none"/>
      </w:tabs>
    </w:pPr>
    <w:rPr/>
  </w:style>
  <w:style w:type="paragraph" w:styleId="Cabecera">
    <w:name w:val="Header"/>
    <w:basedOn w:val="Normal"/>
    <w:pPr>
      <w:suppressLineNumbers/>
      <w:tabs>
        <w:tab w:val="clear" w:pos="709"/>
        <w:tab w:val="center" w:pos="5386" w:leader="none"/>
        <w:tab w:val="right" w:pos="10772" w:leader="none"/>
      </w:tabs>
    </w:pPr>
    <w:rPr/>
  </w:style>
  <w:style w:type="paragraph" w:styleId="Piedepgina">
    <w:name w:val="Footer"/>
    <w:basedOn w:val="Normal"/>
    <w:pPr>
      <w:suppressLineNumbers/>
      <w:tabs>
        <w:tab w:val="clear" w:pos="709"/>
        <w:tab w:val="center" w:pos="5386" w:leader="none"/>
        <w:tab w:val="right" w:pos="10772" w:leader="none"/>
      </w:tabs>
    </w:pPr>
    <w:rPr/>
  </w:style>
  <w:style w:type="paragraph" w:styleId="TableParagraph">
    <w:name w:val="Table Paragraph"/>
    <w:basedOn w:val="Normal"/>
    <w:qFormat/>
    <w:pPr>
      <w:suppressAutoHyphens w:val="false"/>
      <w:autoSpaceDE w:val="false"/>
      <w:spacing w:lineRule="exact" w:line="161" w:before="22" w:after="0"/>
      <w:jc w:val="right"/>
    </w:pPr>
    <w:rPr>
      <w:rFonts w:ascii="Calibri" w:hAnsi="Calibri" w:eastAsia="Calibri" w:cs="Calibri"/>
      <w:kern w:val="0"/>
      <w:szCs w:val="22"/>
    </w:rPr>
  </w:style>
  <w:style w:type="paragraph" w:styleId="Prrafodelista">
    <w:name w:val="Párrafo de lista"/>
    <w:basedOn w:val="Normal"/>
    <w:qFormat/>
    <w:pPr>
      <w:ind w:left="708" w:right="0" w:hanging="0"/>
    </w:pPr>
    <w:rPr/>
  </w:style>
  <w:style w:type="paragraph" w:styleId="Textodeglobo">
    <w:name w:val="Texto de globo"/>
    <w:basedOn w:val="Normal"/>
    <w:qFormat/>
    <w:pPr/>
    <w:rPr>
      <w:rFonts w:ascii="Segoe UI" w:hAnsi="Segoe UI" w:cs="Segoe UI"/>
      <w:sz w:val="18"/>
      <w:szCs w:val="18"/>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oporrino.org/" TargetMode="External"/><Relationship Id="rId3" Type="http://schemas.openxmlformats.org/officeDocument/2006/relationships/hyperlink" Target="mailto:dpd@oporrino.org" TargetMode="Externa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245</TotalTime>
  <Application>LibreOffice/7.2.7.2$Windows_X86_64 LibreOffice_project/8d71d29d553c0f7dcbfa38fbfda25ee34cce99a2</Application>
  <AppVersion>15.0000</AppVersion>
  <Pages>8</Pages>
  <Words>2369</Words>
  <Characters>12894</Characters>
  <CharactersWithSpaces>15208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2023-08-21T08:47:00Z</dcterms:created>
  <dc:creator>Ativ Book</dc:creator>
  <dc:description/>
  <cp:keywords> </cp:keywords>
  <dc:language>es-ES</dc:language>
  <cp:lastModifiedBy/>
  <cp:lastPrinted>2023-08-21T11:57:00Z</cp:lastPrinted>
  <dcterms:modified xsi:type="dcterms:W3CDTF">2023-08-21T13:18:26Z</dcterms:modified>
  <cp:revision>23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