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uppressAutoHyphens w:val="true"/>
        <w:spacing w:lineRule="auto" w:line="240" w:before="0" w:after="113"/>
        <w:jc w:val="center"/>
        <w:textAlignment w:val="baseline"/>
        <w:rPr/>
      </w:pPr>
      <w:r>
        <w:rPr>
          <w:rFonts w:eastAsia="Verdana" w:cs="Verdana"/>
          <w:b/>
          <w:w w:val="95"/>
          <w:sz w:val="20"/>
          <w:szCs w:val="20"/>
          <w:lang w:val="es-ES" w:eastAsia="es-ES" w:bidi="es-ES"/>
        </w:rPr>
        <w:t xml:space="preserve">ADMINISTRACIÓN LOCAL </w:t>
      </w:r>
      <w:r>
        <w:rPr>
          <w:rFonts w:eastAsia="Verdana" w:cs="Verdana"/>
          <w:b/>
          <w:sz w:val="20"/>
          <w:szCs w:val="20"/>
          <w:lang w:val="es-ES" w:eastAsia="es-ES" w:bidi="es-ES"/>
        </w:rPr>
        <w:t>MUNICIPAL</w:t>
      </w:r>
    </w:p>
    <w:p>
      <w:pPr>
        <w:pStyle w:val="Normal"/>
        <w:widowControl w:val="false"/>
        <w:suppressAutoHyphens w:val="true"/>
        <w:spacing w:lineRule="auto" w:line="240" w:before="0" w:after="113"/>
        <w:jc w:val="center"/>
        <w:textAlignment w:val="baseline"/>
        <w:rPr>
          <w:lang w:val="es-ES"/>
        </w:rPr>
      </w:pPr>
      <w:r>
        <w:rPr>
          <w:rFonts w:eastAsia="Verdana" w:cs="Verdana"/>
          <w:color w:val="414042"/>
          <w:w w:val="95"/>
          <w:sz w:val="20"/>
          <w:szCs w:val="20"/>
          <w:lang w:val="es-ES" w:eastAsia="es-ES" w:bidi="es-ES"/>
        </w:rPr>
        <w:t>MOS</w:t>
      </w:r>
    </w:p>
    <w:p>
      <w:pPr>
        <w:pStyle w:val="Normal"/>
        <w:widowControl w:val="false"/>
        <w:suppressAutoHyphens w:val="true"/>
        <w:spacing w:lineRule="auto" w:line="240" w:before="0" w:after="113"/>
        <w:jc w:val="center"/>
        <w:textAlignment w:val="baseline"/>
        <w:rPr>
          <w:b/>
          <w:b/>
          <w:bCs/>
          <w:lang w:val="es-ES"/>
        </w:rPr>
      </w:pPr>
      <w:r>
        <w:rPr>
          <w:rFonts w:eastAsia="Verdana" w:cs="Verdana"/>
          <w:b/>
          <w:bCs/>
          <w:sz w:val="20"/>
          <w:szCs w:val="20"/>
          <w:u w:val="none"/>
          <w:lang w:val="es-ES" w:eastAsia="es-ES" w:bidi="es-ES"/>
        </w:rPr>
        <w:t>Subvenciones y ayudas</w:t>
      </w:r>
    </w:p>
    <w:p>
      <w:pPr>
        <w:pStyle w:val="Normal"/>
        <w:spacing w:lineRule="auto" w:line="240" w:before="0" w:after="113"/>
        <w:ind w:right="567" w:hanging="0"/>
        <w:jc w:val="both"/>
        <w:rPr>
          <w:lang w:val="es-ES"/>
        </w:rPr>
      </w:pPr>
      <w:r>
        <w:rPr>
          <w:rFonts w:eastAsia="Verdana" w:cs="Verdana"/>
          <w:b/>
          <w:bCs/>
          <w:sz w:val="20"/>
          <w:szCs w:val="20"/>
          <w:lang w:val="es-ES" w:eastAsia="es-ES" w:bidi="es-ES"/>
        </w:rPr>
        <w:t>BASES DE AYUDAS A TRAVÉS DE INCENTIVOS A LA CONTRATACIÓN TEMPORAL POR CUENTA AJENA DE LAS PERSONAS PARTICIPANTES EN EL TALLER DUAL DE EMPLEO “QUEDA EN MOS”, DIRIJIDO A EMPRESAS PARA OCUPACIONES DEL ÁMBITO DE LA FORMACIÓN IMPARTIDA.</w:t>
      </w:r>
    </w:p>
    <w:p>
      <w:pPr>
        <w:pStyle w:val="Normal"/>
        <w:spacing w:lineRule="auto" w:line="240" w:before="0" w:after="113"/>
        <w:rPr/>
      </w:pPr>
      <w:r>
        <w:rPr/>
        <w:t>La ORDEN del 21de febrero de 2022 por la que se establecen las bases reguladoras de las ayudas y subvenciones para los talleres duales de empleo de la Comunidad Autónoma de Galicia y se procede a su convocatoria para el año 2022 (código de procedimiento TR353A), establece en su artículo primero relativo al objeto de la subvención, lo siguiente:</w:t>
      </w:r>
    </w:p>
    <w:p>
      <w:pPr>
        <w:pStyle w:val="Normal"/>
        <w:spacing w:lineRule="auto" w:line="240" w:before="0" w:after="113"/>
        <w:ind w:left="708" w:right="567" w:hanging="0"/>
        <w:rPr>
          <w:i/>
          <w:i/>
          <w:iCs/>
        </w:rPr>
      </w:pPr>
      <w:r>
        <w:rPr>
          <w:i/>
          <w:iCs/>
        </w:rPr>
        <w:t>“</w:t>
      </w:r>
      <w:r>
        <w:rPr>
          <w:i/>
          <w:iCs/>
        </w:rPr>
        <w:t>Esta Orden, tiene por objeto el establecimiento de las bases reguladoras, así como la convocatoria, para el año 2022, en régimen de concurrencia competitiva, de las ayudas y subvenciones para los talleres duales de empleo en el ámbito de la Comunidad Autónoma de Galicia (código de procedimiento TR353A), concebidos como programas de formación, práctica profesional y, en el caso de los ayuntamientos, mancomunidades y entidades públicas dependientes, para incentivos a la contratación en empresas, respetando los principios de objetividad, igualdad, transparencia y publicidad.”</w:t>
      </w:r>
    </w:p>
    <w:p>
      <w:pPr>
        <w:pStyle w:val="Normal"/>
        <w:spacing w:lineRule="auto" w:line="240" w:before="0" w:after="113"/>
        <w:rPr/>
      </w:pPr>
      <w:r>
        <w:rPr/>
        <w:t>El citado artículo 1, en su párrafo 4, establece que, se valora, en el caso de los Ayuntamientos, que se promueva la inserción laboral por cuenta ajena de las personas participantes que terminen el Taller con resultado de apto durante un mínimo de 3 meses a jornada completa en empresas para ocupaciones del ámbito de las materias impartidas y en el ámbito territorial de Galicia. En su caso, las entidades promotoras deberán publicar una convocatoria de ayudas a la inserción laboral, a través de incentivos a la contratación.</w:t>
      </w:r>
    </w:p>
    <w:p>
      <w:pPr>
        <w:pStyle w:val="Normal"/>
        <w:spacing w:lineRule="auto" w:line="240" w:before="0" w:after="113"/>
        <w:rPr/>
      </w:pPr>
      <w:r>
        <w:rPr/>
        <w:t>El Capítulo IV de la Orden (Art. 15), regula los incentivos a la contratación, en los términos siguientes:</w:t>
      </w:r>
    </w:p>
    <w:p>
      <w:pPr>
        <w:pStyle w:val="ListParagraph"/>
        <w:numPr>
          <w:ilvl w:val="0"/>
          <w:numId w:val="1"/>
        </w:numPr>
        <w:ind w:left="0" w:right="0" w:hanging="0"/>
        <w:rPr/>
      </w:pPr>
      <w:r>
        <w:rPr/>
        <w:t>Podrán solicitar el incentivo a la contratación los Ayuntamientos, mancomunidades de ayuntamientos o entidades públicas dependientes o vinculadas a un Ayuntamiento. El número máximo de incentivos estará limitado al número de personas para las que se presente un compromiso de solicitud por parte de empresas para ocupaciones del ámbito de las materias impartidas y del ámbito territorial de Galicia.</w:t>
      </w:r>
    </w:p>
    <w:p>
      <w:pPr>
        <w:pStyle w:val="ListParagraph"/>
        <w:numPr>
          <w:ilvl w:val="0"/>
          <w:numId w:val="1"/>
        </w:numPr>
        <w:ind w:left="0" w:right="0" w:hanging="0"/>
        <w:rPr/>
      </w:pPr>
      <w:r>
        <w:rPr/>
        <w:t>El objeto de los incentivos a la contratación es promover la inserción laboral de las personas participantes de los talleres duales de empleo. En el caso de que las entidades promotoras soliciten subvención para incentivos a la contratación, deberán publicar una convocatoria de ayudas a través de incentivos a la contratación por cuenta ajena de las personas participantes de los talleres duales de empleo dirigido a empresas para ocupaciones del ámbito de la formación impartida por los talleres duales de empleo. En la tramitación de los expedientes de concesión de los incentivos las entidades locales deberán tener en cuenta el régimen de ayuda de minimis, en los términos establecidos en el Reglamento (UE) nº 1407/2013 de la Comisión, de 18 de diciembre de 2013, relativo a la aplicación de los artículos 107  y 108 del Tratado de funcionamiento de la Unión Europea a las ayudas de minimis (DOUE L352, del 24 de diciembre de 2013). En el anexo V se adjunta un modelo orientativo de convocatoria.</w:t>
      </w:r>
    </w:p>
    <w:p>
      <w:pPr>
        <w:pStyle w:val="ListParagraph"/>
        <w:numPr>
          <w:ilvl w:val="0"/>
          <w:numId w:val="1"/>
        </w:numPr>
        <w:ind w:left="0" w:right="0" w:hanging="0"/>
        <w:rPr/>
      </w:pPr>
      <w:r>
        <w:rPr/>
        <w:t>La contratación laboral tendrá una duración de un mínimo de 3 meses a jornada completa, y deberá comenzar con carácter general en los quince días siguientes a la finalización del taller dual de empleo, por lo que la publicación de la convocatoria deberá ser realizada con suficiente antelación.</w:t>
      </w:r>
    </w:p>
    <w:p>
      <w:pPr>
        <w:pStyle w:val="Cuerpodetexto"/>
        <w:suppressAutoHyphens w:val="true"/>
        <w:spacing w:lineRule="auto" w:line="240" w:before="0" w:after="113"/>
        <w:ind w:left="0" w:right="567" w:hanging="0"/>
        <w:jc w:val="both"/>
        <w:textAlignment w:val="baseline"/>
        <w:rPr>
          <w:lang w:val="es-ES"/>
        </w:rPr>
      </w:pPr>
      <w:r>
        <w:rPr>
          <w:rFonts w:eastAsia="Verdana" w:cs="Verdana"/>
          <w:sz w:val="20"/>
          <w:szCs w:val="20"/>
          <w:lang w:val="es-ES" w:eastAsia="es-ES" w:bidi="es-ES"/>
        </w:rPr>
        <w:t>Teniendo en cuenta los anteriores pronunciamentos de la Orden Reguladora de los talleres duales de empleo, y tras la aprobación de las bases por la Junta de Gobierno Local, la Alcaldesa del Ayuntamiento de Mos acordó la publicación de la siguiente convocatoria de</w:t>
      </w:r>
    </w:p>
    <w:p>
      <w:pPr>
        <w:pStyle w:val="Cuerpodetexto"/>
        <w:spacing w:lineRule="auto" w:line="240" w:before="0" w:after="113"/>
        <w:ind w:left="223" w:right="567" w:hanging="0"/>
        <w:jc w:val="both"/>
        <w:rPr>
          <w:lang w:val="es-ES"/>
        </w:rPr>
      </w:pPr>
      <w:r>
        <w:rPr>
          <w:lang w:val="es-ES"/>
        </w:rPr>
      </w:r>
    </w:p>
    <w:p>
      <w:pPr>
        <w:pStyle w:val="Ttulo1"/>
        <w:spacing w:lineRule="auto" w:line="240" w:before="0" w:after="113"/>
        <w:ind w:left="0" w:right="567" w:hanging="0"/>
        <w:jc w:val="center"/>
        <w:rPr>
          <w:rFonts w:ascii="Arial" w:hAnsi="Arial" w:eastAsia="Verdana" w:cs="Verdana"/>
          <w:b w:val="false"/>
          <w:b w:val="false"/>
          <w:bCs w:val="false"/>
          <w:sz w:val="20"/>
          <w:szCs w:val="20"/>
          <w:u w:val="none"/>
          <w:lang w:eastAsia="es-ES" w:bidi="es-ES"/>
        </w:rPr>
      </w:pPr>
      <w:r>
        <w:rPr>
          <w:rFonts w:eastAsia="Verdana" w:cs="Verdana"/>
          <w:b w:val="false"/>
          <w:bCs w:val="false"/>
          <w:sz w:val="20"/>
          <w:szCs w:val="20"/>
          <w:u w:val="none" w:color="000000"/>
          <w:lang w:eastAsia="es-ES" w:bidi="es-ES"/>
        </w:rPr>
      </w:r>
      <w:r>
        <w:br w:type="page"/>
      </w:r>
    </w:p>
    <w:p>
      <w:pPr>
        <w:pStyle w:val="Ttulo1"/>
        <w:spacing w:lineRule="auto" w:line="240" w:before="0" w:after="113"/>
        <w:ind w:left="0" w:right="567" w:hanging="0"/>
        <w:jc w:val="center"/>
        <w:rPr>
          <w:lang w:val="es-ES"/>
        </w:rPr>
      </w:pPr>
      <w:r>
        <w:rPr>
          <w:rFonts w:eastAsia="Verdana" w:cs="Verdana"/>
          <w:b w:val="false"/>
          <w:bCs w:val="false"/>
          <w:sz w:val="20"/>
          <w:szCs w:val="20"/>
          <w:u w:val="none"/>
          <w:lang w:val="es-ES" w:eastAsia="es-ES" w:bidi="es-ES"/>
        </w:rPr>
        <w:t>BASES DE AYUDAS A TRAVÉS DE INCENTIVOS a la CONTRATACIÓN TEMPORAL POR CUENTA AJENA DE LAS PERSONAS PARTICIPANTES DEL TALLER DUAL DE EMPLEO “QUEDA EN MOS”, DIRIGIDO A EMPRESAS PARA OCUPACIONES DEL ÁMBITO DE LA FORMACIÓN IMPARTIDA POR LOS TALLERES DUALES DE EMPLEO</w:t>
      </w:r>
    </w:p>
    <w:p>
      <w:pPr>
        <w:pStyle w:val="Ttulo1"/>
        <w:spacing w:lineRule="auto" w:line="240" w:before="0" w:after="113"/>
        <w:ind w:left="0" w:right="567" w:hanging="0"/>
        <w:rPr>
          <w:lang w:val="es-ES"/>
        </w:rPr>
      </w:pPr>
      <w:r>
        <w:rPr>
          <w:rFonts w:eastAsia="Verdana" w:cs="Verdana"/>
          <w:sz w:val="20"/>
          <w:szCs w:val="20"/>
          <w:u w:val="none"/>
          <w:lang w:val="es-ES" w:eastAsia="es-ES" w:bidi="es-ES"/>
        </w:rPr>
        <w:t>PRIMERA. Finalidad y duración de los incentivos a la contratación por cuenta ajena</w:t>
      </w:r>
    </w:p>
    <w:p>
      <w:pPr>
        <w:pStyle w:val="ListParagraph"/>
        <w:numPr>
          <w:ilvl w:val="0"/>
          <w:numId w:val="21"/>
        </w:numPr>
        <w:ind w:left="0" w:right="0" w:hanging="0"/>
        <w:rPr/>
      </w:pPr>
      <w:r>
        <w:rPr/>
        <w:t>Los incentivos a la contratación temporal por cuenta ajena tienen por finalidad facilitar la empleabilidad y ocupabilidad de las personas participantes en los talleres duales de empleo, financiados a través de la convocatoria 2022 de ayudas  y subvenciones a talleres duales de empleo, por la Dirección General de Orientación y Promoción Laboral, perteneciente a la Consejería de Economía e Igualdad de laXunta de Galicia.</w:t>
      </w:r>
    </w:p>
    <w:p>
      <w:pPr>
        <w:pStyle w:val="ListParagraph"/>
        <w:numPr>
          <w:ilvl w:val="0"/>
          <w:numId w:val="1"/>
        </w:numPr>
        <w:ind w:left="0" w:right="0" w:hanging="0"/>
        <w:rPr/>
      </w:pPr>
      <w:r>
        <w:rPr>
          <w:rFonts w:eastAsia="Verdana" w:cs="Verdana"/>
          <w:color w:val="auto"/>
          <w:kern w:val="0"/>
          <w:sz w:val="20"/>
          <w:szCs w:val="20"/>
          <w:lang w:val="es-ES" w:eastAsia="es-ES" w:bidi="es-ES"/>
        </w:rPr>
        <w:t>El ayuntamiento de Mos está desarrollando un taller dual de Empleo  denominado “Queda en Mos”, que inició su actividad el 03/10/2022 y termina el 02/10/2023. Cuenta con 20 alumnas/os trabajadoras/es, que están trabajando y formándose en las siguientes especialidades:</w:t>
      </w:r>
    </w:p>
    <w:p>
      <w:pPr>
        <w:pStyle w:val="ListParagraph"/>
        <w:numPr>
          <w:ilvl w:val="0"/>
          <w:numId w:val="12"/>
        </w:numPr>
        <w:rPr/>
      </w:pPr>
      <w:r>
        <w:rPr>
          <w:rFonts w:eastAsia="Verdana" w:cs="Verdana"/>
          <w:color w:val="auto"/>
          <w:kern w:val="0"/>
          <w:sz w:val="20"/>
          <w:szCs w:val="20"/>
          <w:lang w:val="es-ES" w:eastAsia="es-ES" w:bidi="es-ES"/>
        </w:rPr>
        <w:t>10 Alumnas/os trabajadoras/es de la especialidad de Carpintería; Certificado de profesionalidad  MAMD0209: Trabajos de Carpintería y mueble y Certificado de profesionalidad MAMS0108: Instalación de elementos de Carpintería.</w:t>
      </w:r>
    </w:p>
    <w:p>
      <w:pPr>
        <w:pStyle w:val="ListParagraph"/>
        <w:numPr>
          <w:ilvl w:val="0"/>
          <w:numId w:val="12"/>
        </w:numPr>
        <w:rPr/>
      </w:pPr>
      <w:r>
        <w:rPr>
          <w:rFonts w:eastAsia="Verdana" w:cs="Verdana"/>
          <w:color w:val="auto"/>
          <w:kern w:val="0"/>
          <w:sz w:val="20"/>
          <w:szCs w:val="20"/>
          <w:lang w:val="es-ES" w:eastAsia="es-ES" w:bidi="es-ES"/>
        </w:rPr>
        <w:t>10 Alumnas/os trabajadoras/es de la especialidad de Marketing Digital y Multimedia; Certificado de profesionalidad IMSV0209: Desenvolvimiento de productos multimedia interactivos y Certificado de Profesionalidad COMM0112: Gestión de Marketing y Comunicación.</w:t>
      </w:r>
    </w:p>
    <w:p>
      <w:pPr>
        <w:pStyle w:val="ListParagraph"/>
        <w:numPr>
          <w:ilvl w:val="0"/>
          <w:numId w:val="1"/>
        </w:numPr>
        <w:ind w:left="0" w:right="0" w:hanging="0"/>
        <w:rPr/>
      </w:pPr>
      <w:r>
        <w:rPr>
          <w:szCs w:val="20"/>
          <w:lang w:val="es-ES"/>
        </w:rPr>
        <w:t xml:space="preserve">La Jefatura Territorial de la Consejería de Empleo e Igualdad, otorgó al Ayuntamiento de Mos una subvención por un importe de 16.500 € para incentivos a la contratación. </w:t>
      </w:r>
    </w:p>
    <w:tbl>
      <w:tblPr>
        <w:tblW w:w="9513" w:type="dxa"/>
        <w:jc w:val="left"/>
        <w:tblInd w:w="55" w:type="dxa"/>
        <w:tblCellMar>
          <w:top w:w="55" w:type="dxa"/>
          <w:left w:w="55" w:type="dxa"/>
          <w:bottom w:w="55" w:type="dxa"/>
          <w:right w:w="55" w:type="dxa"/>
        </w:tblCellMar>
        <w:tblLook w:firstRow="0" w:noVBand="0" w:lastRow="0" w:firstColumn="0" w:lastColumn="0" w:noHBand="0" w:val="0000"/>
      </w:tblPr>
      <w:tblGrid>
        <w:gridCol w:w="1301"/>
        <w:gridCol w:w="3062"/>
        <w:gridCol w:w="2551"/>
        <w:gridCol w:w="2598"/>
      </w:tblGrid>
      <w:tr>
        <w:trPr>
          <w:trHeight w:val="225" w:hRule="atLeast"/>
        </w:trPr>
        <w:tc>
          <w:tcPr>
            <w:tcW w:w="1301" w:type="dxa"/>
            <w:tcBorders>
              <w:top w:val="single" w:sz="4" w:space="0" w:color="000000"/>
              <w:left w:val="single" w:sz="4" w:space="0" w:color="000000"/>
              <w:bottom w:val="single" w:sz="4" w:space="0" w:color="000000"/>
            </w:tcBorders>
            <w:shd w:fill="E0E0E0" w:val="clear"/>
          </w:tcPr>
          <w:p>
            <w:pPr>
              <w:pStyle w:val="Normal"/>
              <w:widowControl w:val="false"/>
              <w:tabs>
                <w:tab w:val="clear" w:pos="708"/>
                <w:tab w:val="left" w:pos="668" w:leader="none"/>
              </w:tabs>
              <w:spacing w:lineRule="auto" w:line="240" w:before="0" w:after="0"/>
              <w:ind w:left="0" w:right="0" w:hanging="0"/>
              <w:jc w:val="center"/>
              <w:rPr>
                <w:rFonts w:ascii="Arial" w:hAnsi="Arial" w:eastAsia="Verdana" w:cs="Verdana"/>
                <w:b/>
                <w:b/>
                <w:sz w:val="20"/>
                <w:szCs w:val="20"/>
                <w:lang w:val="es-ES" w:eastAsia="es-ES" w:bidi="es-ES"/>
              </w:rPr>
            </w:pPr>
            <w:r>
              <w:rPr>
                <w:rFonts w:eastAsia="Verdana" w:cs="Verdana"/>
                <w:b/>
                <w:sz w:val="20"/>
                <w:szCs w:val="20"/>
                <w:lang w:val="es-ES" w:eastAsia="es-ES" w:bidi="es-ES"/>
              </w:rPr>
              <w:t>Anualidad</w:t>
            </w:r>
          </w:p>
        </w:tc>
        <w:tc>
          <w:tcPr>
            <w:tcW w:w="3062" w:type="dxa"/>
            <w:tcBorders>
              <w:top w:val="single" w:sz="4" w:space="0" w:color="000000"/>
              <w:left w:val="single" w:sz="4" w:space="0" w:color="000000"/>
              <w:bottom w:val="single" w:sz="4" w:space="0" w:color="000000"/>
            </w:tcBorders>
            <w:shd w:fill="E0E0E0" w:val="clear"/>
          </w:tcPr>
          <w:p>
            <w:pPr>
              <w:pStyle w:val="Normal"/>
              <w:widowControl w:val="false"/>
              <w:tabs>
                <w:tab w:val="clear" w:pos="708"/>
                <w:tab w:val="left" w:pos="668" w:leader="none"/>
              </w:tabs>
              <w:spacing w:lineRule="auto" w:line="240" w:before="0" w:after="0"/>
              <w:ind w:left="0" w:right="0" w:hanging="0"/>
              <w:jc w:val="center"/>
              <w:rPr>
                <w:rFonts w:ascii="Arial" w:hAnsi="Arial" w:eastAsia="Verdana" w:cs="Verdana"/>
                <w:b/>
                <w:b/>
                <w:sz w:val="20"/>
                <w:szCs w:val="20"/>
                <w:lang w:val="es-ES" w:eastAsia="es-ES" w:bidi="es-ES"/>
              </w:rPr>
            </w:pPr>
            <w:r>
              <w:rPr>
                <w:rFonts w:eastAsia="Verdana" w:cs="Verdana"/>
                <w:b/>
                <w:sz w:val="20"/>
                <w:szCs w:val="20"/>
                <w:lang w:val="es-ES" w:eastAsia="es-ES" w:bidi="es-ES"/>
              </w:rPr>
              <w:t>Certificado</w:t>
            </w:r>
          </w:p>
        </w:tc>
        <w:tc>
          <w:tcPr>
            <w:tcW w:w="2551" w:type="dxa"/>
            <w:tcBorders>
              <w:top w:val="single" w:sz="4" w:space="0" w:color="000000"/>
              <w:left w:val="single" w:sz="4" w:space="0" w:color="000000"/>
              <w:bottom w:val="single" w:sz="4" w:space="0" w:color="000000"/>
            </w:tcBorders>
            <w:shd w:fill="E0E0E0" w:val="clear"/>
          </w:tcPr>
          <w:p>
            <w:pPr>
              <w:pStyle w:val="Normal"/>
              <w:widowControl w:val="false"/>
              <w:tabs>
                <w:tab w:val="clear" w:pos="708"/>
                <w:tab w:val="left" w:pos="668" w:leader="none"/>
              </w:tabs>
              <w:spacing w:lineRule="auto" w:line="240" w:before="0" w:after="0"/>
              <w:ind w:left="0" w:right="0" w:hanging="0"/>
              <w:jc w:val="center"/>
              <w:rPr>
                <w:rFonts w:ascii="Arial" w:hAnsi="Arial" w:eastAsia="Verdana" w:cs="Verdana"/>
                <w:b/>
                <w:b/>
                <w:sz w:val="20"/>
                <w:szCs w:val="20"/>
                <w:lang w:val="es-ES" w:eastAsia="es-ES" w:bidi="es-ES"/>
              </w:rPr>
            </w:pPr>
            <w:r>
              <w:rPr>
                <w:rFonts w:eastAsia="Verdana" w:cs="Verdana"/>
                <w:b/>
                <w:sz w:val="20"/>
                <w:szCs w:val="20"/>
                <w:lang w:val="es-ES" w:eastAsia="es-ES" w:bidi="es-ES"/>
              </w:rPr>
              <w:t>Número de contratos</w:t>
            </w:r>
          </w:p>
        </w:tc>
        <w:tc>
          <w:tcPr>
            <w:tcW w:w="2598" w:type="dxa"/>
            <w:tcBorders>
              <w:top w:val="single" w:sz="4" w:space="0" w:color="000000"/>
              <w:left w:val="single" w:sz="4" w:space="0" w:color="000000"/>
              <w:bottom w:val="single" w:sz="4" w:space="0" w:color="000000"/>
              <w:right w:val="single" w:sz="4" w:space="0" w:color="000000"/>
            </w:tcBorders>
            <w:shd w:fill="E0E0E0" w:val="clear"/>
          </w:tcPr>
          <w:p>
            <w:pPr>
              <w:pStyle w:val="Normal"/>
              <w:widowControl w:val="false"/>
              <w:tabs>
                <w:tab w:val="clear" w:pos="708"/>
                <w:tab w:val="left" w:pos="668" w:leader="none"/>
              </w:tabs>
              <w:spacing w:lineRule="auto" w:line="240" w:before="0" w:after="0"/>
              <w:ind w:left="0" w:right="0" w:hanging="0"/>
              <w:jc w:val="center"/>
              <w:rPr>
                <w:rFonts w:ascii="Arial" w:hAnsi="Arial" w:eastAsia="Verdana" w:cs="Verdana"/>
                <w:b/>
                <w:b/>
                <w:sz w:val="20"/>
                <w:szCs w:val="20"/>
                <w:lang w:val="es-ES" w:eastAsia="es-ES" w:bidi="es-ES"/>
              </w:rPr>
            </w:pPr>
            <w:r>
              <w:rPr>
                <w:rFonts w:eastAsia="Verdana" w:cs="Verdana"/>
                <w:b/>
                <w:sz w:val="20"/>
                <w:szCs w:val="20"/>
                <w:lang w:val="es-ES" w:eastAsia="es-ES" w:bidi="es-ES"/>
              </w:rPr>
              <w:t>Importe subvención</w:t>
            </w:r>
            <w:bookmarkStart w:id="0" w:name="_GoBack"/>
            <w:bookmarkEnd w:id="0"/>
          </w:p>
        </w:tc>
      </w:tr>
      <w:tr>
        <w:trPr/>
        <w:tc>
          <w:tcPr>
            <w:tcW w:w="1301" w:type="dxa"/>
            <w:tcBorders>
              <w:left w:val="single" w:sz="4" w:space="0" w:color="000000"/>
              <w:bottom w:val="single" w:sz="4" w:space="0" w:color="000000"/>
            </w:tcBorders>
            <w:shd w:color="auto" w:fill="auto" w:val="clear"/>
          </w:tcPr>
          <w:p>
            <w:pPr>
              <w:pStyle w:val="Normal"/>
              <w:widowControl w:val="false"/>
              <w:tabs>
                <w:tab w:val="clear" w:pos="708"/>
                <w:tab w:val="left" w:pos="668" w:leader="none"/>
              </w:tabs>
              <w:spacing w:lineRule="auto" w:line="240" w:before="0" w:after="0"/>
              <w:ind w:left="0" w:right="0" w:hanging="0"/>
              <w:jc w:val="center"/>
              <w:rPr>
                <w:rFonts w:ascii="Arial" w:hAnsi="Arial" w:eastAsia="Verdana" w:cs="Verdana"/>
                <w:sz w:val="20"/>
                <w:szCs w:val="20"/>
                <w:lang w:val="es-ES" w:eastAsia="es-ES" w:bidi="es-ES"/>
              </w:rPr>
            </w:pPr>
            <w:r>
              <w:rPr>
                <w:rFonts w:eastAsia="Verdana" w:cs="Verdana"/>
                <w:sz w:val="20"/>
                <w:szCs w:val="20"/>
                <w:lang w:val="es-ES" w:eastAsia="es-ES" w:bidi="es-ES"/>
              </w:rPr>
              <w:t>2022</w:t>
            </w:r>
          </w:p>
        </w:tc>
        <w:tc>
          <w:tcPr>
            <w:tcW w:w="3062" w:type="dxa"/>
            <w:tcBorders>
              <w:left w:val="single" w:sz="4" w:space="0" w:color="000000"/>
              <w:bottom w:val="single" w:sz="4" w:space="0" w:color="000000"/>
            </w:tcBorders>
            <w:shd w:color="auto" w:fill="auto" w:val="clear"/>
          </w:tcPr>
          <w:p>
            <w:pPr>
              <w:pStyle w:val="ListParagraph"/>
              <w:widowControl w:val="false"/>
              <w:numPr>
                <w:ilvl w:val="0"/>
                <w:numId w:val="0"/>
              </w:numPr>
              <w:tabs>
                <w:tab w:val="left" w:pos="668" w:leader="none"/>
              </w:tabs>
              <w:spacing w:lineRule="auto" w:line="240" w:before="0" w:after="0"/>
              <w:ind w:left="0" w:right="0" w:hanging="0"/>
              <w:rPr>
                <w:szCs w:val="20"/>
                <w:lang w:val="es-ES"/>
              </w:rPr>
            </w:pPr>
            <w:r>
              <w:rPr>
                <w:szCs w:val="20"/>
                <w:lang w:val="es-ES"/>
              </w:rPr>
              <w:t>Marketing Digital y Multimedia</w:t>
            </w:r>
          </w:p>
        </w:tc>
        <w:tc>
          <w:tcPr>
            <w:tcW w:w="2551" w:type="dxa"/>
            <w:tcBorders>
              <w:left w:val="single" w:sz="4" w:space="0" w:color="000000"/>
              <w:bottom w:val="single" w:sz="4" w:space="0" w:color="000000"/>
            </w:tcBorders>
            <w:shd w:color="auto" w:fill="auto" w:val="clear"/>
          </w:tcPr>
          <w:p>
            <w:pPr>
              <w:pStyle w:val="Normal"/>
              <w:widowControl w:val="false"/>
              <w:tabs>
                <w:tab w:val="clear" w:pos="708"/>
                <w:tab w:val="left" w:pos="668" w:leader="none"/>
              </w:tabs>
              <w:spacing w:lineRule="auto" w:line="240" w:before="0" w:after="0"/>
              <w:ind w:left="0" w:right="0" w:hanging="0"/>
              <w:jc w:val="center"/>
              <w:rPr>
                <w:rFonts w:ascii="Arial" w:hAnsi="Arial" w:eastAsia="Verdana" w:cs="Verdana"/>
                <w:sz w:val="20"/>
                <w:szCs w:val="20"/>
                <w:lang w:val="es-ES" w:eastAsia="es-ES" w:bidi="es-ES"/>
              </w:rPr>
            </w:pPr>
            <w:r>
              <w:rPr>
                <w:rFonts w:eastAsia="Verdana" w:cs="Verdana"/>
                <w:sz w:val="20"/>
                <w:szCs w:val="20"/>
                <w:lang w:val="es-ES" w:eastAsia="es-ES" w:bidi="es-ES"/>
              </w:rPr>
              <w:t>4</w:t>
            </w:r>
          </w:p>
        </w:tc>
        <w:tc>
          <w:tcPr>
            <w:tcW w:w="2598" w:type="dxa"/>
            <w:tcBorders>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668" w:leader="none"/>
              </w:tabs>
              <w:spacing w:lineRule="auto" w:line="240" w:before="0" w:after="0"/>
              <w:ind w:left="0" w:right="0" w:hanging="0"/>
              <w:jc w:val="center"/>
              <w:rPr>
                <w:rFonts w:ascii="Arial" w:hAnsi="Arial" w:eastAsia="Verdana" w:cs="Verdana"/>
                <w:sz w:val="20"/>
                <w:szCs w:val="20"/>
                <w:lang w:val="es-ES" w:eastAsia="es-ES" w:bidi="es-ES"/>
              </w:rPr>
            </w:pPr>
            <w:r>
              <w:rPr>
                <w:rFonts w:eastAsia="Verdana" w:cs="Verdana"/>
                <w:sz w:val="20"/>
                <w:szCs w:val="20"/>
                <w:lang w:val="es-ES" w:eastAsia="es-ES" w:bidi="es-ES"/>
              </w:rPr>
              <w:t>4 x 1.500 = 6.000 €</w:t>
            </w:r>
          </w:p>
        </w:tc>
      </w:tr>
      <w:tr>
        <w:trPr/>
        <w:tc>
          <w:tcPr>
            <w:tcW w:w="1301" w:type="dxa"/>
            <w:tcBorders>
              <w:left w:val="single" w:sz="4" w:space="0" w:color="000000"/>
              <w:bottom w:val="single" w:sz="4" w:space="0" w:color="000000"/>
            </w:tcBorders>
            <w:shd w:color="auto" w:fill="auto" w:val="clear"/>
          </w:tcPr>
          <w:p>
            <w:pPr>
              <w:pStyle w:val="Normal"/>
              <w:widowControl w:val="false"/>
              <w:tabs>
                <w:tab w:val="clear" w:pos="708"/>
                <w:tab w:val="left" w:pos="668" w:leader="none"/>
              </w:tabs>
              <w:spacing w:lineRule="auto" w:line="240" w:before="0" w:after="0"/>
              <w:ind w:left="0" w:right="0" w:hanging="0"/>
              <w:jc w:val="center"/>
              <w:rPr>
                <w:rFonts w:ascii="Arial" w:hAnsi="Arial" w:eastAsia="Verdana" w:cs="Verdana"/>
                <w:sz w:val="20"/>
                <w:szCs w:val="20"/>
                <w:lang w:val="es-ES" w:eastAsia="es-ES" w:bidi="es-ES"/>
              </w:rPr>
            </w:pPr>
            <w:r>
              <w:rPr>
                <w:rFonts w:eastAsia="Verdana" w:cs="Verdana"/>
                <w:sz w:val="20"/>
                <w:szCs w:val="20"/>
                <w:lang w:val="es-ES" w:eastAsia="es-ES" w:bidi="es-ES"/>
              </w:rPr>
              <w:t>2022</w:t>
            </w:r>
          </w:p>
        </w:tc>
        <w:tc>
          <w:tcPr>
            <w:tcW w:w="3062" w:type="dxa"/>
            <w:tcBorders>
              <w:left w:val="single" w:sz="4" w:space="0" w:color="000000"/>
              <w:bottom w:val="single" w:sz="4" w:space="0" w:color="000000"/>
            </w:tcBorders>
            <w:shd w:color="auto" w:fill="auto" w:val="clear"/>
          </w:tcPr>
          <w:p>
            <w:pPr>
              <w:pStyle w:val="ListParagraph"/>
              <w:widowControl w:val="false"/>
              <w:numPr>
                <w:ilvl w:val="0"/>
                <w:numId w:val="0"/>
              </w:numPr>
              <w:tabs>
                <w:tab w:val="left" w:pos="668" w:leader="none"/>
              </w:tabs>
              <w:spacing w:lineRule="auto" w:line="240" w:before="0" w:after="0"/>
              <w:ind w:left="0" w:right="0" w:hanging="0"/>
              <w:rPr>
                <w:szCs w:val="20"/>
                <w:lang w:val="es-ES"/>
              </w:rPr>
            </w:pPr>
            <w:r>
              <w:rPr>
                <w:szCs w:val="20"/>
                <w:lang w:val="es-ES"/>
              </w:rPr>
              <w:t>Carpintería</w:t>
            </w:r>
          </w:p>
        </w:tc>
        <w:tc>
          <w:tcPr>
            <w:tcW w:w="2551" w:type="dxa"/>
            <w:tcBorders>
              <w:left w:val="single" w:sz="4" w:space="0" w:color="000000"/>
              <w:bottom w:val="single" w:sz="4" w:space="0" w:color="000000"/>
            </w:tcBorders>
            <w:shd w:color="auto" w:fill="auto" w:val="clear"/>
          </w:tcPr>
          <w:p>
            <w:pPr>
              <w:pStyle w:val="Normal"/>
              <w:widowControl w:val="false"/>
              <w:tabs>
                <w:tab w:val="clear" w:pos="708"/>
                <w:tab w:val="left" w:pos="668" w:leader="none"/>
              </w:tabs>
              <w:spacing w:lineRule="auto" w:line="240" w:before="0" w:after="0"/>
              <w:ind w:left="0" w:right="0" w:hanging="0"/>
              <w:jc w:val="center"/>
              <w:rPr>
                <w:rFonts w:ascii="Arial" w:hAnsi="Arial" w:eastAsia="Verdana" w:cs="Verdana"/>
                <w:sz w:val="20"/>
                <w:szCs w:val="20"/>
                <w:lang w:val="es-ES" w:eastAsia="es-ES" w:bidi="es-ES"/>
              </w:rPr>
            </w:pPr>
            <w:r>
              <w:rPr>
                <w:rFonts w:eastAsia="Verdana" w:cs="Verdana"/>
                <w:sz w:val="20"/>
                <w:szCs w:val="20"/>
                <w:lang w:val="es-ES" w:eastAsia="es-ES" w:bidi="es-ES"/>
              </w:rPr>
              <w:t>7</w:t>
            </w:r>
          </w:p>
        </w:tc>
        <w:tc>
          <w:tcPr>
            <w:tcW w:w="2598" w:type="dxa"/>
            <w:tcBorders>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668" w:leader="none"/>
              </w:tabs>
              <w:spacing w:lineRule="auto" w:line="240" w:before="0" w:after="0"/>
              <w:ind w:left="0" w:right="0" w:hanging="0"/>
              <w:jc w:val="center"/>
              <w:rPr>
                <w:rFonts w:ascii="Arial" w:hAnsi="Arial" w:eastAsia="Verdana" w:cs="Verdana"/>
                <w:sz w:val="20"/>
                <w:szCs w:val="20"/>
                <w:lang w:val="es-ES" w:eastAsia="es-ES" w:bidi="es-ES"/>
              </w:rPr>
            </w:pPr>
            <w:r>
              <w:rPr>
                <w:rFonts w:eastAsia="Verdana" w:cs="Verdana"/>
                <w:sz w:val="20"/>
                <w:szCs w:val="20"/>
                <w:lang w:val="es-ES" w:eastAsia="es-ES" w:bidi="es-ES"/>
              </w:rPr>
              <w:t>7 x 1.500 = 10.500 €</w:t>
            </w:r>
          </w:p>
        </w:tc>
      </w:tr>
      <w:tr>
        <w:trPr/>
        <w:tc>
          <w:tcPr>
            <w:tcW w:w="4363" w:type="dxa"/>
            <w:gridSpan w:val="2"/>
            <w:tcBorders/>
            <w:shd w:color="auto" w:fill="auto" w:val="clear"/>
            <w:tcMar>
              <w:top w:w="0" w:type="dxa"/>
              <w:left w:w="0" w:type="dxa"/>
              <w:bottom w:w="0" w:type="dxa"/>
              <w:right w:w="0" w:type="dxa"/>
            </w:tcMar>
          </w:tcPr>
          <w:p>
            <w:pPr>
              <w:pStyle w:val="Normal"/>
              <w:widowControl w:val="false"/>
              <w:tabs>
                <w:tab w:val="clear" w:pos="708"/>
                <w:tab w:val="left" w:pos="668" w:leader="none"/>
              </w:tabs>
              <w:spacing w:lineRule="auto" w:line="240" w:before="0" w:after="0"/>
              <w:ind w:left="0" w:right="0" w:hanging="0"/>
              <w:jc w:val="center"/>
              <w:rPr>
                <w:rFonts w:ascii="Arial" w:hAnsi="Arial" w:eastAsia="Verdana" w:cs="Verdana"/>
                <w:sz w:val="20"/>
                <w:szCs w:val="20"/>
                <w:lang w:val="es-ES" w:eastAsia="es-ES" w:bidi="es-ES"/>
              </w:rPr>
            </w:pPr>
            <w:r>
              <w:rPr>
                <w:rFonts w:eastAsia="Verdana" w:cs="Verdana"/>
                <w:sz w:val="20"/>
                <w:szCs w:val="20"/>
                <w:lang w:val="es-ES" w:eastAsia="es-ES" w:bidi="es-ES"/>
              </w:rPr>
              <w:t>TOTAL</w:t>
            </w:r>
          </w:p>
        </w:tc>
        <w:tc>
          <w:tcPr>
            <w:tcW w:w="2551"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8"/>
                <w:tab w:val="left" w:pos="668" w:leader="none"/>
              </w:tabs>
              <w:spacing w:lineRule="auto" w:line="240" w:before="0" w:after="0"/>
              <w:ind w:left="0" w:right="0" w:hanging="0"/>
              <w:jc w:val="center"/>
              <w:rPr>
                <w:rFonts w:ascii="Arial" w:hAnsi="Arial" w:eastAsia="Verdana" w:cs="Verdana"/>
                <w:sz w:val="20"/>
                <w:szCs w:val="20"/>
                <w:lang w:val="es-ES" w:eastAsia="es-ES" w:bidi="es-ES"/>
              </w:rPr>
            </w:pPr>
            <w:r>
              <w:rPr>
                <w:rFonts w:eastAsia="Verdana" w:cs="Verdana"/>
                <w:sz w:val="20"/>
                <w:szCs w:val="20"/>
                <w:lang w:val="es-ES" w:eastAsia="es-ES" w:bidi="es-ES"/>
              </w:rPr>
              <w:t>11 contratos</w:t>
            </w:r>
          </w:p>
        </w:tc>
        <w:tc>
          <w:tcPr>
            <w:tcW w:w="259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668" w:leader="none"/>
              </w:tabs>
              <w:spacing w:lineRule="auto" w:line="240" w:before="0" w:after="0"/>
              <w:ind w:left="0" w:right="0" w:hanging="0"/>
              <w:jc w:val="center"/>
              <w:rPr>
                <w:rFonts w:ascii="Arial" w:hAnsi="Arial" w:eastAsia="Verdana" w:cs="Verdana"/>
                <w:sz w:val="20"/>
                <w:szCs w:val="20"/>
                <w:lang w:val="es-ES" w:eastAsia="es-ES" w:bidi="es-ES"/>
              </w:rPr>
            </w:pPr>
            <w:r>
              <w:rPr>
                <w:rFonts w:eastAsia="Verdana" w:cs="Verdana"/>
                <w:sz w:val="20"/>
                <w:szCs w:val="20"/>
                <w:lang w:val="es-ES" w:eastAsia="es-ES" w:bidi="es-ES"/>
              </w:rPr>
              <w:t>11 x 1.500€ = 16.500 €</w:t>
            </w:r>
          </w:p>
        </w:tc>
      </w:tr>
    </w:tbl>
    <w:p>
      <w:pPr>
        <w:pStyle w:val="ListParagraph"/>
        <w:numPr>
          <w:ilvl w:val="0"/>
          <w:numId w:val="0"/>
        </w:numPr>
        <w:ind w:left="0" w:right="0" w:hanging="0"/>
        <w:rPr/>
      </w:pPr>
      <w:r>
        <w:rPr/>
      </w:r>
    </w:p>
    <w:p>
      <w:pPr>
        <w:pStyle w:val="ListParagraph"/>
        <w:numPr>
          <w:ilvl w:val="0"/>
          <w:numId w:val="1"/>
        </w:numPr>
        <w:ind w:left="0" w:right="0" w:hanging="0"/>
        <w:rPr/>
      </w:pPr>
      <w:r>
        <w:rPr/>
        <w:t>La contratación temporal tendrá una duración mínima de 3 meses, y deberá comenzar en los quince días siguientes a la finalización del Taller dual de empleo. Fecha finTaller: 02/10/2023.</w:t>
      </w:r>
    </w:p>
    <w:p>
      <w:pPr>
        <w:pStyle w:val="ListParagraph"/>
        <w:numPr>
          <w:ilvl w:val="0"/>
          <w:numId w:val="1"/>
        </w:numPr>
        <w:tabs>
          <w:tab w:val="left" w:pos="668" w:leader="none"/>
        </w:tabs>
        <w:spacing w:lineRule="auto" w:line="240" w:before="0" w:after="113"/>
        <w:ind w:left="0" w:right="0" w:hanging="0"/>
        <w:rPr/>
      </w:pPr>
      <w:r>
        <w:rPr>
          <w:szCs w:val="20"/>
          <w:lang w:val="es-ES"/>
        </w:rPr>
        <w:t>La jornada de la contratación temporal será a tiempo completo.</w:t>
      </w:r>
    </w:p>
    <w:p>
      <w:pPr>
        <w:pStyle w:val="Ttulo1"/>
        <w:suppressAutoHyphens w:val="true"/>
        <w:spacing w:lineRule="auto" w:line="240" w:before="0" w:after="113"/>
        <w:ind w:left="0" w:right="567" w:hanging="0"/>
        <w:jc w:val="both"/>
        <w:textAlignment w:val="baseline"/>
        <w:rPr>
          <w:lang w:val="es-ES"/>
        </w:rPr>
      </w:pPr>
      <w:r>
        <w:rPr>
          <w:rFonts w:eastAsia="Verdana" w:cs="Verdana"/>
          <w:sz w:val="20"/>
          <w:szCs w:val="20"/>
          <w:u w:val="none"/>
          <w:lang w:val="es-ES" w:eastAsia="es-ES" w:bidi="es-ES"/>
        </w:rPr>
        <w:t>SEGUNDA. Entidades beneficiarias de los incentivos a la contratación</w:t>
      </w:r>
    </w:p>
    <w:p>
      <w:pPr>
        <w:pStyle w:val="ListParagraph"/>
        <w:numPr>
          <w:ilvl w:val="0"/>
          <w:numId w:val="3"/>
        </w:numPr>
        <w:ind w:left="0" w:right="0" w:hanging="0"/>
        <w:rPr/>
      </w:pPr>
      <w:r>
        <w:rPr/>
        <w:t>Podrán ser entidades beneficiarias de los incentivos a la contratación las personas empleadoras y las empresas, cualquiera que sea la forma jurídica que adopten, incluidas las personas autónomas, las sociedades civiles y las comunidades de bienes, aunque carezcan de personalidad jurídica.</w:t>
      </w:r>
    </w:p>
    <w:p>
      <w:pPr>
        <w:pStyle w:val="ListParagraph"/>
        <w:numPr>
          <w:ilvl w:val="0"/>
          <w:numId w:val="4"/>
        </w:numPr>
        <w:ind w:left="0" w:right="0" w:hanging="0"/>
        <w:rPr/>
      </w:pPr>
      <w:r>
        <w:rPr>
          <w:szCs w:val="20"/>
        </w:rPr>
        <w:t xml:space="preserve">La </w:t>
      </w:r>
      <w:r>
        <w:rPr>
          <w:b/>
          <w:szCs w:val="20"/>
        </w:rPr>
        <w:t>actividad de la empresa deberá estar directamente relacionada con la formación impartida</w:t>
      </w:r>
      <w:r>
        <w:rPr>
          <w:szCs w:val="20"/>
        </w:rPr>
        <w:t xml:space="preserve"> en el taller dual de empleo “Queda en Mos”, y </w:t>
      </w:r>
      <w:r>
        <w:rPr>
          <w:b/>
          <w:szCs w:val="20"/>
        </w:rPr>
        <w:t>contratar trabajadoras o trabajadores por cuenta ajena para prestar servicios en centros de trabajo radicados en el ámbito territorial del taller dual de empleo (Ayuntamiento de Mos)</w:t>
      </w:r>
    </w:p>
    <w:p>
      <w:pPr>
        <w:pStyle w:val="ListParagraph"/>
        <w:numPr>
          <w:ilvl w:val="0"/>
          <w:numId w:val="4"/>
        </w:numPr>
        <w:ind w:left="0" w:right="0" w:hanging="0"/>
        <w:rPr/>
      </w:pPr>
      <w:r>
        <w:rPr/>
        <w:t xml:space="preserve">En el caso de sociedades civiles, comunidades de bienes y uniones temporales de empresas deberá hacerse constar expresamente, tanto en la solicitud como en la resolución de concesión, los compromisos de ejecución asumidos por cada miembro de la agrupación, así como el importe de subvención que se va a aplicar para cada uno de ellos, que tendrán igualmente la consideración de beneficiario. En cualquiera caso, deberán nombrar a una persona representante o apoderada única de la agrupación, con poder suficiente para cumplir las obligaciones que, como beneficiaria, le corresponden a la agrupación. En el supuesto de uniones temporales de empresas, cada empresa que forme parte de esta unión deberá reunir los requisitos exigidos para acceder a las ayudas. </w:t>
      </w:r>
    </w:p>
    <w:p>
      <w:pPr>
        <w:pStyle w:val="ListParagraph"/>
        <w:numPr>
          <w:ilvl w:val="0"/>
          <w:numId w:val="4"/>
        </w:numPr>
        <w:ind w:left="0" w:right="0" w:hanging="0"/>
        <w:rPr/>
      </w:pPr>
      <w:r>
        <w:rPr/>
        <w:t xml:space="preserve">No podrán ser entidades beneficiarias de estas ayudas las administraciones públicas, las sociedades públicas, ni las entidades vinculadas o dependientes de cualquiera de ellas. </w:t>
      </w:r>
    </w:p>
    <w:p>
      <w:pPr>
        <w:pStyle w:val="ListParagraph"/>
        <w:numPr>
          <w:ilvl w:val="0"/>
          <w:numId w:val="4"/>
        </w:numPr>
        <w:ind w:left="0" w:right="0" w:hanging="0"/>
        <w:rPr/>
      </w:pPr>
      <w:r>
        <w:rPr/>
        <w:t xml:space="preserve">No podrán obtener la condición de entidad beneficiaria de las subvenciones establecidas en este programa las personas o entidades en las que concurran alguna de las circunstancias previstas en el artículo 10 de la Ley 9/2007, de 13 de junio , de subvenciones de Galicia: </w:t>
      </w:r>
    </w:p>
    <w:p>
      <w:pPr>
        <w:pStyle w:val="ListParagraph"/>
        <w:numPr>
          <w:ilvl w:val="0"/>
          <w:numId w:val="0"/>
        </w:numPr>
        <w:tabs>
          <w:tab w:val="left" w:pos="668" w:leader="none"/>
        </w:tabs>
        <w:spacing w:lineRule="auto" w:line="240" w:before="0" w:after="113"/>
        <w:ind w:left="720" w:right="0" w:hanging="0"/>
        <w:rPr>
          <w:lang w:val="es-ES"/>
        </w:rPr>
      </w:pPr>
      <w:r>
        <w:rPr>
          <w:szCs w:val="20"/>
          <w:lang w:val="es-ES"/>
        </w:rPr>
        <w:t xml:space="preserve">a) Ser condenadas mediante sentencia firme a la pena de pérdida de la posibilidad de obtener subvenciones o ayudas públicas. </w:t>
      </w:r>
    </w:p>
    <w:p>
      <w:pPr>
        <w:pStyle w:val="ListParagraph"/>
        <w:numPr>
          <w:ilvl w:val="0"/>
          <w:numId w:val="0"/>
        </w:numPr>
        <w:tabs>
          <w:tab w:val="left" w:pos="668" w:leader="none"/>
        </w:tabs>
        <w:spacing w:lineRule="auto" w:line="240" w:before="0" w:after="113"/>
        <w:ind w:left="720" w:right="0" w:hanging="0"/>
        <w:rPr>
          <w:lang w:val="es-ES"/>
        </w:rPr>
      </w:pPr>
      <w:r>
        <w:rPr>
          <w:szCs w:val="20"/>
          <w:lang w:val="es-ES"/>
        </w:rPr>
        <w:t xml:space="preserve">b) Solicitar la declaración del concurso, ser declaradas insolventes en cualquier procedimiento, encontrarse declaradas en concurso salvo que en este adquiriera eficacia un convenio, estar sujetas la intervención judicial o ser inhabilitadas conforme a la Ley concursal sin que concluya el período de inhabilitación fijado en la sentencia de calificación del concurso. </w:t>
      </w:r>
    </w:p>
    <w:p>
      <w:pPr>
        <w:pStyle w:val="ListParagraph"/>
        <w:numPr>
          <w:ilvl w:val="0"/>
          <w:numId w:val="0"/>
        </w:numPr>
        <w:tabs>
          <w:tab w:val="left" w:pos="668" w:leader="none"/>
        </w:tabs>
        <w:spacing w:lineRule="auto" w:line="240" w:before="0" w:after="113"/>
        <w:ind w:left="720" w:right="0" w:hanging="0"/>
        <w:rPr>
          <w:lang w:val="es-ES"/>
        </w:rPr>
      </w:pPr>
      <w:r>
        <w:rPr>
          <w:szCs w:val="20"/>
          <w:lang w:val="es-ES"/>
        </w:rPr>
        <w:t xml:space="preserve">c) Dar lugar, por causa de la que fueran declaradas culpables, a la resolución firme de cualquiera contrato suscrito con la Administración. </w:t>
      </w:r>
    </w:p>
    <w:p>
      <w:pPr>
        <w:pStyle w:val="ListParagraph"/>
        <w:numPr>
          <w:ilvl w:val="0"/>
          <w:numId w:val="0"/>
        </w:numPr>
        <w:tabs>
          <w:tab w:val="left" w:pos="668" w:leader="none"/>
        </w:tabs>
        <w:spacing w:lineRule="auto" w:line="240" w:before="0" w:after="113"/>
        <w:ind w:left="720" w:right="0" w:hanging="0"/>
        <w:rPr>
          <w:lang w:val="es-ES"/>
        </w:rPr>
      </w:pPr>
      <w:r>
        <w:rPr>
          <w:szCs w:val="20"/>
          <w:lang w:val="es-ES"/>
        </w:rPr>
        <w:t>d) Estar incursa la persona física, los administradores de las sociedades mercantiles o aquellos que ejerzan la representación legal de otras personas jurídicas en alguno de los supuestos de incompatibilidades que establezca la normativa vigente</w:t>
      </w:r>
    </w:p>
    <w:p>
      <w:pPr>
        <w:pStyle w:val="ListParagraph"/>
        <w:numPr>
          <w:ilvl w:val="0"/>
          <w:numId w:val="0"/>
        </w:numPr>
        <w:tabs>
          <w:tab w:val="left" w:pos="668" w:leader="none"/>
        </w:tabs>
        <w:spacing w:lineRule="auto" w:line="240" w:before="0" w:after="113"/>
        <w:ind w:left="720" w:right="0" w:hanging="0"/>
        <w:rPr>
          <w:lang w:val="es-ES"/>
        </w:rPr>
      </w:pPr>
      <w:r>
        <w:rPr>
          <w:szCs w:val="20"/>
          <w:lang w:val="es-ES"/>
        </w:rPr>
        <w:t>e) No estar al corriente en el cumplimento de las obligaciones tributarias o frente a la Seguridad Social o tener pendiente de pago alguna otra deuda con la Administración pública de la Comunidad Autónoma o con el Ayuntamiento de Mos, en los términos reglamentariamente establecidos.</w:t>
      </w:r>
    </w:p>
    <w:p>
      <w:pPr>
        <w:pStyle w:val="ListParagraph"/>
        <w:numPr>
          <w:ilvl w:val="0"/>
          <w:numId w:val="0"/>
        </w:numPr>
        <w:tabs>
          <w:tab w:val="left" w:pos="668" w:leader="none"/>
        </w:tabs>
        <w:spacing w:lineRule="auto" w:line="240" w:before="0" w:after="113"/>
        <w:ind w:left="720" w:right="0" w:hanging="0"/>
        <w:rPr>
          <w:lang w:val="es-ES"/>
        </w:rPr>
      </w:pPr>
      <w:r>
        <w:rPr>
          <w:szCs w:val="20"/>
          <w:lang w:val="es-ES"/>
        </w:rPr>
        <w:t>f) Tener la residencia fiscal en un país o territorio cualificado reglamentariamente como paraíso fiscal.</w:t>
      </w:r>
    </w:p>
    <w:p>
      <w:pPr>
        <w:pStyle w:val="ListParagraph"/>
        <w:numPr>
          <w:ilvl w:val="0"/>
          <w:numId w:val="0"/>
        </w:numPr>
        <w:tabs>
          <w:tab w:val="left" w:pos="668" w:leader="none"/>
        </w:tabs>
        <w:spacing w:lineRule="auto" w:line="240" w:before="0" w:after="113"/>
        <w:ind w:left="720" w:right="0" w:hanging="0"/>
        <w:rPr>
          <w:lang w:val="es-ES"/>
        </w:rPr>
      </w:pPr>
      <w:r>
        <w:rPr>
          <w:szCs w:val="20"/>
          <w:lang w:val="es-ES"/>
        </w:rPr>
        <w:t>g) No estar al corriente de pago de las obligaciones por reintegro de subvenciones en los términos reglamentariamente establecidos.</w:t>
      </w:r>
    </w:p>
    <w:p>
      <w:pPr>
        <w:pStyle w:val="ListParagraph"/>
        <w:numPr>
          <w:ilvl w:val="0"/>
          <w:numId w:val="0"/>
        </w:numPr>
        <w:tabs>
          <w:tab w:val="left" w:pos="668" w:leader="none"/>
        </w:tabs>
        <w:spacing w:lineRule="auto" w:line="240" w:before="0" w:after="113"/>
        <w:ind w:left="720" w:right="0" w:hanging="0"/>
        <w:rPr>
          <w:lang w:val="es-ES"/>
        </w:rPr>
      </w:pPr>
      <w:r>
        <w:rPr>
          <w:szCs w:val="20"/>
          <w:lang w:val="es-ES"/>
        </w:rPr>
        <w:t>h) Ser sancionada, mediante resolución firme, con la pérdida de la posibilidad de obtener subvenciones según la Ley 9/2007, del13 de junio, de Subvenciones de Galicia, o de la Ley general tributaria.</w:t>
      </w:r>
    </w:p>
    <w:p>
      <w:pPr>
        <w:pStyle w:val="ListParagraph"/>
        <w:numPr>
          <w:ilvl w:val="0"/>
          <w:numId w:val="0"/>
        </w:numPr>
        <w:tabs>
          <w:tab w:val="left" w:pos="668" w:leader="none"/>
        </w:tabs>
        <w:spacing w:lineRule="auto" w:line="240" w:before="0" w:after="113"/>
        <w:ind w:left="720" w:right="0" w:hanging="0"/>
        <w:rPr>
          <w:lang w:val="es-ES"/>
        </w:rPr>
      </w:pPr>
      <w:r>
        <w:rPr>
          <w:szCs w:val="20"/>
          <w:lang w:val="es-ES"/>
        </w:rPr>
        <w:t xml:space="preserve">i) No podrán acceder a la condición de entidad beneficiaria las agrupaciones de personas físicas o jurídicas, públicas o privadas sin personalidad, cuando concurra alguna de las prohibiciones anteriores en cualquiera de sus miembros. </w:t>
      </w:r>
    </w:p>
    <w:p>
      <w:pPr>
        <w:pStyle w:val="ListParagraph"/>
        <w:numPr>
          <w:ilvl w:val="0"/>
          <w:numId w:val="0"/>
        </w:numPr>
        <w:tabs>
          <w:tab w:val="left" w:pos="668" w:leader="none"/>
        </w:tabs>
        <w:spacing w:lineRule="auto" w:line="240" w:before="0" w:after="113"/>
        <w:ind w:left="720" w:right="0" w:hanging="0"/>
        <w:rPr>
          <w:lang w:val="es-ES"/>
        </w:rPr>
      </w:pPr>
      <w:r>
        <w:rPr>
          <w:szCs w:val="20"/>
          <w:lang w:val="es-ES"/>
        </w:rPr>
        <w:t>j) En ningún caso podrán obtener la condición de entidad beneficiaria las asociación incursas en las causas de prohibición previstas en los apartados 5 y 6 del artículo 4 de la Ley Orgánica 1/2002,de 22 de marzo , reguladora del derecho de asociación, ni las asociación respeto de las que se suspendió el procedimiento administrativo de inscripción por encontrarse indicios racionales de ilicitud penitenciario, en aplicación del dispuesto en el artículo 30.4 de la Ley orgánica 1/2002, mientras no recaiga resolución judicial firme en cuya virtud pueda practicarse la inscripción en el correspondiente registro.</w:t>
      </w:r>
    </w:p>
    <w:p>
      <w:pPr>
        <w:pStyle w:val="ListParagraph"/>
        <w:numPr>
          <w:ilvl w:val="0"/>
          <w:numId w:val="4"/>
        </w:numPr>
        <w:tabs>
          <w:tab w:val="left" w:pos="668" w:leader="none"/>
        </w:tabs>
        <w:spacing w:lineRule="auto" w:line="240" w:before="0" w:after="113"/>
        <w:ind w:left="0" w:right="0" w:hanging="0"/>
        <w:rPr>
          <w:lang w:val="es-ES"/>
        </w:rPr>
      </w:pPr>
      <w:r>
        <w:rPr>
          <w:szCs w:val="20"/>
          <w:lang w:val="es-ES"/>
        </w:rPr>
        <w:t>No podrán obtener la condición de entidad beneficiaria las entidades solicitantes que estén excluidas del acceso a los beneficios derivados de la aplicación de los programas de empleo, conforme al establecido en el artículo 46 y 46 bis del texto refundido de la Ley de infracciones y sanciones en la orden social, aprobado por el Real decreto legislativo 5/2000, de 4 de agosto .</w:t>
      </w:r>
    </w:p>
    <w:p>
      <w:pPr>
        <w:pStyle w:val="ListParagraph"/>
        <w:numPr>
          <w:ilvl w:val="0"/>
          <w:numId w:val="4"/>
        </w:numPr>
        <w:tabs>
          <w:tab w:val="left" w:pos="668" w:leader="none"/>
        </w:tabs>
        <w:spacing w:lineRule="auto" w:line="240" w:before="0" w:after="113"/>
        <w:ind w:left="0" w:right="0" w:hanging="0"/>
        <w:rPr>
          <w:lang w:val="es-ES"/>
        </w:rPr>
      </w:pPr>
      <w:r>
        <w:rPr>
          <w:szCs w:val="20"/>
          <w:lang w:val="es-ES"/>
        </w:rPr>
        <w:t xml:space="preserve"> </w:t>
      </w:r>
      <w:r>
        <w:rPr>
          <w:szCs w:val="20"/>
          <w:lang w:val="es-ES"/>
        </w:rPr>
        <w:t>La justificación por parte de las personas o entidades solicitantes de no estar incursas en las prohibiciones contenidas en los números 3 y 4 anteriores para obtener la condición de beneficiario se realizará mediante declaración responsable.</w:t>
      </w:r>
    </w:p>
    <w:p>
      <w:pPr>
        <w:pStyle w:val="ListParagraph"/>
        <w:numPr>
          <w:ilvl w:val="0"/>
          <w:numId w:val="4"/>
        </w:numPr>
        <w:tabs>
          <w:tab w:val="left" w:pos="668" w:leader="none"/>
        </w:tabs>
        <w:spacing w:lineRule="auto" w:line="240" w:before="0" w:after="113"/>
        <w:ind w:left="0" w:right="0" w:hanging="0"/>
        <w:rPr>
          <w:lang w:val="es-ES"/>
        </w:rPr>
      </w:pPr>
      <w:r>
        <w:rPr>
          <w:szCs w:val="20"/>
          <w:lang w:val="es-ES"/>
        </w:rPr>
        <w:t>No podrán obtener la condición de entidad beneficiaria a las entidades solicitantes que incumplan lo establecido en la Ley 9/2013 del Emprendimiento.</w:t>
      </w:r>
    </w:p>
    <w:p>
      <w:pPr>
        <w:pStyle w:val="Ttulo1"/>
        <w:suppressAutoHyphens w:val="true"/>
        <w:spacing w:lineRule="auto" w:line="240" w:before="0" w:after="113"/>
        <w:ind w:left="0" w:right="567" w:hanging="0"/>
        <w:jc w:val="both"/>
        <w:textAlignment w:val="baseline"/>
        <w:rPr>
          <w:lang w:val="es-ES"/>
        </w:rPr>
      </w:pPr>
      <w:r>
        <w:rPr>
          <w:rFonts w:eastAsia="Verdana" w:cs="Verdana"/>
          <w:sz w:val="20"/>
          <w:szCs w:val="20"/>
          <w:u w:val="none"/>
          <w:lang w:val="es-ES" w:eastAsia="es-ES" w:bidi="es-ES"/>
        </w:rPr>
        <w:t xml:space="preserve">TERCERA.- Cuantía de los incentivos. </w:t>
      </w:r>
    </w:p>
    <w:p>
      <w:pPr>
        <w:pStyle w:val="ListParagraph"/>
        <w:numPr>
          <w:ilvl w:val="0"/>
          <w:numId w:val="5"/>
        </w:numPr>
        <w:spacing w:lineRule="auto" w:line="240" w:before="0" w:after="113"/>
        <w:ind w:left="0" w:right="0" w:hanging="0"/>
        <w:rPr>
          <w:lang w:val="es-ES"/>
        </w:rPr>
      </w:pPr>
      <w:r>
        <w:rPr>
          <w:szCs w:val="20"/>
          <w:lang w:val="es-ES"/>
        </w:rPr>
        <w:t>Los contratos temporales se incentivarán con una subvención fija de 1.500€ por cada trabajador/a, correspondiente al contrato mínimo de 3 meses a jornada completa, realizado siempre dentro de los 15 días siguientes a la finalización del Taller.</w:t>
      </w:r>
    </w:p>
    <w:p>
      <w:pPr>
        <w:pStyle w:val="ListParagraph"/>
        <w:numPr>
          <w:ilvl w:val="0"/>
          <w:numId w:val="5"/>
        </w:numPr>
        <w:spacing w:lineRule="auto" w:line="240" w:before="0" w:after="113"/>
        <w:ind w:left="0" w:right="0" w:hanging="0"/>
        <w:rPr>
          <w:lang w:val="es-ES"/>
        </w:rPr>
      </w:pPr>
      <w:r>
        <w:rPr>
          <w:szCs w:val="20"/>
          <w:lang w:val="es-ES"/>
        </w:rPr>
        <w:t>Los beneficios establecidos a la contratación en este programa no podrán, en concurrencia con otras ayudas públicas para la misma finalidad, superar el 100% del coste salarial de las mensualidades objeto de subvención.</w:t>
      </w:r>
    </w:p>
    <w:p>
      <w:pPr>
        <w:pStyle w:val="Ttulo1"/>
        <w:suppressAutoHyphens w:val="true"/>
        <w:spacing w:lineRule="auto" w:line="240" w:before="0" w:after="113"/>
        <w:ind w:left="0" w:right="567" w:hanging="0"/>
        <w:jc w:val="both"/>
        <w:textAlignment w:val="baseline"/>
        <w:rPr>
          <w:lang w:val="es-ES"/>
        </w:rPr>
      </w:pPr>
      <w:r>
        <w:rPr>
          <w:rFonts w:eastAsia="Verdana" w:cs="Verdana"/>
          <w:sz w:val="20"/>
          <w:szCs w:val="20"/>
          <w:u w:val="none"/>
          <w:lang w:val="es-ES" w:eastAsia="es-ES" w:bidi="es-ES"/>
        </w:rPr>
        <w:t>CUARTA.- Exclusiones.</w:t>
      </w:r>
    </w:p>
    <w:p>
      <w:pPr>
        <w:pStyle w:val="Cuerpodetexto"/>
        <w:numPr>
          <w:ilvl w:val="0"/>
          <w:numId w:val="6"/>
        </w:numPr>
        <w:suppressAutoHyphens w:val="true"/>
        <w:spacing w:lineRule="auto" w:line="240" w:before="0" w:after="113"/>
        <w:ind w:left="567" w:right="567" w:hanging="567"/>
        <w:jc w:val="both"/>
        <w:textAlignment w:val="baseline"/>
        <w:rPr>
          <w:lang w:val="es-ES"/>
        </w:rPr>
      </w:pPr>
      <w:r>
        <w:rPr>
          <w:rFonts w:eastAsia="Verdana" w:cs="Verdana"/>
          <w:sz w:val="20"/>
          <w:szCs w:val="20"/>
          <w:lang w:val="es-ES" w:eastAsia="es-ES" w:bidi="es-ES"/>
        </w:rPr>
        <w:t>Se excluyen de los beneficios regulados en este programa:</w:t>
      </w:r>
    </w:p>
    <w:p>
      <w:pPr>
        <w:pStyle w:val="Cuerpodetexto"/>
        <w:tabs>
          <w:tab w:val="clear" w:pos="708"/>
          <w:tab w:val="left" w:pos="720" w:leader="none"/>
        </w:tabs>
        <w:suppressAutoHyphens w:val="true"/>
        <w:spacing w:lineRule="auto" w:line="240" w:before="0" w:after="113"/>
        <w:ind w:left="0" w:right="567" w:hanging="0"/>
        <w:jc w:val="both"/>
        <w:textAlignment w:val="baseline"/>
        <w:rPr>
          <w:rFonts w:ascii="Arial" w:hAnsi="Arial" w:eastAsia="Verdana" w:cs="Verdana"/>
          <w:sz w:val="20"/>
          <w:szCs w:val="20"/>
          <w:lang w:val="es-ES" w:eastAsia="es-ES" w:bidi="es-ES"/>
        </w:rPr>
      </w:pPr>
      <w:r>
        <w:rPr>
          <w:rFonts w:eastAsia="Verdana" w:cs="Verdana"/>
          <w:sz w:val="20"/>
          <w:szCs w:val="20"/>
          <w:lang w:val="es-ES" w:eastAsia="es-ES" w:bidi="es-ES"/>
        </w:rPr>
      </w:r>
    </w:p>
    <w:p>
      <w:pPr>
        <w:pStyle w:val="Cuerpodetexto"/>
        <w:numPr>
          <w:ilvl w:val="0"/>
          <w:numId w:val="7"/>
        </w:numPr>
        <w:suppressAutoHyphens w:val="true"/>
        <w:spacing w:lineRule="auto" w:line="240" w:before="0" w:after="113"/>
        <w:ind w:left="851" w:right="567" w:hanging="360"/>
        <w:jc w:val="both"/>
        <w:textAlignment w:val="baseline"/>
        <w:rPr>
          <w:lang w:val="es-ES"/>
        </w:rPr>
      </w:pPr>
      <w:r>
        <w:rPr>
          <w:rFonts w:eastAsia="Verdana" w:cs="Verdana"/>
          <w:sz w:val="20"/>
          <w:szCs w:val="20"/>
          <w:lang w:val="es-ES" w:eastAsia="es-ES" w:bidi="es-ES"/>
        </w:rPr>
        <w:t xml:space="preserve">Las relación laborales de carácter especial previstas en el artículo 2.1 del Real decreto legislativo 2/2015, de 23 de octubre, por lo que se aprueba el texto refundido de la Ley del Estatuto de los trabajadores o en otras disposiciones legales, así como las contrataciones de trabajadores o trabajadoras para prestar servicios en otras empresas mediante contratos de puesta a disposición. </w:t>
      </w:r>
    </w:p>
    <w:p>
      <w:pPr>
        <w:pStyle w:val="Cuerpodetexto"/>
        <w:numPr>
          <w:ilvl w:val="0"/>
          <w:numId w:val="7"/>
        </w:numPr>
        <w:suppressAutoHyphens w:val="true"/>
        <w:spacing w:lineRule="auto" w:line="240" w:before="0" w:after="113"/>
        <w:ind w:left="851" w:right="567" w:hanging="360"/>
        <w:jc w:val="both"/>
        <w:textAlignment w:val="baseline"/>
        <w:rPr>
          <w:lang w:val="es-ES"/>
        </w:rPr>
      </w:pPr>
      <w:r>
        <w:rPr>
          <w:rFonts w:eastAsia="Verdana" w:cs="Verdana"/>
          <w:sz w:val="20"/>
          <w:szCs w:val="20"/>
          <w:lang w:val="es-ES" w:eastAsia="es-ES" w:bidi="es-ES"/>
        </w:rPr>
        <w:t xml:space="preserve">Los contratos realizados con el/la cónyuge, las personas ascendentes, las personas descendentes y demás parientes, por consanguinidad o afinidad, hasta el segundo grado inclusive, de la empresaria o empresario de las personas que tengan cargos de dirección o sean miembros de los órganos de administración de las empresas que revistan la forma jurídica de sociedad, así como las que se produzcan con estos últimos. No será aplicable esta exclusión cuando la persona empleadora sea una persona trabajadora autónoma que contrate como persona trabajadora por cuenta ajena a los hijos e hijas menores de 30 años, tanto si conviven o no con ella, o cuando se trate de una persona trabajadora autónoma sin personas asalariadas y contrate a un solo familiar menor de 45 años que no conviva en su hogar ni esté a su cargo. </w:t>
      </w:r>
    </w:p>
    <w:p>
      <w:pPr>
        <w:pStyle w:val="Cuerpodetexto"/>
        <w:numPr>
          <w:ilvl w:val="0"/>
          <w:numId w:val="7"/>
        </w:numPr>
        <w:suppressAutoHyphens w:val="true"/>
        <w:spacing w:lineRule="auto" w:line="240" w:before="0" w:after="113"/>
        <w:ind w:left="851" w:right="567" w:hanging="360"/>
        <w:jc w:val="both"/>
        <w:textAlignment w:val="baseline"/>
        <w:rPr>
          <w:lang w:val="es-ES"/>
        </w:rPr>
      </w:pPr>
      <w:r>
        <w:rPr>
          <w:rFonts w:eastAsia="Verdana" w:cs="Verdana"/>
          <w:sz w:val="20"/>
          <w:szCs w:val="20"/>
          <w:lang w:val="es-ES" w:eastAsia="es-ES" w:bidi="es-ES"/>
        </w:rPr>
        <w:t>Las contrataciones realizadas con personas trabajadoras que en los 24 meses anteriores a la fecha de la contratación prestaran servicios en la misma empresa, según lo establecido en el artículo 2 del Reglamento (UE) 1407/2013 de la Comisión, de 18 de diciembre de 2013, mediante un contrato de carácter indefinido, o en los últimos 3 meses mediante un contrato de carácter temporal o mediante un contrato formativo, de relevo o de relevo por anticipación de la edad de jubilación. El dispuesto en este párrafo será también de aplicación en el supuesto de vinculación laboral anterior del trabajador o de la trabajadora con empresas a las cuales la persona solicitante de los beneficios sucediera en virtud de lo establecido en el artículo 44 del Real decreto legislativo 2/2015, de 23 de octubre .</w:t>
      </w:r>
    </w:p>
    <w:p>
      <w:pPr>
        <w:pStyle w:val="Ttulo1"/>
        <w:suppressAutoHyphens w:val="true"/>
        <w:spacing w:lineRule="auto" w:line="240" w:before="0" w:after="113"/>
        <w:ind w:left="0" w:right="567" w:hanging="0"/>
        <w:jc w:val="both"/>
        <w:textAlignment w:val="baseline"/>
        <w:rPr>
          <w:lang w:val="es-ES"/>
        </w:rPr>
      </w:pPr>
      <w:r>
        <w:rPr>
          <w:rFonts w:eastAsia="Verdana" w:cs="Verdana"/>
          <w:sz w:val="20"/>
          <w:szCs w:val="20"/>
          <w:u w:val="none"/>
          <w:lang w:val="es-ES" w:eastAsia="es-ES" w:bidi="es-ES"/>
        </w:rPr>
        <w:t xml:space="preserve">QUINTA.- Plazos y solicitudes. </w:t>
      </w:r>
    </w:p>
    <w:p>
      <w:pPr>
        <w:pStyle w:val="ListParagraph"/>
        <w:numPr>
          <w:ilvl w:val="0"/>
          <w:numId w:val="22"/>
        </w:numPr>
        <w:ind w:left="0" w:right="0" w:hanging="0"/>
        <w:rPr/>
      </w:pPr>
      <w:r>
        <w:rPr>
          <w:rFonts w:eastAsia="Times New Roman"/>
          <w:sz w:val="20"/>
          <w:szCs w:val="20"/>
          <w:lang w:eastAsia="es-ES" w:bidi="es-ES"/>
        </w:rPr>
        <w:t xml:space="preserve">Las solicitudes de ayudas por las contrataciones objeto de subvención deberán presentarse en el plazo de </w:t>
      </w:r>
      <w:r>
        <w:rPr>
          <w:rFonts w:eastAsia="Times New Roman"/>
          <w:b/>
          <w:sz w:val="20"/>
          <w:szCs w:val="20"/>
          <w:lang w:eastAsia="es-ES" w:bidi="es-ES"/>
        </w:rPr>
        <w:t>15 días naturales</w:t>
      </w:r>
      <w:r>
        <w:rPr>
          <w:rFonts w:eastAsia="Times New Roman"/>
          <w:sz w:val="20"/>
          <w:szCs w:val="20"/>
          <w:lang w:eastAsia="es-ES" w:bidi="es-ES"/>
        </w:rPr>
        <w:t xml:space="preserve"> a contar desde el día siguiente a la publicación de la convocatoria en el BOPPO, en cualquiera de los registros indicados en la ley 39/2015 de procedimiento administativo común. Se entenderá como último día de plazo el correspondiente al mismo ordinal del día de la publicación, y si en el mes de vencimiento no hay día equivalente al inicial del cómputo se entenderá que el plazo finaliza el último día del mes.</w:t>
      </w:r>
    </w:p>
    <w:p>
      <w:pPr>
        <w:pStyle w:val="ListParagraph"/>
        <w:numPr>
          <w:ilvl w:val="0"/>
          <w:numId w:val="1"/>
        </w:numPr>
        <w:ind w:left="0" w:right="0" w:hanging="0"/>
        <w:rPr/>
      </w:pPr>
      <w:r>
        <w:rPr/>
        <w:t>Sin prejuicio de lo anterior, esta convocatoria será publicada también en la Sede Electrónica del Ayuntamiento de Mos.</w:t>
      </w:r>
    </w:p>
    <w:p>
      <w:pPr>
        <w:pStyle w:val="ListParagraph"/>
        <w:numPr>
          <w:ilvl w:val="0"/>
          <w:numId w:val="1"/>
        </w:numPr>
        <w:ind w:left="0" w:right="0" w:hanging="0"/>
        <w:rPr/>
      </w:pPr>
      <w:r>
        <w:rPr/>
        <w:t>Las solicitudes deberán presentarse en el modelo normalizado que figura como anexo I, junto con la siguiente documentación:</w:t>
      </w:r>
    </w:p>
    <w:p>
      <w:pPr>
        <w:pStyle w:val="NormalWeb"/>
        <w:numPr>
          <w:ilvl w:val="0"/>
          <w:numId w:val="8"/>
        </w:numPr>
        <w:suppressAutoHyphens w:val="true"/>
        <w:spacing w:lineRule="auto" w:line="240" w:before="0" w:after="113"/>
        <w:jc w:val="both"/>
        <w:textAlignment w:val="baseline"/>
        <w:rPr>
          <w:lang w:val="es-ES"/>
        </w:rPr>
      </w:pPr>
      <w:r>
        <w:rPr>
          <w:rFonts w:eastAsia="Times New Roman" w:ascii="Arial" w:hAnsi="Arial"/>
          <w:b w:val="false"/>
          <w:bCs w:val="false"/>
          <w:color w:val="000000"/>
          <w:sz w:val="20"/>
          <w:szCs w:val="20"/>
          <w:lang w:val="es-ES" w:eastAsia="es-ES" w:bidi="es-ES"/>
        </w:rPr>
        <w:t xml:space="preserve">Copia del DNI, NIE o NIF de la empresa, y poder suficiente para actuar en nombre de la entidad. </w:t>
      </w:r>
    </w:p>
    <w:p>
      <w:pPr>
        <w:pStyle w:val="NormalWeb"/>
        <w:numPr>
          <w:ilvl w:val="0"/>
          <w:numId w:val="8"/>
        </w:numPr>
        <w:suppressAutoHyphens w:val="true"/>
        <w:spacing w:lineRule="auto" w:line="240" w:before="0" w:after="113"/>
        <w:jc w:val="both"/>
        <w:textAlignment w:val="baseline"/>
        <w:rPr>
          <w:lang w:val="es-ES"/>
        </w:rPr>
      </w:pPr>
      <w:r>
        <w:rPr>
          <w:rFonts w:eastAsia="Times New Roman" w:ascii="Arial" w:hAnsi="Arial"/>
          <w:b w:val="false"/>
          <w:bCs w:val="false"/>
          <w:color w:val="000000"/>
          <w:sz w:val="20"/>
          <w:szCs w:val="20"/>
          <w:lang w:val="es-ES" w:eastAsia="es-ES" w:bidi="es-ES"/>
        </w:rPr>
        <w:t>Declaración del personal de todos los centros de trabajo de la empresa en Galicia en el mes de publicación de la presente convocatoria.</w:t>
      </w:r>
    </w:p>
    <w:p>
      <w:pPr>
        <w:pStyle w:val="NormalWeb"/>
        <w:numPr>
          <w:ilvl w:val="0"/>
          <w:numId w:val="8"/>
        </w:numPr>
        <w:suppressAutoHyphens w:val="true"/>
        <w:spacing w:lineRule="auto" w:line="240" w:before="0" w:after="113"/>
        <w:jc w:val="both"/>
        <w:textAlignment w:val="baseline"/>
        <w:rPr>
          <w:lang w:val="es-ES"/>
        </w:rPr>
      </w:pPr>
      <w:r>
        <w:rPr>
          <w:rFonts w:eastAsia="Times New Roman" w:ascii="Arial" w:hAnsi="Arial"/>
          <w:sz w:val="20"/>
          <w:szCs w:val="20"/>
          <w:lang w:val="es-ES" w:eastAsia="es-ES" w:bidi="es-ES"/>
        </w:rPr>
        <w:t>Declaración responsable de que posee la capacidad administrativa, financiera y operativa para cumplir las condiciones de la ayuda.</w:t>
      </w:r>
    </w:p>
    <w:p>
      <w:pPr>
        <w:pStyle w:val="ListParagraph"/>
        <w:numPr>
          <w:ilvl w:val="0"/>
          <w:numId w:val="1"/>
        </w:numPr>
        <w:ind w:left="0" w:right="0" w:hanging="0"/>
        <w:rPr/>
      </w:pPr>
      <w:r>
        <w:rPr/>
        <w:t>La solicitud de esta ayuda comportará la autorización por la persona interesada al órgano gestor para solicitar las certificaciones que deban emitir a la Agencia Estatal de la Administración Tributaria, la Tesorería General de la Seguridad Social, a la Consejería de Hacienda de la Xunta de Galicia y para comprobar de oficio que estén al corriente del cumplimiento de sus obligaciones fiscales con el Ayuntamiento de Mos, según lo establecido en el artículo 20 da ley 9/2007 del 13 de Junio de subvenciones de Galicia</w:t>
      </w:r>
    </w:p>
    <w:p>
      <w:pPr>
        <w:pStyle w:val="Ttulo1"/>
        <w:suppressAutoHyphens w:val="true"/>
        <w:spacing w:lineRule="auto" w:line="240" w:before="0" w:after="113"/>
        <w:ind w:left="0" w:right="567" w:hanging="0"/>
        <w:jc w:val="both"/>
        <w:textAlignment w:val="baseline"/>
        <w:rPr>
          <w:lang w:val="es-ES"/>
        </w:rPr>
      </w:pPr>
      <w:r>
        <w:rPr>
          <w:rFonts w:eastAsia="Verdana" w:cs="Verdana"/>
          <w:sz w:val="20"/>
          <w:szCs w:val="20"/>
          <w:u w:val="none"/>
          <w:lang w:val="es-ES" w:eastAsia="es-ES" w:bidi="es-ES"/>
        </w:rPr>
        <w:t>SEXTA.- Justificación y pago.</w:t>
      </w:r>
    </w:p>
    <w:p>
      <w:pPr>
        <w:pStyle w:val="ListParagraph"/>
        <w:numPr>
          <w:ilvl w:val="0"/>
          <w:numId w:val="2"/>
        </w:numPr>
        <w:ind w:left="0" w:right="0" w:hanging="0"/>
        <w:rPr/>
      </w:pPr>
      <w:r>
        <w:rPr/>
        <w:t xml:space="preserve">El pago de las subvenciones quedará condicionado a la presentación de la documentación justificativa para el pago en el plazo, en los términos y en el modo establecido en la resolución de concesión. </w:t>
      </w:r>
    </w:p>
    <w:p>
      <w:pPr>
        <w:pStyle w:val="ListParagraph"/>
        <w:numPr>
          <w:ilvl w:val="0"/>
          <w:numId w:val="2"/>
        </w:numPr>
        <w:ind w:left="0" w:right="0" w:hanging="0"/>
        <w:rPr/>
      </w:pPr>
      <w:r>
        <w:rPr>
          <w:szCs w:val="20"/>
        </w:rPr>
        <w:t xml:space="preserve">La empresa o empresas adjudicatarias de la subvención deberán mantener en el cuadro de personal a los trabajadores contratados  según estas bases durante un plazo de 3 meses contado desde el inicio de la contratación (siendo la fecha límite para el inicio de la contratación el día </w:t>
      </w:r>
      <w:r>
        <w:rPr>
          <w:b w:val="false"/>
          <w:bCs w:val="false"/>
          <w:color w:val="000000"/>
          <w:szCs w:val="20"/>
        </w:rPr>
        <w:t>18 de octubre de 2023)</w:t>
      </w:r>
    </w:p>
    <w:p>
      <w:pPr>
        <w:pStyle w:val="ListParagraph"/>
        <w:numPr>
          <w:ilvl w:val="0"/>
          <w:numId w:val="2"/>
        </w:numPr>
        <w:ind w:left="0" w:right="0" w:hanging="0"/>
        <w:rPr/>
      </w:pPr>
      <w:r>
        <w:rPr/>
        <w:t>La documentación para presentar es la siguiente :</w:t>
      </w:r>
    </w:p>
    <w:p>
      <w:pPr>
        <w:pStyle w:val="ListParagraph"/>
        <w:numPr>
          <w:ilvl w:val="0"/>
          <w:numId w:val="9"/>
        </w:numPr>
        <w:tabs>
          <w:tab w:val="left" w:pos="299" w:leader="none"/>
        </w:tabs>
        <w:spacing w:lineRule="auto" w:line="240" w:before="0" w:after="113"/>
        <w:rPr>
          <w:lang w:val="es-ES"/>
        </w:rPr>
      </w:pPr>
      <w:r>
        <w:rPr>
          <w:szCs w:val="20"/>
          <w:lang w:val="es-ES"/>
        </w:rPr>
        <w:t xml:space="preserve">Declaración complementaria de la presentada con la solicitud, del conjunto de las ayudas solicitadas, tanto las aprobadas o concedidas como las pendientes de resolución, para la misma finalidad de las distintas administraciones públicas competentes u otros entes públicos o, en su caso, una declaración de que no solicitó ni percibió otras ayudas o subvenciones, según el modelo del anexo. </w:t>
      </w:r>
    </w:p>
    <w:p>
      <w:pPr>
        <w:pStyle w:val="ListParagraph"/>
        <w:numPr>
          <w:ilvl w:val="0"/>
          <w:numId w:val="9"/>
        </w:numPr>
        <w:tabs>
          <w:tab w:val="left" w:pos="299" w:leader="none"/>
        </w:tabs>
        <w:spacing w:lineRule="auto" w:line="240" w:before="0" w:after="113"/>
        <w:rPr>
          <w:lang w:val="es-ES"/>
        </w:rPr>
      </w:pPr>
      <w:r>
        <w:rPr>
          <w:szCs w:val="20"/>
          <w:lang w:val="es-ES"/>
        </w:rPr>
        <w:t xml:space="preserve">Copia de los contratos de trabajo objeto de subvención. </w:t>
      </w:r>
    </w:p>
    <w:p>
      <w:pPr>
        <w:pStyle w:val="ListParagraph"/>
        <w:numPr>
          <w:ilvl w:val="0"/>
          <w:numId w:val="9"/>
        </w:numPr>
        <w:tabs>
          <w:tab w:val="left" w:pos="299" w:leader="none"/>
        </w:tabs>
        <w:spacing w:lineRule="auto" w:line="240" w:before="0" w:after="113"/>
        <w:rPr>
          <w:lang w:val="es-ES"/>
        </w:rPr>
      </w:pPr>
      <w:r>
        <w:rPr>
          <w:szCs w:val="20"/>
          <w:lang w:val="es-ES"/>
        </w:rPr>
        <w:t>Copia del alta en la Seguridad Social y el IDC.</w:t>
      </w:r>
    </w:p>
    <w:p>
      <w:pPr>
        <w:pStyle w:val="ListParagraph"/>
        <w:numPr>
          <w:ilvl w:val="0"/>
          <w:numId w:val="9"/>
        </w:numPr>
        <w:tabs>
          <w:tab w:val="left" w:pos="299" w:leader="none"/>
        </w:tabs>
        <w:spacing w:lineRule="auto" w:line="240" w:before="0" w:after="113"/>
        <w:rPr>
          <w:lang w:val="es-ES"/>
        </w:rPr>
      </w:pPr>
      <w:r>
        <w:rPr>
          <w:szCs w:val="20"/>
          <w:lang w:val="es-ES"/>
        </w:rPr>
        <w:t>Copia de las nóminas abonadas a los trabajadores.</w:t>
      </w:r>
    </w:p>
    <w:p>
      <w:pPr>
        <w:pStyle w:val="ListParagraph"/>
        <w:numPr>
          <w:ilvl w:val="0"/>
          <w:numId w:val="9"/>
        </w:numPr>
        <w:tabs>
          <w:tab w:val="left" w:pos="299" w:leader="none"/>
        </w:tabs>
        <w:spacing w:lineRule="auto" w:line="240" w:before="0" w:after="113"/>
        <w:rPr>
          <w:lang w:val="es-ES"/>
        </w:rPr>
      </w:pPr>
      <w:r>
        <w:rPr>
          <w:szCs w:val="20"/>
          <w:lang w:val="es-ES"/>
        </w:rPr>
        <w:t>Documento bancario acreditativo del ingreso del salario a los trabajadores.</w:t>
      </w:r>
    </w:p>
    <w:p>
      <w:pPr>
        <w:pStyle w:val="ListParagraph"/>
        <w:numPr>
          <w:ilvl w:val="0"/>
          <w:numId w:val="9"/>
        </w:numPr>
        <w:tabs>
          <w:tab w:val="left" w:pos="299" w:leader="none"/>
        </w:tabs>
        <w:spacing w:lineRule="auto" w:line="240" w:before="0" w:after="113"/>
        <w:rPr>
          <w:lang w:val="es-ES"/>
        </w:rPr>
      </w:pPr>
      <w:r>
        <w:rPr>
          <w:szCs w:val="20"/>
          <w:lang w:val="es-ES"/>
        </w:rPr>
        <w:t>Seguros sociales y resguardo acreditativo del pago de los seguros sociales.</w:t>
      </w:r>
    </w:p>
    <w:p>
      <w:pPr>
        <w:pStyle w:val="ListParagraph"/>
        <w:numPr>
          <w:ilvl w:val="0"/>
          <w:numId w:val="9"/>
        </w:numPr>
        <w:tabs>
          <w:tab w:val="left" w:pos="299" w:leader="none"/>
        </w:tabs>
        <w:spacing w:lineRule="auto" w:line="240" w:before="0" w:after="113"/>
        <w:rPr>
          <w:lang w:val="es-ES"/>
        </w:rPr>
      </w:pPr>
      <w:r>
        <w:rPr>
          <w:szCs w:val="20"/>
          <w:lang w:val="es-ES"/>
        </w:rPr>
        <w:t>Número de cuenta bancaria (IBAN) donde se va a ingresar la subvención.</w:t>
      </w:r>
    </w:p>
    <w:p>
      <w:pPr>
        <w:pStyle w:val="ListParagraph"/>
        <w:numPr>
          <w:ilvl w:val="0"/>
          <w:numId w:val="9"/>
        </w:numPr>
        <w:tabs>
          <w:tab w:val="left" w:pos="299" w:leader="none"/>
        </w:tabs>
        <w:spacing w:lineRule="auto" w:line="240" w:before="0" w:after="113"/>
        <w:rPr>
          <w:lang w:val="es-ES"/>
        </w:rPr>
      </w:pPr>
      <w:r>
        <w:rPr>
          <w:szCs w:val="20"/>
          <w:lang w:val="es-ES"/>
        </w:rPr>
        <w:t>Vida laboral de la empresa o documento justificativo del incremento neto del empleo respeto del mes anterior a la contratación.</w:t>
      </w:r>
    </w:p>
    <w:p>
      <w:pPr>
        <w:pStyle w:val="ListParagraph"/>
        <w:numPr>
          <w:ilvl w:val="0"/>
          <w:numId w:val="2"/>
        </w:numPr>
        <w:ind w:left="0" w:right="0" w:hanging="0"/>
        <w:rPr/>
      </w:pPr>
      <w:r>
        <w:rPr/>
        <w:t>En el caso de extinción del contrato de trabajo temporal por las causas previstas en la normativa laboral con anterioridad a la finalización del período exigible, la empresa deberá comunicar esta circunstancia a la entidad local, Ayuntamiento de Mos, en el plazo de 7 días desde que se produzca.</w:t>
      </w:r>
    </w:p>
    <w:p>
      <w:pPr>
        <w:pStyle w:val="ListParagraph"/>
        <w:numPr>
          <w:ilvl w:val="0"/>
          <w:numId w:val="2"/>
        </w:numPr>
        <w:ind w:left="0" w:right="0" w:hanging="0"/>
        <w:rPr/>
      </w:pPr>
      <w:r>
        <w:rPr/>
        <w:t>Presentada la documentación por la empresa, será el Ayuntamiento de Mos quien realice el pago de la  subvención a la empresa o empresas adjudicatarias, que devolverán copia del justificante bancario acreditativo del ingreso de la subvención.</w:t>
      </w:r>
    </w:p>
    <w:p>
      <w:pPr>
        <w:pStyle w:val="ListParagraph"/>
        <w:numPr>
          <w:ilvl w:val="0"/>
          <w:numId w:val="2"/>
        </w:numPr>
        <w:ind w:left="0" w:right="0" w:hanging="0"/>
        <w:rPr/>
      </w:pPr>
      <w:r>
        <w:rPr/>
        <w:t>No podrá realizarse el pago de la subvención en tanto la entidad beneficiaria no esté al corriente en el cumplimiento de sus obligaciones tributarias y frente a la Seguridad Social o tenga pendiente de pago alguna otra deuda con la Administración pública de la Comunidad Autónoma o sea deudora en virtud de resolución firme declarativa de origen de reintegro.</w:t>
      </w:r>
    </w:p>
    <w:p>
      <w:pPr>
        <w:pStyle w:val="Normal"/>
        <w:widowControl w:val="false"/>
        <w:tabs>
          <w:tab w:val="clear" w:pos="708"/>
          <w:tab w:val="left" w:pos="648" w:leader="none"/>
        </w:tabs>
        <w:suppressAutoHyphens w:val="true"/>
        <w:spacing w:lineRule="auto" w:line="240" w:before="0" w:after="113"/>
        <w:jc w:val="both"/>
        <w:textAlignment w:val="baseline"/>
        <w:rPr>
          <w:lang w:val="es-ES"/>
        </w:rPr>
      </w:pPr>
      <w:r>
        <w:rPr>
          <w:rFonts w:eastAsia="Verdana" w:cs="Verdana"/>
          <w:b/>
          <w:sz w:val="20"/>
          <w:szCs w:val="20"/>
          <w:lang w:val="es-ES" w:eastAsia="es-ES" w:bidi="es-ES"/>
        </w:rPr>
        <w:t xml:space="preserve">SÉPTIMA.- Obligaciones de las entidades beneficiarias. </w:t>
      </w:r>
    </w:p>
    <w:p>
      <w:pPr>
        <w:pStyle w:val="ListParagraph"/>
        <w:numPr>
          <w:ilvl w:val="0"/>
          <w:numId w:val="10"/>
        </w:numPr>
        <w:ind w:left="0" w:right="0" w:hanging="0"/>
        <w:rPr/>
      </w:pPr>
      <w:r>
        <w:rPr/>
        <w:t xml:space="preserve">Incorporar a la persona en un puesto de trabajo directamente relacionado con la formación recibida en el taller dual de empleo. </w:t>
      </w:r>
    </w:p>
    <w:p>
      <w:pPr>
        <w:pStyle w:val="ListParagraph"/>
        <w:numPr>
          <w:ilvl w:val="0"/>
          <w:numId w:val="10"/>
        </w:numPr>
        <w:ind w:left="0" w:right="0" w:hanging="0"/>
        <w:rPr/>
      </w:pPr>
      <w:r>
        <w:rPr>
          <w:szCs w:val="20"/>
        </w:rPr>
        <w:t xml:space="preserve">Mantener en su cuadro de personal a la persona contratada por el período de duración del contrato objeto de subvención. En el caso de extinción del contrato de trabajo temporal por las causas previstas en la normativa laboral vigente con anterioridad a la finalización del período exigible, la empresa deberá comunicar esta circunstancia a la entidad promotora de los talleres duales de empleo en el plazo de siete días desde que se produzca, para promover su relevo en iguales condiciones, ofertando la cobertura del puesto </w:t>
      </w:r>
      <w:r>
        <w:rPr>
          <w:color w:val="000000"/>
          <w:szCs w:val="20"/>
        </w:rPr>
        <w:t xml:space="preserve">de trabajo vacante a otras personas participantes en el taller, que no fueran contratadas previamente. </w:t>
      </w:r>
    </w:p>
    <w:p>
      <w:pPr>
        <w:pStyle w:val="ListParagraph"/>
        <w:numPr>
          <w:ilvl w:val="0"/>
          <w:numId w:val="10"/>
        </w:numPr>
        <w:ind w:left="0" w:right="0" w:hanging="0"/>
        <w:rPr/>
      </w:pPr>
      <w:r>
        <w:rPr/>
        <w:t>A consecuencia de la contratación temporal por la que se solicita la subvención, tiene que incrementarse el empleo neto de la entidad solicitante en el ámbito territorial de Galicia respeto al mes anterior de realización de la contratación por la que se solicita la subvención.</w:t>
      </w:r>
    </w:p>
    <w:p>
      <w:pPr>
        <w:pStyle w:val="ListParagraph"/>
        <w:numPr>
          <w:ilvl w:val="0"/>
          <w:numId w:val="0"/>
        </w:numPr>
        <w:ind w:left="0" w:right="0" w:hanging="0"/>
        <w:rPr/>
      </w:pPr>
      <w:r>
        <w:rPr/>
        <w:t>Para el cálculo del incremento del personal no se computarán las personas trabajadoras cuyo contrato de trabajo se extinga por causas objetivas o por despido disciplinario que no sean declarados improcedentes, o cuyas bajas se produjeron por dimisión de la persona trabajadora o por muerte, jubilación, incapacidad permanente total o absoluta o gran invalidez legalmente reconocidas, o por finalización del contrato.</w:t>
      </w:r>
    </w:p>
    <w:p>
      <w:pPr>
        <w:pStyle w:val="ListParagraph"/>
        <w:numPr>
          <w:ilvl w:val="0"/>
          <w:numId w:val="10"/>
        </w:numPr>
        <w:ind w:left="0" w:right="0" w:hanging="0"/>
        <w:rPr/>
      </w:pPr>
      <w:r>
        <w:rPr/>
        <w:t xml:space="preserve">Las contrataciones por las que se solicita subvención deberán formalizarse y comunicarse a la oficina pública de empleo en la forma reglamentaria establecida. </w:t>
      </w:r>
    </w:p>
    <w:p>
      <w:pPr>
        <w:pStyle w:val="ListParagraph"/>
        <w:numPr>
          <w:ilvl w:val="0"/>
          <w:numId w:val="10"/>
        </w:numPr>
        <w:ind w:left="0" w:right="0" w:hanging="0"/>
        <w:rPr/>
      </w:pPr>
      <w:r>
        <w:rPr/>
        <w:t>Una vez finalizado el período de cumplimento de esta obligación, corresponderá a la entidad promotora del taller dual de empleo llevar a cabo la función de control de las subvenciones concedidas, así como la evaluación y seguimiento de este programa.</w:t>
      </w:r>
    </w:p>
    <w:p>
      <w:pPr>
        <w:pStyle w:val="Ttulo1"/>
        <w:suppressAutoHyphens w:val="true"/>
        <w:spacing w:lineRule="auto" w:line="240" w:before="0" w:after="113"/>
        <w:ind w:left="0" w:right="567" w:hanging="0"/>
        <w:jc w:val="both"/>
        <w:textAlignment w:val="baseline"/>
        <w:rPr>
          <w:lang w:val="es-ES"/>
        </w:rPr>
      </w:pPr>
      <w:r>
        <w:rPr>
          <w:rFonts w:eastAsia="Verdana" w:cs="Verdana"/>
          <w:sz w:val="20"/>
          <w:szCs w:val="20"/>
          <w:u w:val="none"/>
          <w:lang w:val="es-ES" w:eastAsia="es-ES" w:bidi="es-ES"/>
        </w:rPr>
        <w:t>OCTAVA. Competencia.</w:t>
      </w:r>
    </w:p>
    <w:p>
      <w:pPr>
        <w:pStyle w:val="ListParagraph"/>
        <w:numPr>
          <w:ilvl w:val="0"/>
          <w:numId w:val="23"/>
        </w:numPr>
        <w:ind w:left="0" w:right="0" w:hanging="0"/>
        <w:rPr/>
      </w:pPr>
      <w:r>
        <w:rPr>
          <w:i w:val="false"/>
          <w:iCs w:val="false"/>
          <w:sz w:val="20"/>
          <w:szCs w:val="20"/>
        </w:rPr>
        <w:t>La competencia para resolver las solicitudes de ayudas corresponder</w:t>
      </w:r>
      <w:r>
        <w:rPr>
          <w:sz w:val="20"/>
          <w:szCs w:val="20"/>
        </w:rPr>
        <w:t>á a la Junta de Gobierno Local, tal como establece el artículo 11 de la Ordenanza General de Subvenciones del Ayuntamiento de Mos, aprobada por acuerdo plenario de fech</w:t>
      </w:r>
      <w:r>
        <w:rPr>
          <w:color w:val="000000"/>
          <w:sz w:val="20"/>
          <w:szCs w:val="20"/>
        </w:rPr>
        <w:t>a 28/05/2009 (BOPPO núm. 177, 14/09/2009),</w:t>
      </w:r>
      <w:r>
        <w:rPr>
          <w:sz w:val="20"/>
          <w:szCs w:val="20"/>
        </w:rPr>
        <w:t xml:space="preserve"> una vez recibidas las propuestas definitivas de los servicios Técnicos de Desenvolvimiento Local, previa comprobación de la documentación justificativa presentada que acompaña a la solicitud y del cumplimiento por las entidades beneficiarias de los requisitos establecidos en las bases.</w:t>
      </w:r>
    </w:p>
    <w:p>
      <w:pPr>
        <w:pStyle w:val="Ttulo1"/>
        <w:suppressAutoHyphens w:val="true"/>
        <w:spacing w:lineRule="auto" w:line="240" w:before="0" w:after="113"/>
        <w:ind w:left="0" w:right="567" w:hanging="0"/>
        <w:jc w:val="both"/>
        <w:textAlignment w:val="baseline"/>
        <w:rPr>
          <w:lang w:val="es-ES"/>
        </w:rPr>
      </w:pPr>
      <w:r>
        <w:rPr>
          <w:rFonts w:eastAsia="Verdana" w:cs="Verdana"/>
          <w:sz w:val="20"/>
          <w:szCs w:val="20"/>
          <w:u w:val="none"/>
          <w:lang w:val="es-ES" w:eastAsia="es-ES" w:bidi="es-ES"/>
        </w:rPr>
        <w:t xml:space="preserve">NOVENA. Procedimiento de concesión, instrucción y tramitación </w:t>
      </w:r>
    </w:p>
    <w:p>
      <w:pPr>
        <w:pStyle w:val="ListParagraph"/>
        <w:numPr>
          <w:ilvl w:val="0"/>
          <w:numId w:val="1"/>
        </w:numPr>
        <w:ind w:left="0" w:right="0" w:hanging="0"/>
        <w:rPr/>
      </w:pPr>
      <w:r>
        <w:rPr/>
        <w:t xml:space="preserve">El procedimiento de concesión de las solicitudes presentadas al amparo de esta convocatoria no tiene la consideración de concurrencia competitiva, dado que, de acuerdo con la finalidad y objeto del programa, no resulta necesario realizar la comparación y prelación de las solicitudes presentadas en un único procedimiento. </w:t>
      </w:r>
    </w:p>
    <w:p>
      <w:pPr>
        <w:pStyle w:val="ListParagraph"/>
        <w:numPr>
          <w:ilvl w:val="0"/>
          <w:numId w:val="1"/>
        </w:numPr>
        <w:ind w:left="0" w:right="0" w:hanging="0"/>
        <w:rPr/>
      </w:pPr>
      <w:r>
        <w:rPr/>
        <w:t>Existe razones de interés público, social, económico y humanitario que dificultan su convocatoria pública, basadas en que el alumnado-trabajador del Taller de empleo dual “Queda en Mos”, recibió una formación teórico-práctica durante los doce meses de duración del programa, y a través de este programa de incentivos adquirían la experiencia laboral necesaria para poder desarrollar un trabajo relacionado con la formación adquirida. Se trata de un grupo limitado en número y un colectivo con dificultades de inserción, por lo que se entiende como un programa de fomento de empleo dirigido a un colectivo con dificultades de inserción.</w:t>
      </w:r>
    </w:p>
    <w:p>
      <w:pPr>
        <w:pStyle w:val="ListParagraph"/>
        <w:numPr>
          <w:ilvl w:val="0"/>
          <w:numId w:val="1"/>
        </w:numPr>
        <w:ind w:left="0" w:right="0" w:hanging="0"/>
        <w:rPr/>
      </w:pPr>
      <w:r>
        <w:rPr>
          <w:rFonts w:eastAsia="Verdana" w:cs="Verdana"/>
          <w:sz w:val="20"/>
          <w:szCs w:val="20"/>
          <w:lang w:eastAsia="es-ES" w:bidi="es-ES"/>
        </w:rPr>
        <w:t>La concesión de la ayuda se realiza por orden de entrada de solicitudes y por la comprobación de la concurrencia en las empresas y en los empleadores de los requisitos establecidos hasta el agotamiento del crédito presupuestario que asciende a 16.500 Euros, tal como se especifica en la base Décimo</w:t>
      </w:r>
      <w:r>
        <w:rPr>
          <w:b/>
          <w:color w:val="FF0000"/>
        </w:rPr>
        <w:t xml:space="preserve"> </w:t>
      </w:r>
      <w:r>
        <w:rPr>
          <w:rFonts w:eastAsia="Verdana" w:cs="Verdana"/>
          <w:sz w:val="20"/>
          <w:szCs w:val="20"/>
          <w:lang w:eastAsia="es-ES" w:bidi="es-ES"/>
        </w:rPr>
        <w:t>Cuarta de las presentes bases.</w:t>
      </w:r>
    </w:p>
    <w:p>
      <w:pPr>
        <w:pStyle w:val="Ttulo1"/>
        <w:suppressAutoHyphens w:val="true"/>
        <w:spacing w:lineRule="auto" w:line="240" w:before="0" w:after="113"/>
        <w:ind w:left="0" w:right="567" w:hanging="0"/>
        <w:jc w:val="both"/>
        <w:textAlignment w:val="baseline"/>
        <w:rPr>
          <w:lang w:val="es-ES"/>
        </w:rPr>
      </w:pPr>
      <w:r>
        <w:rPr>
          <w:rFonts w:eastAsia="Verdana" w:cs="Verdana"/>
          <w:sz w:val="20"/>
          <w:szCs w:val="20"/>
          <w:u w:val="none"/>
          <w:lang w:val="es-ES" w:eastAsia="es-ES" w:bidi="es-ES"/>
        </w:rPr>
        <w:t xml:space="preserve">DÉCIMA.- Resolución y recursos </w:t>
      </w:r>
    </w:p>
    <w:p>
      <w:pPr>
        <w:pStyle w:val="ListParagraph"/>
        <w:numPr>
          <w:ilvl w:val="0"/>
          <w:numId w:val="11"/>
        </w:numPr>
        <w:ind w:left="0" w:right="0" w:hanging="0"/>
        <w:rPr/>
      </w:pPr>
      <w:r>
        <w:rPr/>
        <w:t xml:space="preserve">Las resolución de concesión o denegación de las ayudas siempre serán motivadas. </w:t>
      </w:r>
    </w:p>
    <w:p>
      <w:pPr>
        <w:pStyle w:val="ListParagraph"/>
        <w:numPr>
          <w:ilvl w:val="0"/>
          <w:numId w:val="11"/>
        </w:numPr>
        <w:ind w:left="0" w:right="0" w:hanging="0"/>
        <w:rPr/>
      </w:pPr>
      <w:r>
        <w:rPr/>
        <w:t xml:space="preserve">El plazo para resolver y notificar es de un mes, que se computarán desde la fecha de entrada de la solicitud en el registro del órgano competente para su tramitación. Transcurrido dicho plazo sin que se dicte resolución expresa, se entenderá desestimada la solicitud, de acuerdo con lo establecido en el artículo 23.5 de la Ley de subvenciones de Galicia. </w:t>
      </w:r>
    </w:p>
    <w:p>
      <w:pPr>
        <w:pStyle w:val="ListParagraph"/>
        <w:numPr>
          <w:ilvl w:val="0"/>
          <w:numId w:val="11"/>
        </w:numPr>
        <w:ind w:left="0" w:right="0" w:hanging="0"/>
        <w:rPr/>
      </w:pPr>
      <w:r>
        <w:rPr/>
        <w:t xml:space="preserve">Notificada la resolución por el órgano competente, las entidades propuestas como beneficiarias dispondrán de un plazo de diez días para su aceptación; transcurrido este, sin que se produzca manifestación expresa, se entenderá tácitamente aceptada. </w:t>
      </w:r>
    </w:p>
    <w:p>
      <w:pPr>
        <w:pStyle w:val="ListParagraph"/>
        <w:numPr>
          <w:ilvl w:val="0"/>
          <w:numId w:val="11"/>
        </w:numPr>
        <w:ind w:left="0" w:right="0" w:hanging="0"/>
        <w:rPr/>
      </w:pPr>
      <w:r>
        <w:rPr/>
        <w:t>Las resoluciones que se dicten en este procedimiento agotan la vía administrativa y contra ellas cabe interponer recurso contencioso-administrativo, en el plazo de dos meses, ante el órgano competente de la jurisdicción contencioso-administrativa, de acuerdo con lo dispuesto en la Ley 29/1998, de 13 de julio, reguladora de la jurisdicción contencioso administrativa. Podrá formularse, con carácter potestativo, recurso de reposición, en el plazo de un mes, ante el mismo órgano que dictó la resolución impugnada, de conformidad con la Ley 39/2015, de 1 de octubre, del procedimiento administrativo común de las administraciones públicas.</w:t>
      </w:r>
    </w:p>
    <w:p>
      <w:pPr>
        <w:pStyle w:val="Ttulo1"/>
        <w:suppressAutoHyphens w:val="true"/>
        <w:spacing w:lineRule="auto" w:line="240" w:before="0" w:after="113"/>
        <w:ind w:left="0" w:right="567" w:hanging="0"/>
        <w:jc w:val="both"/>
        <w:textAlignment w:val="baseline"/>
        <w:rPr>
          <w:lang w:val="es-ES"/>
        </w:rPr>
      </w:pPr>
      <w:r>
        <w:rPr>
          <w:rFonts w:eastAsia="Verdana" w:cs="Verdana"/>
          <w:sz w:val="20"/>
          <w:szCs w:val="20"/>
          <w:u w:val="none"/>
          <w:lang w:val="es-ES" w:eastAsia="es-ES" w:bidi="es-ES"/>
        </w:rPr>
        <w:t xml:space="preserve">UNDÉCIMA.- Incompatibilidades y concurrencia </w:t>
      </w:r>
    </w:p>
    <w:p>
      <w:pPr>
        <w:pStyle w:val="ListParagraph"/>
        <w:numPr>
          <w:ilvl w:val="0"/>
          <w:numId w:val="24"/>
        </w:numPr>
        <w:ind w:left="0" w:right="0" w:hanging="0"/>
        <w:rPr/>
      </w:pPr>
      <w:r>
        <w:rPr>
          <w:rFonts w:eastAsia="Verdana" w:cs="Verdana"/>
          <w:sz w:val="20"/>
          <w:szCs w:val="20"/>
          <w:lang w:eastAsia="es-ES" w:bidi="es-ES"/>
        </w:rPr>
        <w:t>Las</w:t>
      </w:r>
      <w:r>
        <w:rPr/>
        <w:t xml:space="preserve"> </w:t>
      </w:r>
      <w:r>
        <w:rPr>
          <w:rFonts w:eastAsia="Verdana" w:cs="Verdana"/>
          <w:sz w:val="20"/>
          <w:szCs w:val="20"/>
          <w:lang w:eastAsia="es-ES" w:bidi="es-ES"/>
        </w:rPr>
        <w:t xml:space="preserve">ayudas previstas en este programa para las contrataciones por cuenta ajena son incompatibles con otras que, por los mismos conceptos, puedan otorgar las administraciones públicas como medida de fomento de empleo. Con todo, serán compatibles, en su caso, con las bonificaciones o reducciones de cotizaciones a la Seguridad Social. </w:t>
      </w:r>
    </w:p>
    <w:p>
      <w:pPr>
        <w:pStyle w:val="ListParagraph"/>
        <w:numPr>
          <w:ilvl w:val="0"/>
          <w:numId w:val="1"/>
        </w:numPr>
        <w:ind w:left="0" w:right="0" w:hanging="0"/>
        <w:rPr/>
      </w:pPr>
      <w:r>
        <w:rPr/>
        <w:t>Los incentivos establecidos en este programa serán incompatibles con otras que, por los mismos conceptos puedan otorgar las administraciones públicas como medida de fomento de empleo. Con todo será compatibles, en su caso, con las bonificaciones o reducciones de cotizaciones a la Seguridad Social. Los incentivos establecidos en este programa serán compatibles con cualquier otra ayuda para distinta finalidad de la Unión Europea, de otras administraciones públicas o entes públicos o privados pero, sin que en ningún caso, aisladamente o en concurrencia con otra puedan superar los límites establecidos por la Unión Europea y los que establece el artículo 17.3 de la Ley 9/2007, de 13 de junio , de subvenciones de Galicia.</w:t>
      </w:r>
    </w:p>
    <w:p>
      <w:pPr>
        <w:pStyle w:val="Ttulo1"/>
        <w:suppressAutoHyphens w:val="true"/>
        <w:spacing w:lineRule="auto" w:line="240" w:before="0" w:after="113"/>
        <w:ind w:left="0" w:right="567" w:hanging="0"/>
        <w:jc w:val="both"/>
        <w:textAlignment w:val="baseline"/>
        <w:rPr>
          <w:lang w:val="es-ES"/>
        </w:rPr>
      </w:pPr>
      <w:r>
        <w:rPr>
          <w:rFonts w:eastAsia="Verdana" w:cs="Verdana"/>
          <w:sz w:val="20"/>
          <w:szCs w:val="20"/>
          <w:u w:val="none"/>
          <w:lang w:val="es-ES" w:eastAsia="es-ES" w:bidi="es-ES"/>
        </w:rPr>
        <w:t>DUODÉCIMA.- Pérdida del derecho al cobro de la subvención y reintegro.</w:t>
      </w:r>
    </w:p>
    <w:p>
      <w:pPr>
        <w:pStyle w:val="ListParagraph"/>
        <w:numPr>
          <w:ilvl w:val="0"/>
          <w:numId w:val="25"/>
        </w:numPr>
        <w:ind w:left="0" w:right="0" w:hanging="0"/>
        <w:rPr/>
      </w:pPr>
      <w:r>
        <w:rPr/>
        <w:t xml:space="preserve">Procederá la pérdida del derecho al cobro de la subvención, así como el reintegro total o parcial de las cantidades percibidas y la exigencia de los intereses de mora correspondientes desde el momento del pago de la subvención hasta la fecha en que se acuerde el origen del reintegro, en los casos previstos en el artículo 33 de la Ley 9/2007, de 13 de junio, de subvenciones de Galicia. </w:t>
      </w:r>
    </w:p>
    <w:p>
      <w:pPr>
        <w:pStyle w:val="ListParagraph"/>
        <w:numPr>
          <w:ilvl w:val="0"/>
          <w:numId w:val="1"/>
        </w:numPr>
        <w:ind w:left="0" w:right="0" w:hanging="0"/>
        <w:rPr/>
      </w:pPr>
      <w:r>
        <w:rPr/>
        <w:t xml:space="preserve">Las obligaciones de reintegro establecidas en esta orden, se entenderán sin perjuicio de lo establecido en el Real decreto legislativo 5/2000, de 4 de agosto , que aprueba el texto refundido de la Ley sobre infracciones y sanciones en la orden social. </w:t>
      </w:r>
    </w:p>
    <w:p>
      <w:pPr>
        <w:pStyle w:val="ListParagraph"/>
        <w:numPr>
          <w:ilvl w:val="0"/>
          <w:numId w:val="1"/>
        </w:numPr>
        <w:ind w:left="0" w:right="0" w:hanging="0"/>
        <w:rPr/>
      </w:pPr>
      <w:r>
        <w:rPr/>
        <w:t xml:space="preserve">Se entenderá que se produce un incumplimiento parcial y, por tanto, procederá el reintegro parcial de los incentivos cuando la persona trabajadora subvencionada cese en su relación laboral antes de que transcurra el período mínimo de subvención y la empresa no proceda a sustituirlo. </w:t>
      </w:r>
    </w:p>
    <w:p>
      <w:pPr>
        <w:pStyle w:val="Ttulo1"/>
        <w:suppressAutoHyphens w:val="true"/>
        <w:spacing w:lineRule="auto" w:line="240" w:before="0" w:after="113"/>
        <w:ind w:left="0" w:right="567" w:hanging="0"/>
        <w:jc w:val="both"/>
        <w:textAlignment w:val="baseline"/>
        <w:rPr>
          <w:lang w:val="es-ES"/>
        </w:rPr>
      </w:pPr>
      <w:r>
        <w:rPr>
          <w:rFonts w:eastAsia="Verdana" w:cs="Verdana"/>
          <w:sz w:val="20"/>
          <w:szCs w:val="20"/>
          <w:u w:val="none"/>
          <w:lang w:val="es-ES" w:eastAsia="es-ES" w:bidi="es-ES"/>
        </w:rPr>
        <w:t>DÉCIMO TERCEIRA. Devolución voluntaria de la subvención.</w:t>
      </w:r>
    </w:p>
    <w:p>
      <w:pPr>
        <w:pStyle w:val="ListParagraph"/>
        <w:numPr>
          <w:ilvl w:val="0"/>
          <w:numId w:val="26"/>
        </w:numPr>
        <w:ind w:left="0" w:right="0" w:hanging="0"/>
        <w:rPr/>
      </w:pPr>
      <w:r>
        <w:rPr/>
        <w:t xml:space="preserve">De acuerdo con lo establecido en el artículo 64 del Reglamento de la Ley 9/2007, de 13 de junio, de subvenciones de Galicia, aprobado por el Decreto 11/2009, de 8 de enero, las entidades beneficiarias podrán realizar, sin el requerimiento previo de la Administración, la devolución total o parcial de la subvención concedida, mediante su ingreso en la cuenta de la entidad promotora del taller dual de empleo, en concepto de devolución voluntaria de la subvención. </w:t>
      </w:r>
    </w:p>
    <w:p>
      <w:pPr>
        <w:pStyle w:val="ListParagraph"/>
        <w:numPr>
          <w:ilvl w:val="0"/>
          <w:numId w:val="1"/>
        </w:numPr>
        <w:ind w:left="0" w:right="0" w:hanging="0"/>
        <w:rPr/>
      </w:pPr>
      <w:r>
        <w:rPr/>
        <w:t>En todo caso, la entidad beneficiaria deberá presentar ante el órgano concedente copia justificativa de la devolución voluntaria realizada, en que conste la fecha del ingreso, su importe, el número del expediente y denominación de la subvención concedida.</w:t>
      </w:r>
    </w:p>
    <w:p>
      <w:pPr>
        <w:pStyle w:val="Ttulo1"/>
        <w:suppressAutoHyphens w:val="true"/>
        <w:spacing w:lineRule="auto" w:line="240" w:before="0" w:after="113"/>
        <w:ind w:left="0" w:right="567" w:hanging="0"/>
        <w:jc w:val="both"/>
        <w:textAlignment w:val="baseline"/>
        <w:rPr>
          <w:lang w:val="es-ES"/>
        </w:rPr>
      </w:pPr>
      <w:r>
        <w:rPr>
          <w:rFonts w:eastAsia="Verdana" w:cs="Verdana"/>
          <w:sz w:val="20"/>
          <w:szCs w:val="20"/>
          <w:u w:val="none"/>
          <w:lang w:val="es-ES" w:eastAsia="es-ES" w:bidi="es-ES"/>
        </w:rPr>
        <w:t>DÉCIMO CUARTA. Financiamiento</w:t>
      </w:r>
    </w:p>
    <w:p>
      <w:pPr>
        <w:pStyle w:val="ListParagraph"/>
        <w:numPr>
          <w:ilvl w:val="0"/>
          <w:numId w:val="27"/>
        </w:numPr>
        <w:ind w:left="0" w:right="0" w:hanging="0"/>
        <w:rPr/>
      </w:pPr>
      <w:r>
        <w:rPr/>
        <w:t>Las acciones incluidas en esta convocatoria serán financiadas con cargo a la aplicación presupuestaria 24103 4700055 del Presupuesto municipal vigente, ascendiendo la cuantía máxima de la convocatoria a 16.500 € equivalente a la previsión de una ayuda de 1.500 euros por alumno/a participante en el taller contratado.</w:t>
      </w:r>
    </w:p>
    <w:p>
      <w:pPr>
        <w:pStyle w:val="ListParagraph"/>
        <w:numPr>
          <w:ilvl w:val="0"/>
          <w:numId w:val="0"/>
        </w:numPr>
        <w:ind w:left="0" w:right="0" w:hanging="0"/>
        <w:rPr/>
      </w:pPr>
      <w:r>
        <w:rPr/>
      </w:r>
    </w:p>
    <w:p>
      <w:pPr>
        <w:pStyle w:val="Normal"/>
        <w:rPr/>
      </w:pPr>
      <w:r>
        <w:rPr/>
        <w:t xml:space="preserve">La Alcaldesa-Presidenta </w:t>
      </w:r>
    </w:p>
    <w:p>
      <w:pPr>
        <w:pStyle w:val="Normal"/>
        <w:widowControl/>
        <w:suppressAutoHyphens w:val="true"/>
        <w:bidi w:val="0"/>
        <w:spacing w:lineRule="auto" w:line="276" w:before="1" w:after="200"/>
        <w:ind w:right="567" w:hanging="0"/>
        <w:jc w:val="both"/>
        <w:rPr/>
      </w:pPr>
      <w:r>
        <w:rPr/>
        <w:t>Nidia Arévalo Gómez</w:t>
      </w:r>
    </w:p>
    <w:sectPr>
      <w:headerReference w:type="default" r:id="rId2"/>
      <w:footerReference w:type="default" r:id="rId3"/>
      <w:type w:val="nextPage"/>
      <w:pgSz w:w="11906" w:h="16838"/>
      <w:pgMar w:left="1134" w:right="1259" w:header="720" w:top="1145" w:footer="720" w:bottom="1145"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Tahoma">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lang w:val="es-ES"/>
      </w:rPr>
    </w:pPr>
    <w:r>
      <mc:AlternateContent>
        <mc:Choice Requires="wpg">
          <w:drawing>
            <wp:anchor behindDoc="1" distT="0" distB="0" distL="0" distR="0" simplePos="0" locked="0" layoutInCell="1" allowOverlap="1" relativeHeight="9">
              <wp:simplePos x="0" y="0"/>
              <wp:positionH relativeFrom="column">
                <wp:posOffset>-610870</wp:posOffset>
              </wp:positionH>
              <wp:positionV relativeFrom="paragraph">
                <wp:posOffset>-20320</wp:posOffset>
              </wp:positionV>
              <wp:extent cx="6809740" cy="478790"/>
              <wp:effectExtent l="0" t="0" r="0" b="0"/>
              <wp:wrapNone/>
              <wp:docPr id="2" name="Grupo 1"/>
              <a:graphic xmlns:a="http://schemas.openxmlformats.org/drawingml/2006/main">
                <a:graphicData uri="http://schemas.microsoft.com/office/word/2010/wordprocessingGroup">
                  <wpg:wgp>
                    <wpg:cNvGrpSpPr/>
                    <wpg:grpSpPr>
                      <a:xfrm>
                        <a:off x="0" y="0"/>
                        <a:ext cx="6809040" cy="478080"/>
                      </a:xfrm>
                    </wpg:grpSpPr>
                    <pic:pic xmlns:pic="http://schemas.openxmlformats.org/drawingml/2006/picture">
                      <pic:nvPicPr>
                        <pic:cNvPr id="0" name="Imagen 2" descr=""/>
                        <pic:cNvPicPr/>
                      </pic:nvPicPr>
                      <pic:blipFill>
                        <a:blip r:embed="rId1"/>
                        <a:stretch/>
                      </pic:blipFill>
                      <pic:spPr>
                        <a:xfrm>
                          <a:off x="5601960" y="39960"/>
                          <a:ext cx="1207080" cy="344880"/>
                        </a:xfrm>
                        <a:prstGeom prst="rect">
                          <a:avLst/>
                        </a:prstGeom>
                        <a:ln>
                          <a:noFill/>
                        </a:ln>
                      </pic:spPr>
                    </pic:pic>
                    <pic:pic xmlns:pic="http://schemas.openxmlformats.org/drawingml/2006/picture">
                      <pic:nvPicPr>
                        <pic:cNvPr id="1" name="Imagen 3" descr=""/>
                        <pic:cNvPicPr/>
                      </pic:nvPicPr>
                      <pic:blipFill>
                        <a:blip r:embed="rId2"/>
                        <a:stretch/>
                      </pic:blipFill>
                      <pic:spPr>
                        <a:xfrm>
                          <a:off x="2729160" y="47520"/>
                          <a:ext cx="1045800" cy="430560"/>
                        </a:xfrm>
                        <a:prstGeom prst="rect">
                          <a:avLst/>
                        </a:prstGeom>
                        <a:ln>
                          <a:noFill/>
                        </a:ln>
                      </pic:spPr>
                    </pic:pic>
                    <pic:pic xmlns:pic="http://schemas.openxmlformats.org/drawingml/2006/picture">
                      <pic:nvPicPr>
                        <pic:cNvPr id="2" name="0 Imagen" descr=""/>
                        <pic:cNvPicPr/>
                      </pic:nvPicPr>
                      <pic:blipFill>
                        <a:blip r:embed="rId3"/>
                        <a:stretch/>
                      </pic:blipFill>
                      <pic:spPr>
                        <a:xfrm>
                          <a:off x="0" y="47520"/>
                          <a:ext cx="1521360" cy="430560"/>
                        </a:xfrm>
                        <a:prstGeom prst="rect">
                          <a:avLst/>
                        </a:prstGeom>
                        <a:ln>
                          <a:noFill/>
                        </a:ln>
                      </pic:spPr>
                    </pic:pic>
                    <pic:pic xmlns:pic="http://schemas.openxmlformats.org/drawingml/2006/picture">
                      <pic:nvPicPr>
                        <pic:cNvPr id="3" name="image1.png" descr=""/>
                        <pic:cNvPicPr/>
                      </pic:nvPicPr>
                      <pic:blipFill>
                        <a:blip r:embed="rId4"/>
                        <a:stretch/>
                      </pic:blipFill>
                      <pic:spPr>
                        <a:xfrm>
                          <a:off x="1590120" y="0"/>
                          <a:ext cx="1101240" cy="448920"/>
                        </a:xfrm>
                        <a:prstGeom prst="rect">
                          <a:avLst/>
                        </a:prstGeom>
                        <a:ln>
                          <a:noFill/>
                        </a:ln>
                      </pic:spPr>
                    </pic:pic>
                    <pic:pic xmlns:pic="http://schemas.openxmlformats.org/drawingml/2006/picture">
                      <pic:nvPicPr>
                        <pic:cNvPr id="4" name="Imagen 6" descr="C:\Users\Adminoe\Desktop\Logotipo Xacobeo 21-22.png"/>
                        <pic:cNvPicPr/>
                      </pic:nvPicPr>
                      <pic:blipFill>
                        <a:blip r:embed="rId5"/>
                        <a:stretch/>
                      </pic:blipFill>
                      <pic:spPr>
                        <a:xfrm>
                          <a:off x="3930120" y="31680"/>
                          <a:ext cx="1419840" cy="293400"/>
                        </a:xfrm>
                        <a:prstGeom prst="rect">
                          <a:avLst/>
                        </a:prstGeom>
                        <a:ln>
                          <a:noFill/>
                        </a:ln>
                      </pic:spPr>
                    </pic:pic>
                  </wpg:wgp>
                </a:graphicData>
              </a:graphic>
            </wp:anchor>
          </w:drawing>
        </mc:Choice>
        <mc:Fallback>
          <w:pict>
            <v:group id="shape_0" alt="Grupo 1" style="position:absolute;margin-left:-48.1pt;margin-top:-1.6pt;width:536.15pt;height:37.65pt" coordorigin="-962,-32" coordsize="10723,753">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n 2" stroked="f" style="position:absolute;left:7860;top:31;width:1900;height:542" type="shapetype_75">
                <v:imagedata r:id="rId1" o:detectmouseclick="t"/>
                <w10:wrap type="none"/>
                <v:stroke color="#3465a4" joinstyle="round" endcap="flat"/>
              </v:shape>
              <v:shape id="shape_0" ID="Imagen 3" stroked="f" style="position:absolute;left:3336;top:43;width:1646;height:677" type="shapetype_75">
                <v:imagedata r:id="rId2" o:detectmouseclick="t"/>
                <w10:wrap type="none"/>
                <v:stroke color="#3465a4" joinstyle="round" endcap="flat"/>
              </v:shape>
              <v:shape id="shape_0" ID="0 Imagen" stroked="f" style="position:absolute;left:-962;top:43;width:2395;height:677" type="shapetype_75">
                <v:imagedata r:id="rId3" o:detectmouseclick="t"/>
                <w10:wrap type="none"/>
                <v:stroke color="#3465a4" joinstyle="round" endcap="flat"/>
              </v:shape>
              <v:shape id="shape_0" ID="image1.png" stroked="f" style="position:absolute;left:1542;top:-32;width:1733;height:706" type="shapetype_75">
                <v:imagedata r:id="rId4" o:detectmouseclick="t"/>
                <w10:wrap type="none"/>
                <v:stroke color="#3465a4" joinstyle="round" endcap="flat"/>
              </v:shape>
              <v:shape id="shape_0" ID="Imagen 6" stroked="f" style="position:absolute;left:5227;top:18;width:2235;height:461" type="shapetype_75">
                <v:imagedata r:id="rId5" o:detectmouseclick="t"/>
                <w10:wrap type="none"/>
                <v:stroke color="#3465a4" joinstyle="round" endcap="flat"/>
              </v:shape>
            </v:group>
          </w:pict>
        </mc:Fallback>
      </mc:AlternateContent>
    </w:r>
    <w:r>
      <w:rPr>
        <w:lang w:val="es-ES" w:eastAsia="es-ES"/>
      </w:rPr>
      <w:tab/>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tabs>
        <w:tab w:val="clear" w:pos="4252"/>
        <w:tab w:val="clear" w:pos="8504"/>
        <w:tab w:val="left" w:pos="2415" w:leader="none"/>
      </w:tabs>
      <w:rPr>
        <w:lang w:val="es-ES"/>
      </w:rPr>
    </w:pPr>
    <w:r>
      <w:rPr/>
      <w:drawing>
        <wp:inline distT="0" distB="0" distL="0" distR="0">
          <wp:extent cx="1689100" cy="641350"/>
          <wp:effectExtent l="0" t="0" r="0" b="0"/>
          <wp:docPr id="1" name="Imagen 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2" descr=""/>
                  <pic:cNvPicPr>
                    <a:picLocks noChangeAspect="1" noChangeArrowheads="1"/>
                  </pic:cNvPicPr>
                </pic:nvPicPr>
                <pic:blipFill>
                  <a:blip r:embed="rId1"/>
                  <a:stretch>
                    <a:fillRect/>
                  </a:stretch>
                </pic:blipFill>
                <pic:spPr bwMode="auto">
                  <a:xfrm>
                    <a:off x="0" y="0"/>
                    <a:ext cx="1689100" cy="64135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0"/>
        </w:tabs>
        <w:ind w:left="117" w:hanging="218"/>
      </w:pPr>
      <w:rPr>
        <w:sz w:val="20"/>
        <w:szCs w:val="20"/>
      </w:rPr>
    </w:lvl>
    <w:lvl w:ilvl="1">
      <w:start w:val="0"/>
      <w:numFmt w:val="bullet"/>
      <w:lvlText w:val=""/>
      <w:lvlJc w:val="left"/>
      <w:pPr>
        <w:tabs>
          <w:tab w:val="num" w:pos="0"/>
        </w:tabs>
        <w:ind w:left="1154" w:hanging="218"/>
      </w:pPr>
      <w:rPr>
        <w:rFonts w:ascii="Symbol" w:hAnsi="Symbol" w:cs="Symbol" w:hint="default"/>
      </w:rPr>
    </w:lvl>
    <w:lvl w:ilvl="2">
      <w:start w:val="0"/>
      <w:numFmt w:val="bullet"/>
      <w:lvlText w:val=""/>
      <w:lvlJc w:val="left"/>
      <w:pPr>
        <w:tabs>
          <w:tab w:val="num" w:pos="0"/>
        </w:tabs>
        <w:ind w:left="2189" w:hanging="218"/>
      </w:pPr>
      <w:rPr>
        <w:rFonts w:ascii="Symbol" w:hAnsi="Symbol" w:cs="Symbol" w:hint="default"/>
      </w:rPr>
    </w:lvl>
    <w:lvl w:ilvl="3">
      <w:start w:val="0"/>
      <w:numFmt w:val="bullet"/>
      <w:lvlText w:val=""/>
      <w:lvlJc w:val="left"/>
      <w:pPr>
        <w:tabs>
          <w:tab w:val="num" w:pos="0"/>
        </w:tabs>
        <w:ind w:left="3223" w:hanging="218"/>
      </w:pPr>
      <w:rPr>
        <w:rFonts w:ascii="Symbol" w:hAnsi="Symbol" w:cs="Symbol" w:hint="default"/>
      </w:rPr>
    </w:lvl>
    <w:lvl w:ilvl="4">
      <w:start w:val="0"/>
      <w:numFmt w:val="bullet"/>
      <w:lvlText w:val=""/>
      <w:lvlJc w:val="left"/>
      <w:pPr>
        <w:tabs>
          <w:tab w:val="num" w:pos="0"/>
        </w:tabs>
        <w:ind w:left="4258" w:hanging="218"/>
      </w:pPr>
      <w:rPr>
        <w:rFonts w:ascii="Symbol" w:hAnsi="Symbol" w:cs="Symbol" w:hint="default"/>
      </w:rPr>
    </w:lvl>
    <w:lvl w:ilvl="5">
      <w:start w:val="0"/>
      <w:numFmt w:val="bullet"/>
      <w:lvlText w:val=""/>
      <w:lvlJc w:val="left"/>
      <w:pPr>
        <w:tabs>
          <w:tab w:val="num" w:pos="0"/>
        </w:tabs>
        <w:ind w:left="5292" w:hanging="218"/>
      </w:pPr>
      <w:rPr>
        <w:rFonts w:ascii="Symbol" w:hAnsi="Symbol" w:cs="Symbol" w:hint="default"/>
      </w:rPr>
    </w:lvl>
    <w:lvl w:ilvl="6">
      <w:start w:val="0"/>
      <w:numFmt w:val="bullet"/>
      <w:lvlText w:val=""/>
      <w:lvlJc w:val="left"/>
      <w:pPr>
        <w:tabs>
          <w:tab w:val="num" w:pos="0"/>
        </w:tabs>
        <w:ind w:left="6327" w:hanging="218"/>
      </w:pPr>
      <w:rPr>
        <w:rFonts w:ascii="Symbol" w:hAnsi="Symbol" w:cs="Symbol" w:hint="default"/>
      </w:rPr>
    </w:lvl>
    <w:lvl w:ilvl="7">
      <w:start w:val="0"/>
      <w:numFmt w:val="bullet"/>
      <w:lvlText w:val=""/>
      <w:lvlJc w:val="left"/>
      <w:pPr>
        <w:tabs>
          <w:tab w:val="num" w:pos="0"/>
        </w:tabs>
        <w:ind w:left="7361" w:hanging="218"/>
      </w:pPr>
      <w:rPr>
        <w:rFonts w:ascii="Symbol" w:hAnsi="Symbol" w:cs="Symbol" w:hint="default"/>
      </w:rPr>
    </w:lvl>
    <w:lvl w:ilvl="8">
      <w:start w:val="0"/>
      <w:numFmt w:val="bullet"/>
      <w:lvlText w:val=""/>
      <w:lvlJc w:val="left"/>
      <w:pPr>
        <w:tabs>
          <w:tab w:val="num" w:pos="0"/>
        </w:tabs>
        <w:ind w:left="8396" w:hanging="218"/>
      </w:pPr>
      <w:rPr>
        <w:rFonts w:ascii="Symbol" w:hAnsi="Symbol" w:cs="Symbol" w:hint="default"/>
      </w:rPr>
    </w:lvl>
  </w:abstractNum>
  <w:abstractNum w:abstractNumI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1"/>
      <w:numFmt w:val="decimal"/>
      <w:lvlText w:val="(%1)"/>
      <w:lvlJc w:val="left"/>
      <w:pPr>
        <w:tabs>
          <w:tab w:val="num" w:pos="0"/>
        </w:tabs>
        <w:ind w:left="117" w:hanging="267"/>
      </w:pPr>
      <w:rPr>
        <w:sz w:val="22"/>
        <w:spacing w:val="0"/>
        <w:szCs w:val="22"/>
        <w:w w:val="100"/>
      </w:rPr>
    </w:lvl>
    <w:lvl w:ilvl="1">
      <w:start w:val="0"/>
      <w:numFmt w:val="bullet"/>
      <w:lvlText w:val=""/>
      <w:lvlJc w:val="left"/>
      <w:pPr>
        <w:tabs>
          <w:tab w:val="num" w:pos="0"/>
        </w:tabs>
        <w:ind w:left="1154" w:hanging="267"/>
      </w:pPr>
      <w:rPr>
        <w:rFonts w:ascii="Symbol" w:hAnsi="Symbol" w:cs="Symbol" w:hint="default"/>
      </w:rPr>
    </w:lvl>
    <w:lvl w:ilvl="2">
      <w:start w:val="0"/>
      <w:numFmt w:val="bullet"/>
      <w:lvlText w:val=""/>
      <w:lvlJc w:val="left"/>
      <w:pPr>
        <w:tabs>
          <w:tab w:val="num" w:pos="0"/>
        </w:tabs>
        <w:ind w:left="2189" w:hanging="267"/>
      </w:pPr>
      <w:rPr>
        <w:rFonts w:ascii="Symbol" w:hAnsi="Symbol" w:cs="Symbol" w:hint="default"/>
      </w:rPr>
    </w:lvl>
    <w:lvl w:ilvl="3">
      <w:start w:val="0"/>
      <w:numFmt w:val="bullet"/>
      <w:lvlText w:val=""/>
      <w:lvlJc w:val="left"/>
      <w:pPr>
        <w:tabs>
          <w:tab w:val="num" w:pos="0"/>
        </w:tabs>
        <w:ind w:left="3223" w:hanging="267"/>
      </w:pPr>
      <w:rPr>
        <w:rFonts w:ascii="Symbol" w:hAnsi="Symbol" w:cs="Symbol" w:hint="default"/>
      </w:rPr>
    </w:lvl>
    <w:lvl w:ilvl="4">
      <w:start w:val="0"/>
      <w:numFmt w:val="bullet"/>
      <w:lvlText w:val=""/>
      <w:lvlJc w:val="left"/>
      <w:pPr>
        <w:tabs>
          <w:tab w:val="num" w:pos="0"/>
        </w:tabs>
        <w:ind w:left="4258" w:hanging="267"/>
      </w:pPr>
      <w:rPr>
        <w:rFonts w:ascii="Symbol" w:hAnsi="Symbol" w:cs="Symbol" w:hint="default"/>
      </w:rPr>
    </w:lvl>
    <w:lvl w:ilvl="5">
      <w:start w:val="0"/>
      <w:numFmt w:val="bullet"/>
      <w:lvlText w:val=""/>
      <w:lvlJc w:val="left"/>
      <w:pPr>
        <w:tabs>
          <w:tab w:val="num" w:pos="0"/>
        </w:tabs>
        <w:ind w:left="5292" w:hanging="267"/>
      </w:pPr>
      <w:rPr>
        <w:rFonts w:ascii="Symbol" w:hAnsi="Symbol" w:cs="Symbol" w:hint="default"/>
      </w:rPr>
    </w:lvl>
    <w:lvl w:ilvl="6">
      <w:start w:val="0"/>
      <w:numFmt w:val="bullet"/>
      <w:lvlText w:val=""/>
      <w:lvlJc w:val="left"/>
      <w:pPr>
        <w:tabs>
          <w:tab w:val="num" w:pos="0"/>
        </w:tabs>
        <w:ind w:left="6327" w:hanging="267"/>
      </w:pPr>
      <w:rPr>
        <w:rFonts w:ascii="Symbol" w:hAnsi="Symbol" w:cs="Symbol" w:hint="default"/>
      </w:rPr>
    </w:lvl>
    <w:lvl w:ilvl="7">
      <w:start w:val="0"/>
      <w:numFmt w:val="bullet"/>
      <w:lvlText w:val=""/>
      <w:lvlJc w:val="left"/>
      <w:pPr>
        <w:tabs>
          <w:tab w:val="num" w:pos="0"/>
        </w:tabs>
        <w:ind w:left="7361" w:hanging="267"/>
      </w:pPr>
      <w:rPr>
        <w:rFonts w:ascii="Symbol" w:hAnsi="Symbol" w:cs="Symbol" w:hint="default"/>
      </w:rPr>
    </w:lvl>
    <w:lvl w:ilvl="8">
      <w:start w:val="0"/>
      <w:numFmt w:val="bullet"/>
      <w:lvlText w:val=""/>
      <w:lvlJc w:val="left"/>
      <w:pPr>
        <w:tabs>
          <w:tab w:val="num" w:pos="0"/>
        </w:tabs>
        <w:ind w:left="8396" w:hanging="267"/>
      </w:pPr>
      <w:rPr>
        <w:rFonts w:ascii="Symbol" w:hAnsi="Symbol" w:cs="Symbol" w:hint="default"/>
      </w:rPr>
    </w:lvl>
  </w:abstractNum>
  <w:abstractNum w:abstractNumId="4">
    <w:lvl w:ilvl="0">
      <w:start w:val="2"/>
      <w:numFmt w:val="decimal"/>
      <w:lvlText w:val="(%1)"/>
      <w:lvlJc w:val="left"/>
      <w:pPr>
        <w:tabs>
          <w:tab w:val="num" w:pos="0"/>
        </w:tabs>
        <w:ind w:left="117" w:hanging="267"/>
      </w:pPr>
      <w:rPr>
        <w:sz w:val="22"/>
        <w:spacing w:val="0"/>
        <w:szCs w:val="22"/>
        <w:w w:val="100"/>
      </w:rPr>
    </w:lvl>
    <w:lvl w:ilvl="1">
      <w:start w:val="0"/>
      <w:numFmt w:val="bullet"/>
      <w:lvlText w:val=""/>
      <w:lvlJc w:val="left"/>
      <w:pPr>
        <w:tabs>
          <w:tab w:val="num" w:pos="0"/>
        </w:tabs>
        <w:ind w:left="1154" w:hanging="267"/>
      </w:pPr>
      <w:rPr>
        <w:rFonts w:ascii="Symbol" w:hAnsi="Symbol" w:cs="Symbol" w:hint="default"/>
      </w:rPr>
    </w:lvl>
    <w:lvl w:ilvl="2">
      <w:start w:val="0"/>
      <w:numFmt w:val="bullet"/>
      <w:lvlText w:val=""/>
      <w:lvlJc w:val="left"/>
      <w:pPr>
        <w:tabs>
          <w:tab w:val="num" w:pos="0"/>
        </w:tabs>
        <w:ind w:left="2189" w:hanging="267"/>
      </w:pPr>
      <w:rPr>
        <w:rFonts w:ascii="Symbol" w:hAnsi="Symbol" w:cs="Symbol" w:hint="default"/>
      </w:rPr>
    </w:lvl>
    <w:lvl w:ilvl="3">
      <w:start w:val="0"/>
      <w:numFmt w:val="bullet"/>
      <w:lvlText w:val=""/>
      <w:lvlJc w:val="left"/>
      <w:pPr>
        <w:tabs>
          <w:tab w:val="num" w:pos="0"/>
        </w:tabs>
        <w:ind w:left="3223" w:hanging="267"/>
      </w:pPr>
      <w:rPr>
        <w:rFonts w:ascii="Symbol" w:hAnsi="Symbol" w:cs="Symbol" w:hint="default"/>
      </w:rPr>
    </w:lvl>
    <w:lvl w:ilvl="4">
      <w:start w:val="0"/>
      <w:numFmt w:val="bullet"/>
      <w:lvlText w:val=""/>
      <w:lvlJc w:val="left"/>
      <w:pPr>
        <w:tabs>
          <w:tab w:val="num" w:pos="0"/>
        </w:tabs>
        <w:ind w:left="4258" w:hanging="267"/>
      </w:pPr>
      <w:rPr>
        <w:rFonts w:ascii="Symbol" w:hAnsi="Symbol" w:cs="Symbol" w:hint="default"/>
      </w:rPr>
    </w:lvl>
    <w:lvl w:ilvl="5">
      <w:start w:val="0"/>
      <w:numFmt w:val="bullet"/>
      <w:lvlText w:val=""/>
      <w:lvlJc w:val="left"/>
      <w:pPr>
        <w:tabs>
          <w:tab w:val="num" w:pos="0"/>
        </w:tabs>
        <w:ind w:left="5292" w:hanging="267"/>
      </w:pPr>
      <w:rPr>
        <w:rFonts w:ascii="Symbol" w:hAnsi="Symbol" w:cs="Symbol" w:hint="default"/>
      </w:rPr>
    </w:lvl>
    <w:lvl w:ilvl="6">
      <w:start w:val="0"/>
      <w:numFmt w:val="bullet"/>
      <w:lvlText w:val=""/>
      <w:lvlJc w:val="left"/>
      <w:pPr>
        <w:tabs>
          <w:tab w:val="num" w:pos="0"/>
        </w:tabs>
        <w:ind w:left="6327" w:hanging="267"/>
      </w:pPr>
      <w:rPr>
        <w:rFonts w:ascii="Symbol" w:hAnsi="Symbol" w:cs="Symbol" w:hint="default"/>
      </w:rPr>
    </w:lvl>
    <w:lvl w:ilvl="7">
      <w:start w:val="0"/>
      <w:numFmt w:val="bullet"/>
      <w:lvlText w:val=""/>
      <w:lvlJc w:val="left"/>
      <w:pPr>
        <w:tabs>
          <w:tab w:val="num" w:pos="0"/>
        </w:tabs>
        <w:ind w:left="7361" w:hanging="267"/>
      </w:pPr>
      <w:rPr>
        <w:rFonts w:ascii="Symbol" w:hAnsi="Symbol" w:cs="Symbol" w:hint="default"/>
      </w:rPr>
    </w:lvl>
    <w:lvl w:ilvl="8">
      <w:start w:val="0"/>
      <w:numFmt w:val="bullet"/>
      <w:lvlText w:val=""/>
      <w:lvlJc w:val="left"/>
      <w:pPr>
        <w:tabs>
          <w:tab w:val="num" w:pos="0"/>
        </w:tabs>
        <w:ind w:left="8396" w:hanging="267"/>
      </w:pPr>
      <w:rPr>
        <w:rFonts w:ascii="Symbol" w:hAnsi="Symbol" w:cs="Symbol" w:hint="default"/>
      </w:rPr>
    </w:lvl>
  </w:abstractNum>
  <w:abstractNum w:abstractNumId="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1068" w:hanging="360"/>
      </w:pPr>
      <w:rPr>
        <w:rFonts w:ascii="Symbol" w:hAnsi="Symbol" w:cs="Symbol" w:hint="default"/>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lvl w:ilvl="0">
      <w:start w:val="1"/>
      <w:numFmt w:val="decimal"/>
      <w:lvlText w:val="(%1)"/>
      <w:lvlJc w:val="left"/>
      <w:pPr>
        <w:tabs>
          <w:tab w:val="num" w:pos="0"/>
        </w:tabs>
        <w:ind w:left="288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lvl w:ilvl="0">
      <w:start w:val="1"/>
      <w:numFmt w:val="decimal"/>
      <w:lvlText w:val="(%1)"/>
      <w:lvlJc w:val="left"/>
      <w:pPr>
        <w:tabs>
          <w:tab w:val="num" w:pos="0"/>
        </w:tabs>
        <w:ind w:left="117" w:hanging="218"/>
      </w:pPr>
      <w:rPr>
        <w:sz w:val="20"/>
        <w:szCs w:val="20"/>
      </w:rPr>
    </w:lvl>
    <w:lvl w:ilvl="1">
      <w:start w:val="0"/>
      <w:numFmt w:val="bullet"/>
      <w:lvlText w:val=""/>
      <w:lvlJc w:val="left"/>
      <w:pPr>
        <w:tabs>
          <w:tab w:val="num" w:pos="0"/>
        </w:tabs>
        <w:ind w:left="1154" w:hanging="218"/>
      </w:pPr>
      <w:rPr>
        <w:rFonts w:ascii="Symbol" w:hAnsi="Symbol" w:cs="Symbol" w:hint="default"/>
      </w:rPr>
    </w:lvl>
    <w:lvl w:ilvl="2">
      <w:start w:val="0"/>
      <w:numFmt w:val="bullet"/>
      <w:lvlText w:val=""/>
      <w:lvlJc w:val="left"/>
      <w:pPr>
        <w:tabs>
          <w:tab w:val="num" w:pos="0"/>
        </w:tabs>
        <w:ind w:left="2189" w:hanging="218"/>
      </w:pPr>
      <w:rPr>
        <w:rFonts w:ascii="Symbol" w:hAnsi="Symbol" w:cs="Symbol" w:hint="default"/>
      </w:rPr>
    </w:lvl>
    <w:lvl w:ilvl="3">
      <w:start w:val="0"/>
      <w:numFmt w:val="bullet"/>
      <w:lvlText w:val=""/>
      <w:lvlJc w:val="left"/>
      <w:pPr>
        <w:tabs>
          <w:tab w:val="num" w:pos="0"/>
        </w:tabs>
        <w:ind w:left="3223" w:hanging="218"/>
      </w:pPr>
      <w:rPr>
        <w:rFonts w:ascii="Symbol" w:hAnsi="Symbol" w:cs="Symbol" w:hint="default"/>
      </w:rPr>
    </w:lvl>
    <w:lvl w:ilvl="4">
      <w:start w:val="0"/>
      <w:numFmt w:val="bullet"/>
      <w:lvlText w:val=""/>
      <w:lvlJc w:val="left"/>
      <w:pPr>
        <w:tabs>
          <w:tab w:val="num" w:pos="0"/>
        </w:tabs>
        <w:ind w:left="4258" w:hanging="218"/>
      </w:pPr>
      <w:rPr>
        <w:rFonts w:ascii="Symbol" w:hAnsi="Symbol" w:cs="Symbol" w:hint="default"/>
      </w:rPr>
    </w:lvl>
    <w:lvl w:ilvl="5">
      <w:start w:val="0"/>
      <w:numFmt w:val="bullet"/>
      <w:lvlText w:val=""/>
      <w:lvlJc w:val="left"/>
      <w:pPr>
        <w:tabs>
          <w:tab w:val="num" w:pos="0"/>
        </w:tabs>
        <w:ind w:left="5292" w:hanging="218"/>
      </w:pPr>
      <w:rPr>
        <w:rFonts w:ascii="Symbol" w:hAnsi="Symbol" w:cs="Symbol" w:hint="default"/>
      </w:rPr>
    </w:lvl>
    <w:lvl w:ilvl="6">
      <w:start w:val="0"/>
      <w:numFmt w:val="bullet"/>
      <w:lvlText w:val=""/>
      <w:lvlJc w:val="left"/>
      <w:pPr>
        <w:tabs>
          <w:tab w:val="num" w:pos="0"/>
        </w:tabs>
        <w:ind w:left="6327" w:hanging="218"/>
      </w:pPr>
      <w:rPr>
        <w:rFonts w:ascii="Symbol" w:hAnsi="Symbol" w:cs="Symbol" w:hint="default"/>
      </w:rPr>
    </w:lvl>
    <w:lvl w:ilvl="7">
      <w:start w:val="0"/>
      <w:numFmt w:val="bullet"/>
      <w:lvlText w:val=""/>
      <w:lvlJc w:val="left"/>
      <w:pPr>
        <w:tabs>
          <w:tab w:val="num" w:pos="0"/>
        </w:tabs>
        <w:ind w:left="7361" w:hanging="218"/>
      </w:pPr>
      <w:rPr>
        <w:rFonts w:ascii="Symbol" w:hAnsi="Symbol" w:cs="Symbol" w:hint="default"/>
      </w:rPr>
    </w:lvl>
    <w:lvl w:ilvl="8">
      <w:start w:val="0"/>
      <w:numFmt w:val="bullet"/>
      <w:lvlText w:val=""/>
      <w:lvlJc w:val="left"/>
      <w:pPr>
        <w:tabs>
          <w:tab w:val="num" w:pos="0"/>
        </w:tabs>
        <w:ind w:left="8396" w:hanging="218"/>
      </w:pPr>
      <w:rPr>
        <w:rFonts w:ascii="Symbol" w:hAnsi="Symbol" w:cs="Symbol" w:hint="default"/>
      </w:rPr>
    </w:lvl>
  </w:abstractNum>
  <w:abstractNum w:abstractNumId="14">
    <w:lvl w:ilvl="0">
      <w:start w:val="1"/>
      <w:numFmt w:val="decimal"/>
      <w:lvlText w:val="(%1)"/>
      <w:lvlJc w:val="left"/>
      <w:pPr>
        <w:tabs>
          <w:tab w:val="num" w:pos="0"/>
        </w:tabs>
        <w:ind w:left="117" w:hanging="218"/>
      </w:pPr>
      <w:rPr>
        <w:sz w:val="20"/>
        <w:szCs w:val="20"/>
      </w:rPr>
    </w:lvl>
    <w:lvl w:ilvl="1">
      <w:start w:val="0"/>
      <w:numFmt w:val="bullet"/>
      <w:lvlText w:val=""/>
      <w:lvlJc w:val="left"/>
      <w:pPr>
        <w:tabs>
          <w:tab w:val="num" w:pos="0"/>
        </w:tabs>
        <w:ind w:left="1154" w:hanging="218"/>
      </w:pPr>
      <w:rPr>
        <w:rFonts w:ascii="Symbol" w:hAnsi="Symbol" w:cs="Symbol" w:hint="default"/>
      </w:rPr>
    </w:lvl>
    <w:lvl w:ilvl="2">
      <w:start w:val="0"/>
      <w:numFmt w:val="bullet"/>
      <w:lvlText w:val=""/>
      <w:lvlJc w:val="left"/>
      <w:pPr>
        <w:tabs>
          <w:tab w:val="num" w:pos="0"/>
        </w:tabs>
        <w:ind w:left="2189" w:hanging="218"/>
      </w:pPr>
      <w:rPr>
        <w:rFonts w:ascii="Symbol" w:hAnsi="Symbol" w:cs="Symbol" w:hint="default"/>
      </w:rPr>
    </w:lvl>
    <w:lvl w:ilvl="3">
      <w:start w:val="0"/>
      <w:numFmt w:val="bullet"/>
      <w:lvlText w:val=""/>
      <w:lvlJc w:val="left"/>
      <w:pPr>
        <w:tabs>
          <w:tab w:val="num" w:pos="0"/>
        </w:tabs>
        <w:ind w:left="3223" w:hanging="218"/>
      </w:pPr>
      <w:rPr>
        <w:rFonts w:ascii="Symbol" w:hAnsi="Symbol" w:cs="Symbol" w:hint="default"/>
      </w:rPr>
    </w:lvl>
    <w:lvl w:ilvl="4">
      <w:start w:val="0"/>
      <w:numFmt w:val="bullet"/>
      <w:lvlText w:val=""/>
      <w:lvlJc w:val="left"/>
      <w:pPr>
        <w:tabs>
          <w:tab w:val="num" w:pos="0"/>
        </w:tabs>
        <w:ind w:left="4258" w:hanging="218"/>
      </w:pPr>
      <w:rPr>
        <w:rFonts w:ascii="Symbol" w:hAnsi="Symbol" w:cs="Symbol" w:hint="default"/>
      </w:rPr>
    </w:lvl>
    <w:lvl w:ilvl="5">
      <w:start w:val="0"/>
      <w:numFmt w:val="bullet"/>
      <w:lvlText w:val=""/>
      <w:lvlJc w:val="left"/>
      <w:pPr>
        <w:tabs>
          <w:tab w:val="num" w:pos="0"/>
        </w:tabs>
        <w:ind w:left="5292" w:hanging="218"/>
      </w:pPr>
      <w:rPr>
        <w:rFonts w:ascii="Symbol" w:hAnsi="Symbol" w:cs="Symbol" w:hint="default"/>
      </w:rPr>
    </w:lvl>
    <w:lvl w:ilvl="6">
      <w:start w:val="0"/>
      <w:numFmt w:val="bullet"/>
      <w:lvlText w:val=""/>
      <w:lvlJc w:val="left"/>
      <w:pPr>
        <w:tabs>
          <w:tab w:val="num" w:pos="0"/>
        </w:tabs>
        <w:ind w:left="6327" w:hanging="218"/>
      </w:pPr>
      <w:rPr>
        <w:rFonts w:ascii="Symbol" w:hAnsi="Symbol" w:cs="Symbol" w:hint="default"/>
      </w:rPr>
    </w:lvl>
    <w:lvl w:ilvl="7">
      <w:start w:val="0"/>
      <w:numFmt w:val="bullet"/>
      <w:lvlText w:val=""/>
      <w:lvlJc w:val="left"/>
      <w:pPr>
        <w:tabs>
          <w:tab w:val="num" w:pos="0"/>
        </w:tabs>
        <w:ind w:left="7361" w:hanging="218"/>
      </w:pPr>
      <w:rPr>
        <w:rFonts w:ascii="Symbol" w:hAnsi="Symbol" w:cs="Symbol" w:hint="default"/>
      </w:rPr>
    </w:lvl>
    <w:lvl w:ilvl="8">
      <w:start w:val="0"/>
      <w:numFmt w:val="bullet"/>
      <w:lvlText w:val=""/>
      <w:lvlJc w:val="left"/>
      <w:pPr>
        <w:tabs>
          <w:tab w:val="num" w:pos="0"/>
        </w:tabs>
        <w:ind w:left="8396" w:hanging="218"/>
      </w:pPr>
      <w:rPr>
        <w:rFonts w:ascii="Symbol" w:hAnsi="Symbol" w:cs="Symbol" w:hint="default"/>
      </w:rPr>
    </w:lvl>
  </w:abstractNum>
  <w:abstractNum w:abstractNumId="15">
    <w:lvl w:ilvl="0">
      <w:start w:val="1"/>
      <w:numFmt w:val="decimal"/>
      <w:lvlText w:val="(%1)"/>
      <w:lvlJc w:val="left"/>
      <w:pPr>
        <w:tabs>
          <w:tab w:val="num" w:pos="0"/>
        </w:tabs>
        <w:ind w:left="117" w:hanging="218"/>
      </w:pPr>
      <w:rPr>
        <w:sz w:val="20"/>
        <w:szCs w:val="20"/>
      </w:rPr>
    </w:lvl>
    <w:lvl w:ilvl="1">
      <w:start w:val="0"/>
      <w:numFmt w:val="bullet"/>
      <w:lvlText w:val=""/>
      <w:lvlJc w:val="left"/>
      <w:pPr>
        <w:tabs>
          <w:tab w:val="num" w:pos="0"/>
        </w:tabs>
        <w:ind w:left="1154" w:hanging="218"/>
      </w:pPr>
      <w:rPr>
        <w:rFonts w:ascii="Symbol" w:hAnsi="Symbol" w:cs="Symbol" w:hint="default"/>
      </w:rPr>
    </w:lvl>
    <w:lvl w:ilvl="2">
      <w:start w:val="0"/>
      <w:numFmt w:val="bullet"/>
      <w:lvlText w:val=""/>
      <w:lvlJc w:val="left"/>
      <w:pPr>
        <w:tabs>
          <w:tab w:val="num" w:pos="0"/>
        </w:tabs>
        <w:ind w:left="2189" w:hanging="218"/>
      </w:pPr>
      <w:rPr>
        <w:rFonts w:ascii="Symbol" w:hAnsi="Symbol" w:cs="Symbol" w:hint="default"/>
      </w:rPr>
    </w:lvl>
    <w:lvl w:ilvl="3">
      <w:start w:val="0"/>
      <w:numFmt w:val="bullet"/>
      <w:lvlText w:val=""/>
      <w:lvlJc w:val="left"/>
      <w:pPr>
        <w:tabs>
          <w:tab w:val="num" w:pos="0"/>
        </w:tabs>
        <w:ind w:left="3223" w:hanging="218"/>
      </w:pPr>
      <w:rPr>
        <w:rFonts w:ascii="Symbol" w:hAnsi="Symbol" w:cs="Symbol" w:hint="default"/>
      </w:rPr>
    </w:lvl>
    <w:lvl w:ilvl="4">
      <w:start w:val="0"/>
      <w:numFmt w:val="bullet"/>
      <w:lvlText w:val=""/>
      <w:lvlJc w:val="left"/>
      <w:pPr>
        <w:tabs>
          <w:tab w:val="num" w:pos="0"/>
        </w:tabs>
        <w:ind w:left="4258" w:hanging="218"/>
      </w:pPr>
      <w:rPr>
        <w:rFonts w:ascii="Symbol" w:hAnsi="Symbol" w:cs="Symbol" w:hint="default"/>
      </w:rPr>
    </w:lvl>
    <w:lvl w:ilvl="5">
      <w:start w:val="0"/>
      <w:numFmt w:val="bullet"/>
      <w:lvlText w:val=""/>
      <w:lvlJc w:val="left"/>
      <w:pPr>
        <w:tabs>
          <w:tab w:val="num" w:pos="0"/>
        </w:tabs>
        <w:ind w:left="5292" w:hanging="218"/>
      </w:pPr>
      <w:rPr>
        <w:rFonts w:ascii="Symbol" w:hAnsi="Symbol" w:cs="Symbol" w:hint="default"/>
      </w:rPr>
    </w:lvl>
    <w:lvl w:ilvl="6">
      <w:start w:val="0"/>
      <w:numFmt w:val="bullet"/>
      <w:lvlText w:val=""/>
      <w:lvlJc w:val="left"/>
      <w:pPr>
        <w:tabs>
          <w:tab w:val="num" w:pos="0"/>
        </w:tabs>
        <w:ind w:left="6327" w:hanging="218"/>
      </w:pPr>
      <w:rPr>
        <w:rFonts w:ascii="Symbol" w:hAnsi="Symbol" w:cs="Symbol" w:hint="default"/>
      </w:rPr>
    </w:lvl>
    <w:lvl w:ilvl="7">
      <w:start w:val="0"/>
      <w:numFmt w:val="bullet"/>
      <w:lvlText w:val=""/>
      <w:lvlJc w:val="left"/>
      <w:pPr>
        <w:tabs>
          <w:tab w:val="num" w:pos="0"/>
        </w:tabs>
        <w:ind w:left="7361" w:hanging="218"/>
      </w:pPr>
      <w:rPr>
        <w:rFonts w:ascii="Symbol" w:hAnsi="Symbol" w:cs="Symbol" w:hint="default"/>
      </w:rPr>
    </w:lvl>
    <w:lvl w:ilvl="8">
      <w:start w:val="0"/>
      <w:numFmt w:val="bullet"/>
      <w:lvlText w:val=""/>
      <w:lvlJc w:val="left"/>
      <w:pPr>
        <w:tabs>
          <w:tab w:val="num" w:pos="0"/>
        </w:tabs>
        <w:ind w:left="8396" w:hanging="218"/>
      </w:pPr>
      <w:rPr>
        <w:rFonts w:ascii="Symbol" w:hAnsi="Symbol" w:cs="Symbol" w:hint="default"/>
      </w:rPr>
    </w:lvl>
  </w:abstractNum>
  <w:abstractNum w:abstractNumId="16">
    <w:lvl w:ilvl="0">
      <w:start w:val="1"/>
      <w:numFmt w:val="decimal"/>
      <w:lvlText w:val="(%1)"/>
      <w:lvlJc w:val="left"/>
      <w:pPr>
        <w:tabs>
          <w:tab w:val="num" w:pos="0"/>
        </w:tabs>
        <w:ind w:left="117" w:hanging="218"/>
      </w:pPr>
      <w:rPr>
        <w:sz w:val="20"/>
        <w:szCs w:val="20"/>
      </w:rPr>
    </w:lvl>
    <w:lvl w:ilvl="1">
      <w:start w:val="0"/>
      <w:numFmt w:val="bullet"/>
      <w:lvlText w:val=""/>
      <w:lvlJc w:val="left"/>
      <w:pPr>
        <w:tabs>
          <w:tab w:val="num" w:pos="0"/>
        </w:tabs>
        <w:ind w:left="1154" w:hanging="218"/>
      </w:pPr>
      <w:rPr>
        <w:rFonts w:ascii="Symbol" w:hAnsi="Symbol" w:cs="Symbol" w:hint="default"/>
      </w:rPr>
    </w:lvl>
    <w:lvl w:ilvl="2">
      <w:start w:val="0"/>
      <w:numFmt w:val="bullet"/>
      <w:lvlText w:val=""/>
      <w:lvlJc w:val="left"/>
      <w:pPr>
        <w:tabs>
          <w:tab w:val="num" w:pos="0"/>
        </w:tabs>
        <w:ind w:left="2189" w:hanging="218"/>
      </w:pPr>
      <w:rPr>
        <w:rFonts w:ascii="Symbol" w:hAnsi="Symbol" w:cs="Symbol" w:hint="default"/>
      </w:rPr>
    </w:lvl>
    <w:lvl w:ilvl="3">
      <w:start w:val="0"/>
      <w:numFmt w:val="bullet"/>
      <w:lvlText w:val=""/>
      <w:lvlJc w:val="left"/>
      <w:pPr>
        <w:tabs>
          <w:tab w:val="num" w:pos="0"/>
        </w:tabs>
        <w:ind w:left="3223" w:hanging="218"/>
      </w:pPr>
      <w:rPr>
        <w:rFonts w:ascii="Symbol" w:hAnsi="Symbol" w:cs="Symbol" w:hint="default"/>
      </w:rPr>
    </w:lvl>
    <w:lvl w:ilvl="4">
      <w:start w:val="0"/>
      <w:numFmt w:val="bullet"/>
      <w:lvlText w:val=""/>
      <w:lvlJc w:val="left"/>
      <w:pPr>
        <w:tabs>
          <w:tab w:val="num" w:pos="0"/>
        </w:tabs>
        <w:ind w:left="4258" w:hanging="218"/>
      </w:pPr>
      <w:rPr>
        <w:rFonts w:ascii="Symbol" w:hAnsi="Symbol" w:cs="Symbol" w:hint="default"/>
      </w:rPr>
    </w:lvl>
    <w:lvl w:ilvl="5">
      <w:start w:val="0"/>
      <w:numFmt w:val="bullet"/>
      <w:lvlText w:val=""/>
      <w:lvlJc w:val="left"/>
      <w:pPr>
        <w:tabs>
          <w:tab w:val="num" w:pos="0"/>
        </w:tabs>
        <w:ind w:left="5292" w:hanging="218"/>
      </w:pPr>
      <w:rPr>
        <w:rFonts w:ascii="Symbol" w:hAnsi="Symbol" w:cs="Symbol" w:hint="default"/>
      </w:rPr>
    </w:lvl>
    <w:lvl w:ilvl="6">
      <w:start w:val="0"/>
      <w:numFmt w:val="bullet"/>
      <w:lvlText w:val=""/>
      <w:lvlJc w:val="left"/>
      <w:pPr>
        <w:tabs>
          <w:tab w:val="num" w:pos="0"/>
        </w:tabs>
        <w:ind w:left="6327" w:hanging="218"/>
      </w:pPr>
      <w:rPr>
        <w:rFonts w:ascii="Symbol" w:hAnsi="Symbol" w:cs="Symbol" w:hint="default"/>
      </w:rPr>
    </w:lvl>
    <w:lvl w:ilvl="7">
      <w:start w:val="0"/>
      <w:numFmt w:val="bullet"/>
      <w:lvlText w:val=""/>
      <w:lvlJc w:val="left"/>
      <w:pPr>
        <w:tabs>
          <w:tab w:val="num" w:pos="0"/>
        </w:tabs>
        <w:ind w:left="7361" w:hanging="218"/>
      </w:pPr>
      <w:rPr>
        <w:rFonts w:ascii="Symbol" w:hAnsi="Symbol" w:cs="Symbol" w:hint="default"/>
      </w:rPr>
    </w:lvl>
    <w:lvl w:ilvl="8">
      <w:start w:val="0"/>
      <w:numFmt w:val="bullet"/>
      <w:lvlText w:val=""/>
      <w:lvlJc w:val="left"/>
      <w:pPr>
        <w:tabs>
          <w:tab w:val="num" w:pos="0"/>
        </w:tabs>
        <w:ind w:left="8396" w:hanging="218"/>
      </w:pPr>
      <w:rPr>
        <w:rFonts w:ascii="Symbol" w:hAnsi="Symbol" w:cs="Symbol" w:hint="default"/>
      </w:rPr>
    </w:lvl>
  </w:abstractNum>
  <w:abstractNum w:abstractNumId="17">
    <w:lvl w:ilvl="0">
      <w:start w:val="1"/>
      <w:numFmt w:val="decimal"/>
      <w:lvlText w:val="(%1)"/>
      <w:lvlJc w:val="left"/>
      <w:pPr>
        <w:tabs>
          <w:tab w:val="num" w:pos="0"/>
        </w:tabs>
        <w:ind w:left="117" w:hanging="218"/>
      </w:pPr>
      <w:rPr>
        <w:sz w:val="20"/>
        <w:szCs w:val="20"/>
      </w:rPr>
    </w:lvl>
    <w:lvl w:ilvl="1">
      <w:start w:val="0"/>
      <w:numFmt w:val="bullet"/>
      <w:lvlText w:val=""/>
      <w:lvlJc w:val="left"/>
      <w:pPr>
        <w:tabs>
          <w:tab w:val="num" w:pos="0"/>
        </w:tabs>
        <w:ind w:left="1154" w:hanging="218"/>
      </w:pPr>
      <w:rPr>
        <w:rFonts w:ascii="Symbol" w:hAnsi="Symbol" w:cs="Symbol" w:hint="default"/>
      </w:rPr>
    </w:lvl>
    <w:lvl w:ilvl="2">
      <w:start w:val="0"/>
      <w:numFmt w:val="bullet"/>
      <w:lvlText w:val=""/>
      <w:lvlJc w:val="left"/>
      <w:pPr>
        <w:tabs>
          <w:tab w:val="num" w:pos="0"/>
        </w:tabs>
        <w:ind w:left="2189" w:hanging="218"/>
      </w:pPr>
      <w:rPr>
        <w:rFonts w:ascii="Symbol" w:hAnsi="Symbol" w:cs="Symbol" w:hint="default"/>
      </w:rPr>
    </w:lvl>
    <w:lvl w:ilvl="3">
      <w:start w:val="0"/>
      <w:numFmt w:val="bullet"/>
      <w:lvlText w:val=""/>
      <w:lvlJc w:val="left"/>
      <w:pPr>
        <w:tabs>
          <w:tab w:val="num" w:pos="0"/>
        </w:tabs>
        <w:ind w:left="3223" w:hanging="218"/>
      </w:pPr>
      <w:rPr>
        <w:rFonts w:ascii="Symbol" w:hAnsi="Symbol" w:cs="Symbol" w:hint="default"/>
      </w:rPr>
    </w:lvl>
    <w:lvl w:ilvl="4">
      <w:start w:val="0"/>
      <w:numFmt w:val="bullet"/>
      <w:lvlText w:val=""/>
      <w:lvlJc w:val="left"/>
      <w:pPr>
        <w:tabs>
          <w:tab w:val="num" w:pos="0"/>
        </w:tabs>
        <w:ind w:left="4258" w:hanging="218"/>
      </w:pPr>
      <w:rPr>
        <w:rFonts w:ascii="Symbol" w:hAnsi="Symbol" w:cs="Symbol" w:hint="default"/>
      </w:rPr>
    </w:lvl>
    <w:lvl w:ilvl="5">
      <w:start w:val="0"/>
      <w:numFmt w:val="bullet"/>
      <w:lvlText w:val=""/>
      <w:lvlJc w:val="left"/>
      <w:pPr>
        <w:tabs>
          <w:tab w:val="num" w:pos="0"/>
        </w:tabs>
        <w:ind w:left="5292" w:hanging="218"/>
      </w:pPr>
      <w:rPr>
        <w:rFonts w:ascii="Symbol" w:hAnsi="Symbol" w:cs="Symbol" w:hint="default"/>
      </w:rPr>
    </w:lvl>
    <w:lvl w:ilvl="6">
      <w:start w:val="0"/>
      <w:numFmt w:val="bullet"/>
      <w:lvlText w:val=""/>
      <w:lvlJc w:val="left"/>
      <w:pPr>
        <w:tabs>
          <w:tab w:val="num" w:pos="0"/>
        </w:tabs>
        <w:ind w:left="6327" w:hanging="218"/>
      </w:pPr>
      <w:rPr>
        <w:rFonts w:ascii="Symbol" w:hAnsi="Symbol" w:cs="Symbol" w:hint="default"/>
      </w:rPr>
    </w:lvl>
    <w:lvl w:ilvl="7">
      <w:start w:val="0"/>
      <w:numFmt w:val="bullet"/>
      <w:lvlText w:val=""/>
      <w:lvlJc w:val="left"/>
      <w:pPr>
        <w:tabs>
          <w:tab w:val="num" w:pos="0"/>
        </w:tabs>
        <w:ind w:left="7361" w:hanging="218"/>
      </w:pPr>
      <w:rPr>
        <w:rFonts w:ascii="Symbol" w:hAnsi="Symbol" w:cs="Symbol" w:hint="default"/>
      </w:rPr>
    </w:lvl>
    <w:lvl w:ilvl="8">
      <w:start w:val="0"/>
      <w:numFmt w:val="bullet"/>
      <w:lvlText w:val=""/>
      <w:lvlJc w:val="left"/>
      <w:pPr>
        <w:tabs>
          <w:tab w:val="num" w:pos="0"/>
        </w:tabs>
        <w:ind w:left="8396" w:hanging="218"/>
      </w:pPr>
      <w:rPr>
        <w:rFonts w:ascii="Symbol" w:hAnsi="Symbol" w:cs="Symbol" w:hint="default"/>
      </w:rPr>
    </w:lvl>
  </w:abstractNum>
  <w:abstractNum w:abstractNumId="18">
    <w:lvl w:ilvl="0">
      <w:start w:val="1"/>
      <w:numFmt w:val="decimal"/>
      <w:lvlText w:val="(%1)"/>
      <w:lvlJc w:val="left"/>
      <w:pPr>
        <w:tabs>
          <w:tab w:val="num" w:pos="0"/>
        </w:tabs>
        <w:ind w:left="117" w:hanging="218"/>
      </w:pPr>
      <w:rPr>
        <w:sz w:val="20"/>
        <w:szCs w:val="20"/>
      </w:rPr>
    </w:lvl>
    <w:lvl w:ilvl="1">
      <w:start w:val="0"/>
      <w:numFmt w:val="bullet"/>
      <w:lvlText w:val=""/>
      <w:lvlJc w:val="left"/>
      <w:pPr>
        <w:tabs>
          <w:tab w:val="num" w:pos="0"/>
        </w:tabs>
        <w:ind w:left="1154" w:hanging="218"/>
      </w:pPr>
      <w:rPr>
        <w:rFonts w:ascii="Symbol" w:hAnsi="Symbol" w:cs="Symbol" w:hint="default"/>
      </w:rPr>
    </w:lvl>
    <w:lvl w:ilvl="2">
      <w:start w:val="0"/>
      <w:numFmt w:val="bullet"/>
      <w:lvlText w:val=""/>
      <w:lvlJc w:val="left"/>
      <w:pPr>
        <w:tabs>
          <w:tab w:val="num" w:pos="0"/>
        </w:tabs>
        <w:ind w:left="2189" w:hanging="218"/>
      </w:pPr>
      <w:rPr>
        <w:rFonts w:ascii="Symbol" w:hAnsi="Symbol" w:cs="Symbol" w:hint="default"/>
      </w:rPr>
    </w:lvl>
    <w:lvl w:ilvl="3">
      <w:start w:val="0"/>
      <w:numFmt w:val="bullet"/>
      <w:lvlText w:val=""/>
      <w:lvlJc w:val="left"/>
      <w:pPr>
        <w:tabs>
          <w:tab w:val="num" w:pos="0"/>
        </w:tabs>
        <w:ind w:left="3223" w:hanging="218"/>
      </w:pPr>
      <w:rPr>
        <w:rFonts w:ascii="Symbol" w:hAnsi="Symbol" w:cs="Symbol" w:hint="default"/>
      </w:rPr>
    </w:lvl>
    <w:lvl w:ilvl="4">
      <w:start w:val="0"/>
      <w:numFmt w:val="bullet"/>
      <w:lvlText w:val=""/>
      <w:lvlJc w:val="left"/>
      <w:pPr>
        <w:tabs>
          <w:tab w:val="num" w:pos="0"/>
        </w:tabs>
        <w:ind w:left="4258" w:hanging="218"/>
      </w:pPr>
      <w:rPr>
        <w:rFonts w:ascii="Symbol" w:hAnsi="Symbol" w:cs="Symbol" w:hint="default"/>
      </w:rPr>
    </w:lvl>
    <w:lvl w:ilvl="5">
      <w:start w:val="0"/>
      <w:numFmt w:val="bullet"/>
      <w:lvlText w:val=""/>
      <w:lvlJc w:val="left"/>
      <w:pPr>
        <w:tabs>
          <w:tab w:val="num" w:pos="0"/>
        </w:tabs>
        <w:ind w:left="5292" w:hanging="218"/>
      </w:pPr>
      <w:rPr>
        <w:rFonts w:ascii="Symbol" w:hAnsi="Symbol" w:cs="Symbol" w:hint="default"/>
      </w:rPr>
    </w:lvl>
    <w:lvl w:ilvl="6">
      <w:start w:val="0"/>
      <w:numFmt w:val="bullet"/>
      <w:lvlText w:val=""/>
      <w:lvlJc w:val="left"/>
      <w:pPr>
        <w:tabs>
          <w:tab w:val="num" w:pos="0"/>
        </w:tabs>
        <w:ind w:left="6327" w:hanging="218"/>
      </w:pPr>
      <w:rPr>
        <w:rFonts w:ascii="Symbol" w:hAnsi="Symbol" w:cs="Symbol" w:hint="default"/>
      </w:rPr>
    </w:lvl>
    <w:lvl w:ilvl="7">
      <w:start w:val="0"/>
      <w:numFmt w:val="bullet"/>
      <w:lvlText w:val=""/>
      <w:lvlJc w:val="left"/>
      <w:pPr>
        <w:tabs>
          <w:tab w:val="num" w:pos="0"/>
        </w:tabs>
        <w:ind w:left="7361" w:hanging="218"/>
      </w:pPr>
      <w:rPr>
        <w:rFonts w:ascii="Symbol" w:hAnsi="Symbol" w:cs="Symbol" w:hint="default"/>
      </w:rPr>
    </w:lvl>
    <w:lvl w:ilvl="8">
      <w:start w:val="0"/>
      <w:numFmt w:val="bullet"/>
      <w:lvlText w:val=""/>
      <w:lvlJc w:val="left"/>
      <w:pPr>
        <w:tabs>
          <w:tab w:val="num" w:pos="0"/>
        </w:tabs>
        <w:ind w:left="8396" w:hanging="218"/>
      </w:pPr>
      <w:rPr>
        <w:rFonts w:ascii="Symbol" w:hAnsi="Symbol" w:cs="Symbol" w:hint="default"/>
      </w:rPr>
    </w:lvl>
  </w:abstractNum>
  <w:abstractNum w:abstractNumId="19">
    <w:lvl w:ilvl="0">
      <w:start w:val="1"/>
      <w:numFmt w:val="decimal"/>
      <w:lvlText w:val="(%1)"/>
      <w:lvlJc w:val="left"/>
      <w:pPr>
        <w:tabs>
          <w:tab w:val="num" w:pos="0"/>
        </w:tabs>
        <w:ind w:left="117" w:hanging="218"/>
      </w:pPr>
      <w:rPr>
        <w:sz w:val="20"/>
        <w:szCs w:val="20"/>
      </w:rPr>
    </w:lvl>
    <w:lvl w:ilvl="1">
      <w:start w:val="0"/>
      <w:numFmt w:val="bullet"/>
      <w:lvlText w:val=""/>
      <w:lvlJc w:val="left"/>
      <w:pPr>
        <w:tabs>
          <w:tab w:val="num" w:pos="0"/>
        </w:tabs>
        <w:ind w:left="1154" w:hanging="218"/>
      </w:pPr>
      <w:rPr>
        <w:rFonts w:ascii="Symbol" w:hAnsi="Symbol" w:cs="Symbol" w:hint="default"/>
      </w:rPr>
    </w:lvl>
    <w:lvl w:ilvl="2">
      <w:start w:val="0"/>
      <w:numFmt w:val="bullet"/>
      <w:lvlText w:val=""/>
      <w:lvlJc w:val="left"/>
      <w:pPr>
        <w:tabs>
          <w:tab w:val="num" w:pos="0"/>
        </w:tabs>
        <w:ind w:left="2189" w:hanging="218"/>
      </w:pPr>
      <w:rPr>
        <w:rFonts w:ascii="Symbol" w:hAnsi="Symbol" w:cs="Symbol" w:hint="default"/>
      </w:rPr>
    </w:lvl>
    <w:lvl w:ilvl="3">
      <w:start w:val="0"/>
      <w:numFmt w:val="bullet"/>
      <w:lvlText w:val=""/>
      <w:lvlJc w:val="left"/>
      <w:pPr>
        <w:tabs>
          <w:tab w:val="num" w:pos="0"/>
        </w:tabs>
        <w:ind w:left="3223" w:hanging="218"/>
      </w:pPr>
      <w:rPr>
        <w:rFonts w:ascii="Symbol" w:hAnsi="Symbol" w:cs="Symbol" w:hint="default"/>
      </w:rPr>
    </w:lvl>
    <w:lvl w:ilvl="4">
      <w:start w:val="0"/>
      <w:numFmt w:val="bullet"/>
      <w:lvlText w:val=""/>
      <w:lvlJc w:val="left"/>
      <w:pPr>
        <w:tabs>
          <w:tab w:val="num" w:pos="0"/>
        </w:tabs>
        <w:ind w:left="4258" w:hanging="218"/>
      </w:pPr>
      <w:rPr>
        <w:rFonts w:ascii="Symbol" w:hAnsi="Symbol" w:cs="Symbol" w:hint="default"/>
      </w:rPr>
    </w:lvl>
    <w:lvl w:ilvl="5">
      <w:start w:val="0"/>
      <w:numFmt w:val="bullet"/>
      <w:lvlText w:val=""/>
      <w:lvlJc w:val="left"/>
      <w:pPr>
        <w:tabs>
          <w:tab w:val="num" w:pos="0"/>
        </w:tabs>
        <w:ind w:left="5292" w:hanging="218"/>
      </w:pPr>
      <w:rPr>
        <w:rFonts w:ascii="Symbol" w:hAnsi="Symbol" w:cs="Symbol" w:hint="default"/>
      </w:rPr>
    </w:lvl>
    <w:lvl w:ilvl="6">
      <w:start w:val="0"/>
      <w:numFmt w:val="bullet"/>
      <w:lvlText w:val=""/>
      <w:lvlJc w:val="left"/>
      <w:pPr>
        <w:tabs>
          <w:tab w:val="num" w:pos="0"/>
        </w:tabs>
        <w:ind w:left="6327" w:hanging="218"/>
      </w:pPr>
      <w:rPr>
        <w:rFonts w:ascii="Symbol" w:hAnsi="Symbol" w:cs="Symbol" w:hint="default"/>
      </w:rPr>
    </w:lvl>
    <w:lvl w:ilvl="7">
      <w:start w:val="0"/>
      <w:numFmt w:val="bullet"/>
      <w:lvlText w:val=""/>
      <w:lvlJc w:val="left"/>
      <w:pPr>
        <w:tabs>
          <w:tab w:val="num" w:pos="0"/>
        </w:tabs>
        <w:ind w:left="7361" w:hanging="218"/>
      </w:pPr>
      <w:rPr>
        <w:rFonts w:ascii="Symbol" w:hAnsi="Symbol" w:cs="Symbol" w:hint="default"/>
      </w:rPr>
    </w:lvl>
    <w:lvl w:ilvl="8">
      <w:start w:val="0"/>
      <w:numFmt w:val="bullet"/>
      <w:lvlText w:val=""/>
      <w:lvlJc w:val="left"/>
      <w:pPr>
        <w:tabs>
          <w:tab w:val="num" w:pos="0"/>
        </w:tabs>
        <w:ind w:left="8396" w:hanging="218"/>
      </w:pPr>
      <w:rPr>
        <w:rFonts w:ascii="Symbol" w:hAnsi="Symbol" w:cs="Symbol" w:hint="default"/>
      </w:rPr>
    </w:lvl>
  </w:abstractNum>
  <w:abstractNum w:abstractNumId="2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
    <w:lvlOverride w:ilvl="0">
      <w:startOverride w:val="1"/>
    </w:lvlOverride>
  </w:num>
  <w:num w:numId="22">
    <w:abstractNumId w:val="1"/>
    <w:lvlOverride w:ilvl="0">
      <w:startOverride w:val="1"/>
    </w:lvlOverride>
  </w:num>
  <w:num w:numId="23">
    <w:abstractNumId w:val="1"/>
    <w:lvlOverride w:ilvl="0">
      <w:startOverride w:val="1"/>
    </w:lvlOverride>
  </w:num>
  <w:num w:numId="24">
    <w:abstractNumId w:val="1"/>
    <w:lvlOverride w:ilvl="0">
      <w:startOverride w:val="1"/>
    </w:lvlOverride>
  </w:num>
  <w:num w:numId="25">
    <w:abstractNumId w:val="1"/>
    <w:lvlOverride w:ilvl="0">
      <w:startOverride w:val="1"/>
    </w:lvlOverride>
  </w:num>
  <w:num w:numId="26">
    <w:abstractNumId w:val="1"/>
    <w:lvlOverride w:ilvl="0">
      <w:startOverride w:val="1"/>
    </w:lvlOverride>
  </w:num>
  <w:num w:numId="27">
    <w:abstractNumId w:val="1"/>
    <w:lvlOverride w:ilvl="0">
      <w:startOverride w:val="1"/>
    </w:lvlOverride>
  </w:num>
</w:numbering>
</file>

<file path=word/settings.xml><?xml version="1.0" encoding="utf-8"?>
<w:settings xmlns:w="http://schemas.openxmlformats.org/wordprocessingml/2006/main">
  <w:zoom w:percent="18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s-ES" w:eastAsia="es-E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76" w:before="1" w:after="200"/>
      <w:ind w:right="567" w:hanging="0"/>
      <w:jc w:val="both"/>
    </w:pPr>
    <w:rPr>
      <w:rFonts w:ascii="Arial" w:hAnsi="Arial" w:eastAsia="Calibri" w:cs="Times New Roman"/>
      <w:color w:val="auto"/>
      <w:kern w:val="0"/>
      <w:sz w:val="20"/>
      <w:szCs w:val="20"/>
      <w:lang w:val="es-ES" w:eastAsia="en-US" w:bidi="ar-SA"/>
    </w:rPr>
  </w:style>
  <w:style w:type="paragraph" w:styleId="Ttulo1">
    <w:name w:val="Heading 1"/>
    <w:basedOn w:val="Normal"/>
    <w:link w:val="Ttulo1Car"/>
    <w:qFormat/>
    <w:rsid w:val="00df26ad"/>
    <w:pPr>
      <w:widowControl w:val="false"/>
      <w:spacing w:lineRule="auto" w:line="240" w:before="32" w:after="0"/>
      <w:ind w:left="223" w:right="567" w:hanging="0"/>
      <w:outlineLvl w:val="0"/>
    </w:pPr>
    <w:rPr>
      <w:rFonts w:cs="Calibri"/>
      <w:b/>
      <w:bCs/>
      <w:sz w:val="21"/>
      <w:szCs w:val="21"/>
      <w:u w:val="single" w:color="000000"/>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link w:val="Encabezado"/>
    <w:uiPriority w:val="99"/>
    <w:qFormat/>
    <w:rsid w:val="00a0113c"/>
    <w:rPr/>
  </w:style>
  <w:style w:type="character" w:styleId="PiedepginaCar" w:customStyle="1">
    <w:name w:val="Pie de página Car"/>
    <w:basedOn w:val="DefaultParagraphFont"/>
    <w:link w:val="Piedepgina"/>
    <w:uiPriority w:val="99"/>
    <w:qFormat/>
    <w:rsid w:val="00a0113c"/>
    <w:rPr/>
  </w:style>
  <w:style w:type="character" w:styleId="TextodegloboCar" w:customStyle="1">
    <w:name w:val="Texto de globo Car"/>
    <w:link w:val="Textodeglobo"/>
    <w:uiPriority w:val="99"/>
    <w:semiHidden/>
    <w:qFormat/>
    <w:rsid w:val="005a769a"/>
    <w:rPr>
      <w:rFonts w:ascii="Tahoma" w:hAnsi="Tahoma" w:cs="Tahoma"/>
      <w:sz w:val="16"/>
      <w:szCs w:val="16"/>
    </w:rPr>
  </w:style>
  <w:style w:type="character" w:styleId="Ttulo1Car" w:customStyle="1">
    <w:name w:val="Título 1 Car"/>
    <w:link w:val="Ttulo1"/>
    <w:uiPriority w:val="1"/>
    <w:qFormat/>
    <w:rsid w:val="00df26ad"/>
    <w:rPr>
      <w:rFonts w:ascii="Calibri" w:hAnsi="Calibri" w:eastAsia="Calibri" w:cs="Calibri"/>
      <w:b/>
      <w:bCs/>
      <w:sz w:val="21"/>
      <w:szCs w:val="21"/>
      <w:u w:val="single" w:color="000000"/>
    </w:rPr>
  </w:style>
  <w:style w:type="character" w:styleId="TextoindependienteCar" w:customStyle="1">
    <w:name w:val="Texto independiente Car"/>
    <w:link w:val="Textoindependiente"/>
    <w:uiPriority w:val="1"/>
    <w:qFormat/>
    <w:rsid w:val="00df26ad"/>
    <w:rPr>
      <w:rFonts w:ascii="Calibri" w:hAnsi="Calibri" w:eastAsia="Calibri" w:cs="Calibri"/>
      <w:sz w:val="21"/>
      <w:szCs w:val="21"/>
    </w:rPr>
  </w:style>
  <w:style w:type="character" w:styleId="Smbolosdenumeracin">
    <w:name w:val="Símbolos de numeración"/>
    <w:qFormat/>
    <w:rPr>
      <w:rFonts w:ascii="Arial" w:hAnsi="Arial"/>
      <w:sz w:val="20"/>
      <w:szCs w:val="20"/>
    </w:rPr>
  </w:style>
  <w:style w:type="character" w:styleId="Vietas">
    <w:name w:val="Viñetas"/>
    <w:qFormat/>
    <w:rPr>
      <w:rFonts w:ascii="OpenSymbol" w:hAnsi="OpenSymbol" w:eastAsia="OpenSymbol" w:cs="OpenSymbol"/>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independienteCar"/>
    <w:qFormat/>
    <w:rsid w:val="00df26ad"/>
    <w:pPr>
      <w:widowControl w:val="false"/>
      <w:spacing w:lineRule="auto" w:line="240" w:before="0" w:after="0"/>
      <w:ind w:left="223" w:right="567" w:hanging="0"/>
    </w:pPr>
    <w:rPr>
      <w:rFonts w:cs="Calibri"/>
      <w:sz w:val="21"/>
      <w:szCs w:val="21"/>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eastAsia="zxx" w:bidi="zxx"/>
    </w:rPr>
  </w:style>
  <w:style w:type="paragraph" w:styleId="Cabeceraypie">
    <w:name w:val="Cabecera y pie"/>
    <w:basedOn w:val="Normal"/>
    <w:qFormat/>
    <w:pPr/>
    <w:rPr/>
  </w:style>
  <w:style w:type="paragraph" w:styleId="Cabecera">
    <w:name w:val="Header"/>
    <w:basedOn w:val="Normal"/>
    <w:link w:val="EncabezadoCar"/>
    <w:uiPriority w:val="99"/>
    <w:unhideWhenUsed/>
    <w:rsid w:val="00a0113c"/>
    <w:pPr>
      <w:tabs>
        <w:tab w:val="clear" w:pos="708"/>
        <w:tab w:val="center" w:pos="4252" w:leader="none"/>
        <w:tab w:val="right" w:pos="8504" w:leader="none"/>
      </w:tabs>
      <w:spacing w:lineRule="auto" w:line="240" w:before="0" w:after="0"/>
    </w:pPr>
    <w:rPr/>
  </w:style>
  <w:style w:type="paragraph" w:styleId="Piedepgina">
    <w:name w:val="Footer"/>
    <w:basedOn w:val="Normal"/>
    <w:link w:val="PiedepginaCar"/>
    <w:uiPriority w:val="99"/>
    <w:unhideWhenUsed/>
    <w:rsid w:val="00a0113c"/>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globoCar"/>
    <w:uiPriority w:val="99"/>
    <w:semiHidden/>
    <w:unhideWhenUsed/>
    <w:qFormat/>
    <w:rsid w:val="005a769a"/>
    <w:pPr>
      <w:spacing w:lineRule="auto" w:line="240" w:before="0" w:after="0"/>
    </w:pPr>
    <w:rPr>
      <w:rFonts w:ascii="Tahoma" w:hAnsi="Tahoma" w:cs="Tahoma"/>
      <w:sz w:val="16"/>
      <w:szCs w:val="16"/>
    </w:rPr>
  </w:style>
  <w:style w:type="paragraph" w:styleId="NormalWeb">
    <w:name w:val="Normal (Web)"/>
    <w:basedOn w:val="Normal"/>
    <w:unhideWhenUsed/>
    <w:qFormat/>
    <w:rsid w:val="0050136b"/>
    <w:pPr/>
    <w:rPr>
      <w:rFonts w:ascii="Times New Roman" w:hAnsi="Times New Roman"/>
      <w:sz w:val="24"/>
      <w:szCs w:val="24"/>
    </w:rPr>
  </w:style>
  <w:style w:type="paragraph" w:styleId="ListParagraph" w:customStyle="1">
    <w:name w:val="List Paragraph"/>
    <w:basedOn w:val="Normal"/>
    <w:qFormat/>
    <w:rsid w:val="006217f2"/>
    <w:pPr>
      <w:widowControl w:val="false"/>
      <w:tabs>
        <w:tab w:val="clear" w:pos="708"/>
      </w:tabs>
      <w:suppressAutoHyphens w:val="true"/>
      <w:spacing w:lineRule="auto" w:line="240" w:before="0" w:after="113"/>
      <w:ind w:left="0" w:right="0" w:hanging="0"/>
      <w:jc w:val="both"/>
      <w:textAlignment w:val="baseline"/>
    </w:pPr>
    <w:rPr>
      <w:rFonts w:ascii="Arial" w:hAnsi="Arial" w:eastAsia="Verdana" w:cs="Verdana"/>
      <w:sz w:val="20"/>
      <w:lang w:eastAsia="es-ES" w:bidi="es-ES"/>
    </w:rPr>
  </w:style>
  <w:style w:type="paragraph" w:styleId="TableParagraph" w:customStyle="1">
    <w:name w:val="Table Paragraph"/>
    <w:basedOn w:val="Normal"/>
    <w:uiPriority w:val="1"/>
    <w:qFormat/>
    <w:rsid w:val="00df26ad"/>
    <w:pPr>
      <w:widowControl w:val="false"/>
      <w:spacing w:lineRule="auto" w:line="240" w:before="0" w:after="0"/>
    </w:pPr>
    <w:rPr>
      <w:rFonts w:cs="Calibri"/>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a0113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1">
    <w:name w:val="Tabla con cuadrícula1"/>
    <w:basedOn w:val="Tablanormal"/>
    <w:uiPriority w:val="59"/>
    <w:rsid w:val="0050136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
    <w:name w:val="Table Normal"/>
    <w:uiPriority w:val="2"/>
    <w:semiHidden/>
    <w:unhideWhenUsed/>
    <w:qFormat/>
    <w:rsid w:val="00df26ad"/>
    <w:rPr>
      <w:lang w:val="en-US" w:eastAsia="en-US"/>
      <w:sz w:val="22"/>
      <w:szCs w:val="22"/>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 Bases incentivos Queda en Mos 22-23 (castellano)</Template>
  <TotalTime>56</TotalTime>
  <Application>LibreOffice/6.4.5.2$Windows_X86_64 LibreOffice_project/a726b36747cf2001e06b58ad5db1aa3a9a1872d6</Application>
  <Pages>6</Pages>
  <Words>4139</Words>
  <Characters>22279</Characters>
  <CharactersWithSpaces>26276</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2023-06-20T16:40:00Z</dcterms:created>
  <dc:creator>admin OE</dc:creator>
  <dc:description/>
  <dc:language>es-ES</dc:language>
  <cp:lastModifiedBy/>
  <cp:lastPrinted>2019-08-09T08:05:00Z</cp:lastPrinted>
  <dcterms:modified xsi:type="dcterms:W3CDTF">2023-07-20T10:56:55Z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