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header1.xml" ContentType="application/vnd.openxmlformats-officedocument.wordprocessingml.header+xml"/>
  <Override PartName="/word/media/image1.png" ContentType="image/png"/>
  <Override PartName="/word/media/image2.png" ContentType="image/png"/>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footer1.xml.rels" ContentType="application/vnd.openxmlformats-package.relationships+xml"/>
  <Override PartName="/word/_rels/document.xml.rels" ContentType="application/vnd.openxmlformats-package.relationships+xml"/>
  <Override PartName="/word/_rels/header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lineRule="auto" w:line="240"/>
        <w:jc w:val="both"/>
        <w:rPr>
          <w:rFonts w:ascii="Arial" w:hAnsi="Arial" w:cs="Arial"/>
          <w:b/>
          <w:b/>
          <w:lang w:val="ca-ES"/>
        </w:rPr>
      </w:pPr>
      <w:r>
        <w:rPr>
          <w:b/>
          <w:lang w:val="es-ES"/>
        </w:rPr>
        <w:t>Edicto de aprobación de la convocatoria del otorgamiento de ayudas para la adquisición de material escolar curso 2023/2024.</w:t>
      </w:r>
    </w:p>
    <w:p>
      <w:pPr>
        <w:pStyle w:val="Normal"/>
        <w:spacing w:lineRule="auto" w:line="240"/>
        <w:jc w:val="both"/>
        <w:rPr>
          <w:rFonts w:ascii="Arial" w:hAnsi="Arial" w:cs="Arial"/>
          <w:lang w:val="ca-ES"/>
        </w:rPr>
      </w:pPr>
      <w:r>
        <w:rPr>
          <w:lang w:val="es-ES"/>
        </w:rPr>
        <w:t xml:space="preserve">De conformidad con lo previsto en los artículos 17.3.b y 20.8.a de la Ley 38/2003, de 17 de noviembre, General de Subvenciones, se publica el extracto de la convocatoria en la que el texto completo se puede consultar en la Base de Datos Nacional de Subvenciones (http://www.pap.minhap.gob.es/bdnstrans/index) </w:t>
      </w:r>
    </w:p>
    <w:p>
      <w:pPr>
        <w:pStyle w:val="Normal"/>
        <w:spacing w:lineRule="auto" w:line="240"/>
        <w:jc w:val="both"/>
        <w:rPr>
          <w:rFonts w:ascii="Arial" w:hAnsi="Arial" w:cs="Arial"/>
          <w:b/>
          <w:b/>
          <w:lang w:val="ca-ES"/>
        </w:rPr>
      </w:pPr>
      <w:r>
        <w:rPr>
          <w:b/>
          <w:lang w:val="es-ES"/>
        </w:rPr>
        <w:t>Primero. Beneficiarios</w:t>
      </w:r>
    </w:p>
    <w:p>
      <w:pPr>
        <w:pStyle w:val="Normal"/>
        <w:spacing w:lineRule="auto" w:line="240"/>
        <w:jc w:val="both"/>
        <w:rPr>
          <w:rFonts w:ascii="Arial" w:hAnsi="Arial" w:cs="Arial"/>
          <w:lang w:val="ca-ES"/>
        </w:rPr>
      </w:pPr>
      <w:r>
        <w:rPr>
          <w:lang w:val="es-ES"/>
        </w:rPr>
        <w:t>Los alumnos empadronados en Santa Coloma de Farners matriculados en centros públicos o en centros privados concertados del municipio, que cursen educación infantil, primaria o secundaria, que reúnan los requisitos de la convocatoria y no estén afectados por ninguna prohibición para ser beneficiarios de las señaladas en el artículo 13 de la Ley general de subvenciones.</w:t>
      </w:r>
    </w:p>
    <w:p>
      <w:pPr>
        <w:pStyle w:val="Normal"/>
        <w:spacing w:lineRule="auto" w:line="240"/>
        <w:jc w:val="both"/>
        <w:rPr>
          <w:rFonts w:ascii="Arial" w:hAnsi="Arial" w:cs="Arial"/>
          <w:b/>
          <w:b/>
          <w:lang w:val="ca-ES"/>
        </w:rPr>
      </w:pPr>
      <w:r>
        <w:rPr>
          <w:b/>
          <w:lang w:val="es-ES"/>
        </w:rPr>
        <w:t>Segundo. Objeto</w:t>
      </w:r>
    </w:p>
    <w:p>
      <w:pPr>
        <w:pStyle w:val="Normal"/>
        <w:spacing w:lineRule="auto" w:line="240"/>
        <w:jc w:val="both"/>
        <w:rPr>
          <w:rFonts w:ascii="Arial" w:hAnsi="Arial" w:cs="Arial"/>
          <w:lang w:val="ca-ES"/>
        </w:rPr>
      </w:pPr>
      <w:r>
        <w:rPr>
          <w:lang w:val="es-ES"/>
        </w:rPr>
        <w:t>El objeto de las subvenciones es el otorgamiento de ayudas para la adquisición de libros y material escolar, con el fin de favorecer la integración social de los niños en su entorno más inmediato que es su municipio.</w:t>
      </w:r>
    </w:p>
    <w:p>
      <w:pPr>
        <w:pStyle w:val="Normal"/>
        <w:spacing w:lineRule="auto" w:line="240"/>
        <w:jc w:val="both"/>
        <w:rPr>
          <w:rFonts w:ascii="Arial" w:hAnsi="Arial" w:cs="Arial"/>
          <w:b/>
          <w:b/>
          <w:lang w:val="ca-ES"/>
        </w:rPr>
      </w:pPr>
      <w:r>
        <w:rPr>
          <w:b/>
          <w:lang w:val="es-ES"/>
        </w:rPr>
        <w:t>Tercero. Bases reguladoras</w:t>
      </w:r>
    </w:p>
    <w:p>
      <w:pPr>
        <w:pStyle w:val="Normal"/>
        <w:spacing w:lineRule="auto" w:line="240"/>
        <w:jc w:val="both"/>
        <w:rPr>
          <w:rFonts w:ascii="Arial" w:hAnsi="Arial" w:cs="Arial"/>
          <w:lang w:val="ca-ES"/>
        </w:rPr>
      </w:pPr>
      <w:r>
        <w:rPr>
          <w:lang w:val="es-ES"/>
        </w:rPr>
        <w:t>La convocatoria se realiza de conformidad con la Ordenanza reguladora de la concesión de subvenciones escolares (BOP de Girona núm. 156, de fecha 17 de agosto de 2016).</w:t>
      </w:r>
    </w:p>
    <w:p>
      <w:pPr>
        <w:pStyle w:val="Normal"/>
        <w:spacing w:lineRule="auto" w:line="240"/>
        <w:jc w:val="both"/>
        <w:rPr>
          <w:rFonts w:ascii="Arial" w:hAnsi="Arial" w:cs="Arial"/>
          <w:b/>
          <w:b/>
          <w:lang w:val="ca-ES"/>
        </w:rPr>
      </w:pPr>
      <w:r>
        <w:rPr>
          <w:b/>
          <w:lang w:val="es-ES"/>
        </w:rPr>
        <w:t>Cuarto. Cuantía</w:t>
      </w:r>
    </w:p>
    <w:p>
      <w:pPr>
        <w:pStyle w:val="Normal"/>
        <w:spacing w:lineRule="auto" w:line="240"/>
        <w:jc w:val="both"/>
        <w:rPr/>
      </w:pPr>
      <w:r>
        <w:rPr>
          <w:rStyle w:val="Lletraperdefectedelpargraf1"/>
          <w:lang w:val="es-ES"/>
        </w:rPr>
        <w:t>Las subvenciones objeto de esta convocatoria se financian con cargo a la aplicación presupuestaria 2023-16-3270-48000  con un importe máximo de 26.0000 euros.</w:t>
      </w:r>
    </w:p>
    <w:p>
      <w:pPr>
        <w:pStyle w:val="Normal"/>
        <w:spacing w:lineRule="auto" w:line="240"/>
        <w:jc w:val="both"/>
        <w:rPr>
          <w:rFonts w:ascii="Arial" w:hAnsi="Arial" w:cs="Arial"/>
          <w:b/>
          <w:b/>
          <w:lang w:val="ca-ES"/>
        </w:rPr>
      </w:pPr>
      <w:r>
        <w:rPr>
          <w:b/>
          <w:lang w:val="es-ES"/>
        </w:rPr>
        <w:t>Quinto. Plazo de presentación de solicitudes</w:t>
      </w:r>
    </w:p>
    <w:p>
      <w:pPr>
        <w:pStyle w:val="Normal"/>
        <w:spacing w:lineRule="auto" w:line="240"/>
        <w:jc w:val="both"/>
        <w:rPr>
          <w:rFonts w:ascii="Arial" w:hAnsi="Arial" w:cs="Arial"/>
          <w:lang w:val="ca-ES"/>
        </w:rPr>
      </w:pPr>
      <w:r>
        <w:rPr>
          <w:lang w:val="es-ES"/>
        </w:rPr>
        <w:t>Las solicitudes se presentarán dentro del plazo de 20 días a partir del día siguiente al de la publicación en el anuncio del Boletín Oficial de la Provincia de Girona.</w:t>
      </w:r>
    </w:p>
    <w:p>
      <w:pPr>
        <w:pStyle w:val="Normal"/>
        <w:spacing w:lineRule="auto" w:line="240"/>
        <w:jc w:val="both"/>
        <w:rPr>
          <w:rFonts w:ascii="Arial" w:hAnsi="Arial" w:cs="Arial"/>
          <w:b/>
          <w:b/>
          <w:lang w:val="ca-ES"/>
        </w:rPr>
      </w:pPr>
      <w:r>
        <w:rPr>
          <w:b/>
          <w:lang w:val="es-ES"/>
        </w:rPr>
        <w:t>Criterios de valoración de las solicitudes</w:t>
      </w:r>
    </w:p>
    <w:p>
      <w:pPr>
        <w:pStyle w:val="Normal"/>
        <w:spacing w:lineRule="auto" w:line="240"/>
        <w:jc w:val="both"/>
        <w:rPr>
          <w:lang w:val="es-ES"/>
        </w:rPr>
      </w:pPr>
      <w:r>
        <w:rPr>
          <w:lang w:val="es-ES"/>
        </w:rPr>
        <w:t xml:space="preserve">De acuerdo con la Ordenanza municipal reguladora de la concesión de subvenciones escolares, Anexo 1, punto d), los importes fijados se regularizarán en atención a l’IRSC vigente en el momento de presentar la solicitud. Dado que para el ejercicio 2023 la ley de presupuestos de la Generalitat fija el valor de la Renta de Suficiencia de Catalunya en 614.65 €/mensuales , la forma de otorgamiento de las subvenciones, con un límite de 14 puntos, será de acuerdo con los siguientes criterios: </w:t>
      </w:r>
    </w:p>
    <w:p>
      <w:pPr>
        <w:pStyle w:val="Normal"/>
        <w:spacing w:lineRule="auto" w:line="240"/>
        <w:jc w:val="both"/>
        <w:rPr>
          <w:rFonts w:ascii="Arial" w:hAnsi="Arial" w:cs="Arial"/>
          <w:lang w:val="ca-ES"/>
        </w:rPr>
      </w:pPr>
      <w:r>
        <w:rPr>
          <w:lang w:val="es-ES"/>
        </w:rPr>
        <w:t>La forma de otorgamiento de las subvenciones, con un límite de 14 puntos, será de acuerdo con los siguientes criterios:</w:t>
      </w:r>
    </w:p>
    <w:p>
      <w:pPr>
        <w:pStyle w:val="ListParagraph"/>
        <w:numPr>
          <w:ilvl w:val="0"/>
          <w:numId w:val="1"/>
        </w:numPr>
        <w:spacing w:lineRule="auto" w:line="240"/>
        <w:jc w:val="both"/>
        <w:rPr>
          <w:rFonts w:ascii="Arial" w:hAnsi="Arial" w:cs="Arial"/>
          <w:lang w:val="ca-ES"/>
        </w:rPr>
      </w:pPr>
      <w:r>
        <w:rPr>
          <w:lang w:val="es-ES"/>
        </w:rPr>
        <w:t>Situación económica: hasta 6 puntos</w:t>
      </w:r>
    </w:p>
    <w:p>
      <w:pPr>
        <w:pStyle w:val="Normal"/>
        <w:spacing w:lineRule="auto" w:line="240"/>
        <w:ind w:firstLine="709"/>
        <w:jc w:val="both"/>
        <w:rPr>
          <w:rFonts w:ascii="Arial" w:hAnsi="Arial" w:cs="Arial"/>
          <w:lang w:val="ca-ES"/>
        </w:rPr>
      </w:pPr>
      <w:r>
        <w:rPr>
          <w:lang w:val="es-ES"/>
        </w:rPr>
        <w:t>La puntuación se distribuirá de la siguiente manera:</w:t>
      </w:r>
    </w:p>
    <w:p>
      <w:pPr>
        <w:pStyle w:val="ListParagraph"/>
        <w:numPr>
          <w:ilvl w:val="0"/>
          <w:numId w:val="2"/>
        </w:numPr>
        <w:spacing w:lineRule="auto" w:line="240"/>
        <w:jc w:val="both"/>
        <w:rPr>
          <w:rFonts w:ascii="Arial" w:hAnsi="Arial" w:cs="Arial"/>
          <w:lang w:val="ca-ES"/>
        </w:rPr>
      </w:pPr>
      <w:r>
        <w:rPr>
          <w:lang w:val="es-ES"/>
        </w:rPr>
        <w:t xml:space="preserve">Igual o inferior a </w:t>
      </w:r>
      <w:r>
        <w:rPr>
          <w:rFonts w:cs="Calibri" w:cstheme="minorHAnsi"/>
          <w:lang w:val="ca-ES"/>
        </w:rPr>
        <w:t xml:space="preserve">307.325 </w:t>
      </w:r>
      <w:r>
        <w:rPr>
          <w:lang w:val="es-ES"/>
        </w:rPr>
        <w:t>€ mensuales/miembro unidad familiar: 6 puntos</w:t>
      </w:r>
    </w:p>
    <w:p>
      <w:pPr>
        <w:pStyle w:val="ListParagraph"/>
        <w:numPr>
          <w:ilvl w:val="0"/>
          <w:numId w:val="2"/>
        </w:numPr>
        <w:spacing w:lineRule="auto" w:line="240"/>
        <w:jc w:val="both"/>
        <w:rPr>
          <w:rFonts w:ascii="Arial" w:hAnsi="Arial" w:cs="Arial"/>
          <w:lang w:val="ca-ES"/>
        </w:rPr>
      </w:pPr>
      <w:r>
        <w:rPr>
          <w:lang w:val="es-ES"/>
        </w:rPr>
        <w:t xml:space="preserve">Más de </w:t>
      </w:r>
      <w:r>
        <w:rPr>
          <w:rFonts w:cs="Calibri" w:cstheme="minorHAnsi"/>
          <w:lang w:val="ca-ES"/>
        </w:rPr>
        <w:t>307.325</w:t>
      </w:r>
      <w:r>
        <w:rPr>
          <w:rFonts w:cs="Arial" w:ascii="Arial" w:hAnsi="Arial"/>
          <w:lang w:val="ca-ES"/>
        </w:rPr>
        <w:t xml:space="preserve"> </w:t>
      </w:r>
      <w:r>
        <w:rPr>
          <w:lang w:val="es-ES"/>
        </w:rPr>
        <w:t xml:space="preserve">€, igual o inferior a </w:t>
      </w:r>
      <w:r>
        <w:rPr>
          <w:rFonts w:cs="Calibri" w:cstheme="minorHAnsi"/>
          <w:lang w:val="ca-ES"/>
        </w:rPr>
        <w:t>614.65</w:t>
      </w:r>
      <w:r>
        <w:rPr>
          <w:rFonts w:cs="Arial" w:ascii="Arial" w:hAnsi="Arial"/>
          <w:lang w:val="ca-ES"/>
        </w:rPr>
        <w:t xml:space="preserve"> </w:t>
      </w:r>
      <w:r>
        <w:rPr>
          <w:lang w:val="es-ES"/>
        </w:rPr>
        <w:t>€ mensuales/miembro unidad familiar: 3 puntos.</w:t>
      </w:r>
    </w:p>
    <w:p>
      <w:pPr>
        <w:pStyle w:val="ListParagraph"/>
        <w:numPr>
          <w:ilvl w:val="0"/>
          <w:numId w:val="2"/>
        </w:numPr>
        <w:spacing w:lineRule="auto" w:line="240"/>
        <w:jc w:val="both"/>
        <w:rPr>
          <w:rFonts w:ascii="Arial" w:hAnsi="Arial" w:cs="Arial"/>
          <w:lang w:val="ca-ES"/>
        </w:rPr>
      </w:pPr>
      <w:r>
        <w:rPr>
          <w:lang w:val="es-ES"/>
        </w:rPr>
        <w:t xml:space="preserve">Superior a </w:t>
      </w:r>
      <w:r>
        <w:rPr>
          <w:rFonts w:cs="Calibri" w:cstheme="minorHAnsi"/>
          <w:lang w:val="ca-ES"/>
        </w:rPr>
        <w:t>614.65</w:t>
      </w:r>
      <w:r>
        <w:rPr>
          <w:rFonts w:cs="Arial" w:ascii="Arial" w:hAnsi="Arial"/>
          <w:lang w:val="ca-ES"/>
        </w:rPr>
        <w:t xml:space="preserve"> </w:t>
      </w:r>
      <w:r>
        <w:rPr>
          <w:lang w:val="es-ES"/>
        </w:rPr>
        <w:t>€ mensuales/miembro unidad familiar: 0 puntos.</w:t>
      </w:r>
    </w:p>
    <w:p>
      <w:pPr>
        <w:pStyle w:val="ListParagraph"/>
        <w:numPr>
          <w:ilvl w:val="0"/>
          <w:numId w:val="1"/>
        </w:numPr>
        <w:spacing w:lineRule="auto" w:line="240"/>
        <w:jc w:val="both"/>
        <w:rPr>
          <w:rFonts w:ascii="Arial" w:hAnsi="Arial" w:cs="Arial"/>
          <w:lang w:val="ca-ES"/>
        </w:rPr>
      </w:pPr>
      <w:r>
        <w:rPr>
          <w:lang w:val="es-ES"/>
        </w:rPr>
        <w:t>Composición de la unidad familiar: hasta 6 puntos.</w:t>
      </w:r>
    </w:p>
    <w:p>
      <w:pPr>
        <w:pStyle w:val="ListParagraph"/>
        <w:spacing w:lineRule="auto" w:line="240"/>
        <w:ind w:left="709" w:hanging="0"/>
        <w:jc w:val="both"/>
        <w:rPr>
          <w:rFonts w:ascii="Arial" w:hAnsi="Arial" w:cs="Arial"/>
          <w:lang w:val="ca-ES"/>
        </w:rPr>
      </w:pPr>
      <w:r>
        <w:rPr>
          <w:lang w:val="es-ES"/>
        </w:rPr>
        <w:t>La puntuación se distribuirá de la siguiente manera:</w:t>
      </w:r>
    </w:p>
    <w:p>
      <w:pPr>
        <w:pStyle w:val="ListParagraph"/>
        <w:spacing w:lineRule="auto" w:line="240"/>
        <w:ind w:left="709" w:hanging="0"/>
        <w:jc w:val="both"/>
        <w:rPr>
          <w:rFonts w:ascii="Arial" w:hAnsi="Arial" w:cs="Arial"/>
          <w:lang w:val="ca-ES"/>
        </w:rPr>
      </w:pPr>
      <w:r>
        <w:rPr>
          <w:rFonts w:cs="Arial" w:ascii="Arial" w:hAnsi="Arial"/>
          <w:lang w:val="ca-ES"/>
        </w:rPr>
      </w:r>
    </w:p>
    <w:p>
      <w:pPr>
        <w:pStyle w:val="ListParagraph"/>
        <w:numPr>
          <w:ilvl w:val="0"/>
          <w:numId w:val="3"/>
        </w:numPr>
        <w:spacing w:lineRule="auto" w:line="240"/>
        <w:jc w:val="both"/>
        <w:rPr>
          <w:rFonts w:ascii="Arial" w:hAnsi="Arial" w:cs="Arial"/>
          <w:lang w:val="ca-ES"/>
        </w:rPr>
      </w:pPr>
      <w:r>
        <w:rPr>
          <w:lang w:val="es-ES"/>
        </w:rPr>
        <w:t>Condición de monoparental:</w:t>
      </w:r>
      <w:bookmarkStart w:id="0" w:name="_GoBack"/>
      <w:bookmarkEnd w:id="0"/>
    </w:p>
    <w:p>
      <w:pPr>
        <w:pStyle w:val="ListParagraph"/>
        <w:numPr>
          <w:ilvl w:val="0"/>
          <w:numId w:val="4"/>
        </w:numPr>
        <w:spacing w:lineRule="auto" w:line="240"/>
        <w:jc w:val="both"/>
        <w:rPr>
          <w:rFonts w:ascii="Arial" w:hAnsi="Arial" w:cs="Arial"/>
          <w:lang w:val="ca-ES"/>
        </w:rPr>
      </w:pPr>
      <w:r>
        <w:rPr>
          <w:lang w:val="es-ES"/>
        </w:rPr>
        <w:t>Con un hijo: 1 punto</w:t>
      </w:r>
    </w:p>
    <w:p>
      <w:pPr>
        <w:pStyle w:val="ListParagraph"/>
        <w:numPr>
          <w:ilvl w:val="0"/>
          <w:numId w:val="4"/>
        </w:numPr>
        <w:spacing w:lineRule="auto" w:line="240"/>
        <w:jc w:val="both"/>
        <w:rPr>
          <w:rFonts w:ascii="Arial" w:hAnsi="Arial" w:cs="Arial"/>
          <w:lang w:val="ca-ES"/>
        </w:rPr>
      </w:pPr>
      <w:r>
        <w:rPr>
          <w:lang w:val="es-ES"/>
        </w:rPr>
        <w:t>Con más de un hijo: 2 puntos</w:t>
      </w:r>
    </w:p>
    <w:p>
      <w:pPr>
        <w:pStyle w:val="ListParagraph"/>
        <w:numPr>
          <w:ilvl w:val="0"/>
          <w:numId w:val="3"/>
        </w:numPr>
        <w:spacing w:lineRule="auto" w:line="240"/>
        <w:jc w:val="both"/>
        <w:rPr>
          <w:rFonts w:ascii="Arial" w:hAnsi="Arial" w:cs="Arial"/>
          <w:lang w:val="ca-ES"/>
        </w:rPr>
      </w:pPr>
      <w:r>
        <w:rPr>
          <w:lang w:val="es-ES"/>
        </w:rPr>
        <w:t xml:space="preserve">Existencia de niños en acogida en la unidad familiar: </w:t>
      </w:r>
    </w:p>
    <w:p>
      <w:pPr>
        <w:pStyle w:val="ListParagraph"/>
        <w:numPr>
          <w:ilvl w:val="0"/>
          <w:numId w:val="4"/>
        </w:numPr>
        <w:spacing w:lineRule="auto" w:line="240"/>
        <w:jc w:val="both"/>
        <w:rPr>
          <w:rFonts w:ascii="Arial" w:hAnsi="Arial" w:cs="Arial"/>
          <w:lang w:val="ca-ES"/>
        </w:rPr>
      </w:pPr>
      <w:r>
        <w:rPr>
          <w:lang w:val="es-ES"/>
        </w:rPr>
        <w:t>Un niño: 1 punto</w:t>
      </w:r>
    </w:p>
    <w:p>
      <w:pPr>
        <w:pStyle w:val="ListParagraph"/>
        <w:numPr>
          <w:ilvl w:val="0"/>
          <w:numId w:val="4"/>
        </w:numPr>
        <w:spacing w:lineRule="auto" w:line="240"/>
        <w:jc w:val="both"/>
        <w:rPr>
          <w:rFonts w:ascii="Arial" w:hAnsi="Arial" w:cs="Arial"/>
          <w:lang w:val="ca-ES"/>
        </w:rPr>
      </w:pPr>
      <w:r>
        <w:rPr>
          <w:lang w:val="es-ES"/>
        </w:rPr>
        <w:t>Con más de un niño: 2 puntos</w:t>
      </w:r>
    </w:p>
    <w:p>
      <w:pPr>
        <w:pStyle w:val="ListParagraph"/>
        <w:numPr>
          <w:ilvl w:val="0"/>
          <w:numId w:val="3"/>
        </w:numPr>
        <w:spacing w:lineRule="auto" w:line="240"/>
        <w:jc w:val="both"/>
        <w:rPr>
          <w:rFonts w:ascii="Arial" w:hAnsi="Arial" w:cs="Arial"/>
          <w:lang w:val="ca-ES"/>
        </w:rPr>
      </w:pPr>
      <w:r>
        <w:rPr>
          <w:lang w:val="es-ES"/>
        </w:rPr>
        <w:t>Calificación de familia numerosa: 2 puntos</w:t>
      </w:r>
    </w:p>
    <w:p>
      <w:pPr>
        <w:pStyle w:val="ListParagraph"/>
        <w:numPr>
          <w:ilvl w:val="0"/>
          <w:numId w:val="1"/>
        </w:numPr>
        <w:spacing w:lineRule="auto" w:line="240"/>
        <w:jc w:val="both"/>
        <w:rPr>
          <w:rFonts w:ascii="Arial" w:hAnsi="Arial" w:cs="Arial"/>
          <w:lang w:val="ca-ES"/>
        </w:rPr>
      </w:pPr>
      <w:r>
        <w:rPr>
          <w:lang w:val="es-ES"/>
        </w:rPr>
        <w:t>Valoración de aspectos sociales: 3 puntos</w:t>
      </w:r>
    </w:p>
    <w:p>
      <w:pPr>
        <w:pStyle w:val="ListParagraph"/>
        <w:spacing w:lineRule="auto" w:line="240"/>
        <w:jc w:val="both"/>
        <w:rPr>
          <w:rFonts w:ascii="Arial" w:hAnsi="Arial" w:cs="Arial"/>
          <w:lang w:val="ca-ES"/>
        </w:rPr>
      </w:pPr>
      <w:r>
        <w:rPr>
          <w:lang w:val="es-ES"/>
        </w:rPr>
        <w:t>Los tres puntos se alcanzarán con la concurrencia, como mínimo, de una de las circunstancias siguientes, acreditadas por el servicio competente:</w:t>
      </w:r>
    </w:p>
    <w:p>
      <w:pPr>
        <w:pStyle w:val="ListParagraph"/>
        <w:numPr>
          <w:ilvl w:val="0"/>
          <w:numId w:val="5"/>
        </w:numPr>
        <w:spacing w:lineRule="auto" w:line="240"/>
        <w:jc w:val="both"/>
        <w:rPr>
          <w:rFonts w:ascii="Arial" w:hAnsi="Arial" w:cs="Arial"/>
          <w:lang w:val="ca-ES"/>
        </w:rPr>
      </w:pPr>
      <w:r>
        <w:rPr>
          <w:lang w:val="es-ES"/>
        </w:rPr>
        <w:t>Familias en situación de exclusión residencial.</w:t>
      </w:r>
    </w:p>
    <w:p>
      <w:pPr>
        <w:pStyle w:val="ListParagraph"/>
        <w:numPr>
          <w:ilvl w:val="0"/>
          <w:numId w:val="5"/>
        </w:numPr>
        <w:spacing w:lineRule="auto" w:line="240"/>
        <w:jc w:val="both"/>
        <w:rPr>
          <w:rFonts w:ascii="Arial" w:hAnsi="Arial" w:cs="Arial"/>
          <w:lang w:val="ca-ES"/>
        </w:rPr>
      </w:pPr>
      <w:r>
        <w:rPr>
          <w:lang w:val="es-ES"/>
        </w:rPr>
        <w:t>Encontrarse en una de la situación de los puntos d) y/o e) del artículo 11.1 de la Ordenanza reguladora de la concesión de subvenciones escolares.</w:t>
      </w:r>
    </w:p>
    <w:p>
      <w:pPr>
        <w:pStyle w:val="ListParagraph"/>
        <w:numPr>
          <w:ilvl w:val="0"/>
          <w:numId w:val="1"/>
        </w:numPr>
        <w:spacing w:lineRule="auto" w:line="240"/>
        <w:jc w:val="both"/>
        <w:rPr>
          <w:rFonts w:ascii="Arial" w:hAnsi="Arial" w:cs="Arial"/>
          <w:lang w:val="ca-ES"/>
        </w:rPr>
      </w:pPr>
      <w:r>
        <w:rPr>
          <w:lang w:val="es-ES"/>
        </w:rPr>
        <w:t>Valoración de aspectos de salud: 2 puntos</w:t>
      </w:r>
    </w:p>
    <w:p>
      <w:pPr>
        <w:pStyle w:val="Normal"/>
        <w:spacing w:lineRule="auto" w:line="240"/>
        <w:ind w:left="851" w:hanging="0"/>
        <w:jc w:val="both"/>
        <w:rPr>
          <w:rFonts w:ascii="Arial" w:hAnsi="Arial" w:cs="Arial"/>
          <w:lang w:val="ca-ES"/>
        </w:rPr>
      </w:pPr>
      <w:r>
        <w:rPr>
          <w:lang w:val="es-ES"/>
        </w:rPr>
        <w:t>Los dos puntos se alcanzarán con la presentación, como mínimo, de uno de los siguientes documentos, respecto de algún miembro de la unidad familiar:</w:t>
      </w:r>
    </w:p>
    <w:p>
      <w:pPr>
        <w:pStyle w:val="ListParagraph"/>
        <w:numPr>
          <w:ilvl w:val="0"/>
          <w:numId w:val="6"/>
        </w:numPr>
        <w:spacing w:lineRule="auto" w:line="240"/>
        <w:jc w:val="both"/>
        <w:rPr>
          <w:rFonts w:ascii="Arial" w:hAnsi="Arial" w:cs="Arial"/>
          <w:lang w:val="ca-ES"/>
        </w:rPr>
      </w:pPr>
      <w:r>
        <w:rPr>
          <w:lang w:val="es-ES"/>
        </w:rPr>
        <w:t>Certificado o resolución de disminución o discapacidad con un grado igual o superior al 33%.</w:t>
      </w:r>
    </w:p>
    <w:p>
      <w:pPr>
        <w:pStyle w:val="ListParagraph"/>
        <w:numPr>
          <w:ilvl w:val="0"/>
          <w:numId w:val="6"/>
        </w:numPr>
        <w:spacing w:lineRule="auto" w:line="240"/>
        <w:jc w:val="both"/>
        <w:rPr>
          <w:rFonts w:ascii="Arial" w:hAnsi="Arial" w:cs="Arial"/>
          <w:lang w:val="ca-ES"/>
        </w:rPr>
      </w:pPr>
      <w:r>
        <w:rPr>
          <w:lang w:val="es-ES"/>
        </w:rPr>
        <w:t>Certificado o resolución de invalidez.</w:t>
      </w:r>
    </w:p>
    <w:p>
      <w:pPr>
        <w:pStyle w:val="ListParagraph"/>
        <w:numPr>
          <w:ilvl w:val="0"/>
          <w:numId w:val="6"/>
        </w:numPr>
        <w:spacing w:lineRule="auto" w:line="240"/>
        <w:jc w:val="both"/>
        <w:rPr>
          <w:rFonts w:ascii="Arial" w:hAnsi="Arial" w:cs="Arial"/>
          <w:lang w:val="ca-ES"/>
        </w:rPr>
      </w:pPr>
      <w:r>
        <w:rPr>
          <w:lang w:val="es-ES"/>
        </w:rPr>
        <w:t>Resolución de dependencia y grado.</w:t>
      </w:r>
    </w:p>
    <w:p>
      <w:pPr>
        <w:pStyle w:val="ListParagraph"/>
        <w:numPr>
          <w:ilvl w:val="0"/>
          <w:numId w:val="6"/>
        </w:numPr>
        <w:spacing w:lineRule="auto" w:line="240"/>
        <w:jc w:val="both"/>
        <w:rPr>
          <w:rFonts w:ascii="Arial" w:hAnsi="Arial" w:cs="Arial"/>
          <w:lang w:val="ca-ES"/>
        </w:rPr>
      </w:pPr>
      <w:r>
        <w:rPr>
          <w:lang w:val="es-ES"/>
        </w:rPr>
        <w:t>Informe médico u otro documento que acredite una enfermedad grave, de los últimos seis meses anteriores a la convocatoria, excepto en los casos de enfermedades degenerativas en que la fecha de la documentación acreditativa será indiferente.</w:t>
      </w:r>
    </w:p>
    <w:p>
      <w:pPr>
        <w:pStyle w:val="ListParagraph"/>
        <w:numPr>
          <w:ilvl w:val="0"/>
          <w:numId w:val="6"/>
        </w:numPr>
        <w:spacing w:lineRule="auto" w:line="240"/>
        <w:jc w:val="both"/>
        <w:rPr/>
      </w:pPr>
      <w:r>
        <w:rPr>
          <w:lang w:val="es-ES"/>
        </w:rPr>
        <w:t>Informe médico del CSMA(Centro de Salud Mental Adultos) o servicios equivalentes</w:t>
      </w:r>
    </w:p>
    <w:p>
      <w:pPr>
        <w:pStyle w:val="Normal"/>
        <w:spacing w:lineRule="auto" w:line="240" w:before="0" w:after="160"/>
        <w:rPr/>
      </w:pPr>
      <w:r>
        <w:rPr/>
      </w:r>
    </w:p>
    <w:sectPr>
      <w:headerReference w:type="default" r:id="rId2"/>
      <w:footerReference w:type="default" r:id="rId3"/>
      <w:type w:val="nextPage"/>
      <w:pgSz w:w="11906" w:h="16838"/>
      <w:pgMar w:left="1985" w:right="1418" w:gutter="0" w:header="709" w:top="1985" w:footer="709" w:bottom="851"/>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Tahoma">
    <w:charset w:val="00"/>
    <w:family w:val="roman"/>
    <w:pitch w:val="variable"/>
  </w:font>
  <w:font w:name="Liberation Sans">
    <w:altName w:val="Arial"/>
    <w:charset w:val="00"/>
    <w:family w:val="swiss"/>
    <w:pitch w:val="variable"/>
  </w:font>
  <w:font w:name="Arial">
    <w:charset w:val="00"/>
    <w:family w:val="roman"/>
    <w:pitch w:val="variable"/>
  </w:font>
  <w:font w:name="Arial">
    <w:charset w:val="01"/>
    <w:family w:val="swiss"/>
    <w:pitch w:val="variable"/>
  </w:font>
  <w:font w:name="Courier New">
    <w:charset w:val="01"/>
    <w:family w:val="modern"/>
    <w:pitch w:val="fixed"/>
  </w:font>
  <w:font w:name="Wingdings">
    <w:charset w:val="02"/>
    <w:family w:val="auto"/>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Peudepgina"/>
      <w:ind w:left="-875" w:hanging="0"/>
      <w:jc w:val="center"/>
      <w:rPr/>
    </w:pPr>
    <w:r>
      <w:rPr>
        <w:sz w:val="14"/>
        <w:szCs w:val="14"/>
        <w:lang w:val="es-ES"/>
      </w:rPr>
      <w:tab/>
    </w:r>
    <w:r>
      <w:rPr/>
      <w:drawing>
        <wp:inline distT="0" distB="0" distL="0" distR="0">
          <wp:extent cx="5400675" cy="285750"/>
          <wp:effectExtent l="0" t="0" r="0" b="0"/>
          <wp:docPr id="2" name="Imatge 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tge 2" descr=""/>
                  <pic:cNvPicPr>
                    <a:picLocks noChangeAspect="1" noChangeArrowheads="1"/>
                  </pic:cNvPicPr>
                </pic:nvPicPr>
                <pic:blipFill>
                  <a:blip r:embed="rId1"/>
                  <a:stretch>
                    <a:fillRect/>
                  </a:stretch>
                </pic:blipFill>
                <pic:spPr bwMode="auto">
                  <a:xfrm>
                    <a:off x="0" y="0"/>
                    <a:ext cx="5400675" cy="285750"/>
                  </a:xfrm>
                  <a:prstGeom prst="rect">
                    <a:avLst/>
                  </a:prstGeom>
                </pic:spPr>
              </pic:pic>
            </a:graphicData>
          </a:graphic>
        </wp:inline>
      </w:drawing>
    </w:r>
  </w:p>
  <w:p>
    <w:pPr>
      <w:pStyle w:val="Normal"/>
      <w:spacing w:before="0" w:after="160"/>
      <w:jc w:val="center"/>
      <w:rPr/>
    </w:pPr>
    <w:r>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
      <w:rPr/>
    </w:pPr>
    <w:r>
      <w:rPr/>
      <w:drawing>
        <wp:inline distT="0" distB="0" distL="0" distR="0">
          <wp:extent cx="2257425" cy="857250"/>
          <wp:effectExtent l="0" t="0" r="0" b="0"/>
          <wp:docPr id="1" name="Imagen 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
                  <pic:cNvPicPr>
                    <a:picLocks noChangeAspect="1" noChangeArrowheads="1"/>
                  </pic:cNvPicPr>
                </pic:nvPicPr>
                <pic:blipFill>
                  <a:blip r:embed="rId1"/>
                  <a:srcRect l="4376" t="0" r="0" b="0"/>
                  <a:stretch>
                    <a:fillRect/>
                  </a:stretch>
                </pic:blipFill>
                <pic:spPr bwMode="auto">
                  <a:xfrm>
                    <a:off x="0" y="0"/>
                    <a:ext cx="2257425" cy="857250"/>
                  </a:xfrm>
                  <a:prstGeom prst="rect">
                    <a:avLst/>
                  </a:prstGeom>
                </pic:spPr>
              </pic:pic>
            </a:graphicData>
          </a:graphic>
        </wp:inline>
      </w:drawing>
    </w:r>
  </w:p>
  <w:p>
    <w:pPr>
      <w:pStyle w:val="Normal"/>
      <w:widowControl/>
      <w:suppressAutoHyphens w:val="true"/>
      <w:bidi w:val="0"/>
      <w:spacing w:lineRule="auto" w:line="247" w:before="0" w:after="160"/>
      <w:jc w:val="left"/>
      <w:textAlignment w:val="baseline"/>
      <w:rPr/>
    </w:pPr>
    <w:r>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
    <w:lvl w:ilvl="0">
      <w:start w:val="1"/>
      <w:numFmt w:val="lowerLetter"/>
      <w:lvlText w:val="%1)"/>
      <w:lvlJc w:val="left"/>
      <w:pPr>
        <w:tabs>
          <w:tab w:val="num" w:pos="0"/>
        </w:tabs>
        <w:ind w:left="1080" w:hanging="360"/>
      </w:pPr>
    </w:lvl>
    <w:lvl w:ilvl="1">
      <w:start w:val="1"/>
      <w:numFmt w:val="lowerLetter"/>
      <w:lvlText w:val="%2."/>
      <w:lvlJc w:val="left"/>
      <w:pPr>
        <w:tabs>
          <w:tab w:val="num" w:pos="0"/>
        </w:tabs>
        <w:ind w:left="1800" w:hanging="360"/>
      </w:pPr>
    </w:lvl>
    <w:lvl w:ilvl="2">
      <w:start w:val="1"/>
      <w:numFmt w:val="lowerRoman"/>
      <w:lvlText w:val="%3."/>
      <w:lvlJc w:val="right"/>
      <w:pPr>
        <w:tabs>
          <w:tab w:val="num" w:pos="0"/>
        </w:tabs>
        <w:ind w:left="2520" w:hanging="180"/>
      </w:pPr>
    </w:lvl>
    <w:lvl w:ilvl="3">
      <w:start w:val="1"/>
      <w:numFmt w:val="decimal"/>
      <w:lvlText w:val="%4."/>
      <w:lvlJc w:val="left"/>
      <w:pPr>
        <w:tabs>
          <w:tab w:val="num" w:pos="0"/>
        </w:tabs>
        <w:ind w:left="3240" w:hanging="360"/>
      </w:pPr>
    </w:lvl>
    <w:lvl w:ilvl="4">
      <w:start w:val="1"/>
      <w:numFmt w:val="lowerLetter"/>
      <w:lvlText w:val="%5."/>
      <w:lvlJc w:val="left"/>
      <w:pPr>
        <w:tabs>
          <w:tab w:val="num" w:pos="0"/>
        </w:tabs>
        <w:ind w:left="3960" w:hanging="360"/>
      </w:pPr>
    </w:lvl>
    <w:lvl w:ilvl="5">
      <w:start w:val="1"/>
      <w:numFmt w:val="lowerRoman"/>
      <w:lvlText w:val="%6."/>
      <w:lvlJc w:val="right"/>
      <w:pPr>
        <w:tabs>
          <w:tab w:val="num" w:pos="0"/>
        </w:tabs>
        <w:ind w:left="4680" w:hanging="180"/>
      </w:pPr>
    </w:lvl>
    <w:lvl w:ilvl="6">
      <w:start w:val="1"/>
      <w:numFmt w:val="decimal"/>
      <w:lvlText w:val="%7."/>
      <w:lvlJc w:val="left"/>
      <w:pPr>
        <w:tabs>
          <w:tab w:val="num" w:pos="0"/>
        </w:tabs>
        <w:ind w:left="5400" w:hanging="360"/>
      </w:pPr>
    </w:lvl>
    <w:lvl w:ilvl="7">
      <w:start w:val="1"/>
      <w:numFmt w:val="lowerLetter"/>
      <w:lvlText w:val="%8."/>
      <w:lvlJc w:val="left"/>
      <w:pPr>
        <w:tabs>
          <w:tab w:val="num" w:pos="0"/>
        </w:tabs>
        <w:ind w:left="6120" w:hanging="360"/>
      </w:pPr>
    </w:lvl>
    <w:lvl w:ilvl="8">
      <w:start w:val="1"/>
      <w:numFmt w:val="lowerRoman"/>
      <w:lvlText w:val="%9."/>
      <w:lvlJc w:val="right"/>
      <w:pPr>
        <w:tabs>
          <w:tab w:val="num" w:pos="0"/>
        </w:tabs>
        <w:ind w:left="6840" w:hanging="180"/>
      </w:pPr>
    </w:lvl>
  </w:abstractNum>
  <w:abstractNum w:abstractNumId="3">
    <w:lvl w:ilvl="0">
      <w:start w:val="1"/>
      <w:numFmt w:val="lowerLetter"/>
      <w:lvlText w:val="%1)"/>
      <w:lvlJc w:val="left"/>
      <w:pPr>
        <w:tabs>
          <w:tab w:val="num" w:pos="0"/>
        </w:tabs>
        <w:ind w:left="1080" w:hanging="360"/>
      </w:pPr>
    </w:lvl>
    <w:lvl w:ilvl="1">
      <w:start w:val="1"/>
      <w:numFmt w:val="lowerLetter"/>
      <w:lvlText w:val="%2."/>
      <w:lvlJc w:val="left"/>
      <w:pPr>
        <w:tabs>
          <w:tab w:val="num" w:pos="0"/>
        </w:tabs>
        <w:ind w:left="1800" w:hanging="360"/>
      </w:pPr>
    </w:lvl>
    <w:lvl w:ilvl="2">
      <w:start w:val="1"/>
      <w:numFmt w:val="lowerRoman"/>
      <w:lvlText w:val="%3."/>
      <w:lvlJc w:val="right"/>
      <w:pPr>
        <w:tabs>
          <w:tab w:val="num" w:pos="0"/>
        </w:tabs>
        <w:ind w:left="2520" w:hanging="180"/>
      </w:pPr>
    </w:lvl>
    <w:lvl w:ilvl="3">
      <w:start w:val="1"/>
      <w:numFmt w:val="decimal"/>
      <w:lvlText w:val="%4."/>
      <w:lvlJc w:val="left"/>
      <w:pPr>
        <w:tabs>
          <w:tab w:val="num" w:pos="0"/>
        </w:tabs>
        <w:ind w:left="3240" w:hanging="360"/>
      </w:pPr>
    </w:lvl>
    <w:lvl w:ilvl="4">
      <w:start w:val="1"/>
      <w:numFmt w:val="lowerLetter"/>
      <w:lvlText w:val="%5."/>
      <w:lvlJc w:val="left"/>
      <w:pPr>
        <w:tabs>
          <w:tab w:val="num" w:pos="0"/>
        </w:tabs>
        <w:ind w:left="3960" w:hanging="360"/>
      </w:pPr>
    </w:lvl>
    <w:lvl w:ilvl="5">
      <w:start w:val="1"/>
      <w:numFmt w:val="lowerRoman"/>
      <w:lvlText w:val="%6."/>
      <w:lvlJc w:val="right"/>
      <w:pPr>
        <w:tabs>
          <w:tab w:val="num" w:pos="0"/>
        </w:tabs>
        <w:ind w:left="4680" w:hanging="180"/>
      </w:pPr>
    </w:lvl>
    <w:lvl w:ilvl="6">
      <w:start w:val="1"/>
      <w:numFmt w:val="decimal"/>
      <w:lvlText w:val="%7."/>
      <w:lvlJc w:val="left"/>
      <w:pPr>
        <w:tabs>
          <w:tab w:val="num" w:pos="0"/>
        </w:tabs>
        <w:ind w:left="5400" w:hanging="360"/>
      </w:pPr>
    </w:lvl>
    <w:lvl w:ilvl="7">
      <w:start w:val="1"/>
      <w:numFmt w:val="lowerLetter"/>
      <w:lvlText w:val="%8."/>
      <w:lvlJc w:val="left"/>
      <w:pPr>
        <w:tabs>
          <w:tab w:val="num" w:pos="0"/>
        </w:tabs>
        <w:ind w:left="6120" w:hanging="360"/>
      </w:pPr>
    </w:lvl>
    <w:lvl w:ilvl="8">
      <w:start w:val="1"/>
      <w:numFmt w:val="lowerRoman"/>
      <w:lvlText w:val="%9."/>
      <w:lvlJc w:val="right"/>
      <w:pPr>
        <w:tabs>
          <w:tab w:val="num" w:pos="0"/>
        </w:tabs>
        <w:ind w:left="6840" w:hanging="180"/>
      </w:pPr>
    </w:lvl>
  </w:abstractNum>
  <w:abstractNum w:abstractNumId="4">
    <w:lvl w:ilvl="0">
      <w:numFmt w:val="bullet"/>
      <w:lvlText w:val="-"/>
      <w:lvlJc w:val="left"/>
      <w:pPr>
        <w:tabs>
          <w:tab w:val="num" w:pos="0"/>
        </w:tabs>
        <w:ind w:left="1440" w:hanging="360"/>
      </w:pPr>
      <w:rPr>
        <w:rFonts w:ascii="Arial" w:hAnsi="Arial" w:cs="Arial" w:hint="default"/>
      </w:rPr>
    </w:lvl>
    <w:lvl w:ilvl="1">
      <w:start w:val="0"/>
      <w:numFmt w:val="bullet"/>
      <w:lvlText w:val="o"/>
      <w:lvlJc w:val="left"/>
      <w:pPr>
        <w:tabs>
          <w:tab w:val="num" w:pos="0"/>
        </w:tabs>
        <w:ind w:left="2160" w:hanging="360"/>
      </w:pPr>
      <w:rPr>
        <w:rFonts w:ascii="Courier New" w:hAnsi="Courier New" w:cs="Courier New" w:hint="default"/>
      </w:rPr>
    </w:lvl>
    <w:lvl w:ilvl="2">
      <w:start w:val="0"/>
      <w:numFmt w:val="bullet"/>
      <w:lvlText w:val=""/>
      <w:lvlJc w:val="left"/>
      <w:pPr>
        <w:tabs>
          <w:tab w:val="num" w:pos="0"/>
        </w:tabs>
        <w:ind w:left="2880" w:hanging="360"/>
      </w:pPr>
      <w:rPr>
        <w:rFonts w:ascii="Wingdings" w:hAnsi="Wingdings" w:cs="Wingdings" w:hint="default"/>
      </w:rPr>
    </w:lvl>
    <w:lvl w:ilvl="3">
      <w:start w:val="0"/>
      <w:numFmt w:val="bullet"/>
      <w:lvlText w:val=""/>
      <w:lvlJc w:val="left"/>
      <w:pPr>
        <w:tabs>
          <w:tab w:val="num" w:pos="0"/>
        </w:tabs>
        <w:ind w:left="3600" w:hanging="360"/>
      </w:pPr>
      <w:rPr>
        <w:rFonts w:ascii="Symbol" w:hAnsi="Symbol" w:cs="Symbol" w:hint="default"/>
      </w:rPr>
    </w:lvl>
    <w:lvl w:ilvl="4">
      <w:start w:val="0"/>
      <w:numFmt w:val="bullet"/>
      <w:lvlText w:val="o"/>
      <w:lvlJc w:val="left"/>
      <w:pPr>
        <w:tabs>
          <w:tab w:val="num" w:pos="0"/>
        </w:tabs>
        <w:ind w:left="4320" w:hanging="360"/>
      </w:pPr>
      <w:rPr>
        <w:rFonts w:ascii="Courier New" w:hAnsi="Courier New" w:cs="Courier New" w:hint="default"/>
      </w:rPr>
    </w:lvl>
    <w:lvl w:ilvl="5">
      <w:start w:val="0"/>
      <w:numFmt w:val="bullet"/>
      <w:lvlText w:val=""/>
      <w:lvlJc w:val="left"/>
      <w:pPr>
        <w:tabs>
          <w:tab w:val="num" w:pos="0"/>
        </w:tabs>
        <w:ind w:left="5040" w:hanging="360"/>
      </w:pPr>
      <w:rPr>
        <w:rFonts w:ascii="Wingdings" w:hAnsi="Wingdings" w:cs="Wingdings" w:hint="default"/>
      </w:rPr>
    </w:lvl>
    <w:lvl w:ilvl="6">
      <w:start w:val="0"/>
      <w:numFmt w:val="bullet"/>
      <w:lvlText w:val=""/>
      <w:lvlJc w:val="left"/>
      <w:pPr>
        <w:tabs>
          <w:tab w:val="num" w:pos="0"/>
        </w:tabs>
        <w:ind w:left="5760" w:hanging="360"/>
      </w:pPr>
      <w:rPr>
        <w:rFonts w:ascii="Symbol" w:hAnsi="Symbol" w:cs="Symbol" w:hint="default"/>
      </w:rPr>
    </w:lvl>
    <w:lvl w:ilvl="7">
      <w:start w:val="0"/>
      <w:numFmt w:val="bullet"/>
      <w:lvlText w:val="o"/>
      <w:lvlJc w:val="left"/>
      <w:pPr>
        <w:tabs>
          <w:tab w:val="num" w:pos="0"/>
        </w:tabs>
        <w:ind w:left="6480" w:hanging="360"/>
      </w:pPr>
      <w:rPr>
        <w:rFonts w:ascii="Courier New" w:hAnsi="Courier New" w:cs="Courier New" w:hint="default"/>
      </w:rPr>
    </w:lvl>
    <w:lvl w:ilvl="8">
      <w:start w:val="0"/>
      <w:numFmt w:val="bullet"/>
      <w:lvlText w:val=""/>
      <w:lvlJc w:val="left"/>
      <w:pPr>
        <w:tabs>
          <w:tab w:val="num" w:pos="0"/>
        </w:tabs>
        <w:ind w:left="7200" w:hanging="360"/>
      </w:pPr>
      <w:rPr>
        <w:rFonts w:ascii="Wingdings" w:hAnsi="Wingdings" w:cs="Wingdings" w:hint="default"/>
      </w:rPr>
    </w:lvl>
  </w:abstractNum>
  <w:abstractNum w:abstractNumId="5">
    <w:lvl w:ilvl="0">
      <w:start w:val="1"/>
      <w:numFmt w:val="lowerLetter"/>
      <w:lvlText w:val="%1)"/>
      <w:lvlJc w:val="left"/>
      <w:pPr>
        <w:tabs>
          <w:tab w:val="num" w:pos="0"/>
        </w:tabs>
        <w:ind w:left="1080" w:hanging="360"/>
      </w:pPr>
    </w:lvl>
    <w:lvl w:ilvl="1">
      <w:start w:val="1"/>
      <w:numFmt w:val="lowerLetter"/>
      <w:lvlText w:val="%2."/>
      <w:lvlJc w:val="left"/>
      <w:pPr>
        <w:tabs>
          <w:tab w:val="num" w:pos="0"/>
        </w:tabs>
        <w:ind w:left="1800" w:hanging="360"/>
      </w:pPr>
    </w:lvl>
    <w:lvl w:ilvl="2">
      <w:start w:val="1"/>
      <w:numFmt w:val="lowerRoman"/>
      <w:lvlText w:val="%3."/>
      <w:lvlJc w:val="right"/>
      <w:pPr>
        <w:tabs>
          <w:tab w:val="num" w:pos="0"/>
        </w:tabs>
        <w:ind w:left="2520" w:hanging="180"/>
      </w:pPr>
    </w:lvl>
    <w:lvl w:ilvl="3">
      <w:start w:val="1"/>
      <w:numFmt w:val="decimal"/>
      <w:lvlText w:val="%4."/>
      <w:lvlJc w:val="left"/>
      <w:pPr>
        <w:tabs>
          <w:tab w:val="num" w:pos="0"/>
        </w:tabs>
        <w:ind w:left="3240" w:hanging="360"/>
      </w:pPr>
    </w:lvl>
    <w:lvl w:ilvl="4">
      <w:start w:val="1"/>
      <w:numFmt w:val="lowerLetter"/>
      <w:lvlText w:val="%5."/>
      <w:lvlJc w:val="left"/>
      <w:pPr>
        <w:tabs>
          <w:tab w:val="num" w:pos="0"/>
        </w:tabs>
        <w:ind w:left="3960" w:hanging="360"/>
      </w:pPr>
    </w:lvl>
    <w:lvl w:ilvl="5">
      <w:start w:val="1"/>
      <w:numFmt w:val="lowerRoman"/>
      <w:lvlText w:val="%6."/>
      <w:lvlJc w:val="right"/>
      <w:pPr>
        <w:tabs>
          <w:tab w:val="num" w:pos="0"/>
        </w:tabs>
        <w:ind w:left="4680" w:hanging="180"/>
      </w:pPr>
    </w:lvl>
    <w:lvl w:ilvl="6">
      <w:start w:val="1"/>
      <w:numFmt w:val="decimal"/>
      <w:lvlText w:val="%7."/>
      <w:lvlJc w:val="left"/>
      <w:pPr>
        <w:tabs>
          <w:tab w:val="num" w:pos="0"/>
        </w:tabs>
        <w:ind w:left="5400" w:hanging="360"/>
      </w:pPr>
    </w:lvl>
    <w:lvl w:ilvl="7">
      <w:start w:val="1"/>
      <w:numFmt w:val="lowerLetter"/>
      <w:lvlText w:val="%8."/>
      <w:lvlJc w:val="left"/>
      <w:pPr>
        <w:tabs>
          <w:tab w:val="num" w:pos="0"/>
        </w:tabs>
        <w:ind w:left="6120" w:hanging="360"/>
      </w:pPr>
    </w:lvl>
    <w:lvl w:ilvl="8">
      <w:start w:val="1"/>
      <w:numFmt w:val="lowerRoman"/>
      <w:lvlText w:val="%9."/>
      <w:lvlJc w:val="right"/>
      <w:pPr>
        <w:tabs>
          <w:tab w:val="num" w:pos="0"/>
        </w:tabs>
        <w:ind w:left="6840" w:hanging="180"/>
      </w:pPr>
    </w:lvl>
  </w:abstractNum>
  <w:abstractNum w:abstractNumId="6">
    <w:lvl w:ilvl="0">
      <w:start w:val="1"/>
      <w:numFmt w:val="lowerLetter"/>
      <w:lvlText w:val="%1)"/>
      <w:lvlJc w:val="left"/>
      <w:pPr>
        <w:tabs>
          <w:tab w:val="num" w:pos="0"/>
        </w:tabs>
        <w:ind w:left="1211" w:hanging="360"/>
      </w:pPr>
    </w:lvl>
    <w:lvl w:ilvl="1">
      <w:start w:val="1"/>
      <w:numFmt w:val="lowerLetter"/>
      <w:lvlText w:val="%2."/>
      <w:lvlJc w:val="left"/>
      <w:pPr>
        <w:tabs>
          <w:tab w:val="num" w:pos="0"/>
        </w:tabs>
        <w:ind w:left="1931" w:hanging="360"/>
      </w:pPr>
    </w:lvl>
    <w:lvl w:ilvl="2">
      <w:start w:val="1"/>
      <w:numFmt w:val="lowerRoman"/>
      <w:lvlText w:val="%3."/>
      <w:lvlJc w:val="right"/>
      <w:pPr>
        <w:tabs>
          <w:tab w:val="num" w:pos="0"/>
        </w:tabs>
        <w:ind w:left="2651" w:hanging="180"/>
      </w:pPr>
    </w:lvl>
    <w:lvl w:ilvl="3">
      <w:start w:val="1"/>
      <w:numFmt w:val="decimal"/>
      <w:lvlText w:val="%4."/>
      <w:lvlJc w:val="left"/>
      <w:pPr>
        <w:tabs>
          <w:tab w:val="num" w:pos="0"/>
        </w:tabs>
        <w:ind w:left="3371" w:hanging="360"/>
      </w:pPr>
    </w:lvl>
    <w:lvl w:ilvl="4">
      <w:start w:val="1"/>
      <w:numFmt w:val="lowerLetter"/>
      <w:lvlText w:val="%5."/>
      <w:lvlJc w:val="left"/>
      <w:pPr>
        <w:tabs>
          <w:tab w:val="num" w:pos="0"/>
        </w:tabs>
        <w:ind w:left="4091" w:hanging="360"/>
      </w:pPr>
    </w:lvl>
    <w:lvl w:ilvl="5">
      <w:start w:val="1"/>
      <w:numFmt w:val="lowerRoman"/>
      <w:lvlText w:val="%6."/>
      <w:lvlJc w:val="right"/>
      <w:pPr>
        <w:tabs>
          <w:tab w:val="num" w:pos="0"/>
        </w:tabs>
        <w:ind w:left="4811" w:hanging="180"/>
      </w:pPr>
    </w:lvl>
    <w:lvl w:ilvl="6">
      <w:start w:val="1"/>
      <w:numFmt w:val="decimal"/>
      <w:lvlText w:val="%7."/>
      <w:lvlJc w:val="left"/>
      <w:pPr>
        <w:tabs>
          <w:tab w:val="num" w:pos="0"/>
        </w:tabs>
        <w:ind w:left="5531" w:hanging="360"/>
      </w:pPr>
    </w:lvl>
    <w:lvl w:ilvl="7">
      <w:start w:val="1"/>
      <w:numFmt w:val="lowerLetter"/>
      <w:lvlText w:val="%8."/>
      <w:lvlJc w:val="left"/>
      <w:pPr>
        <w:tabs>
          <w:tab w:val="num" w:pos="0"/>
        </w:tabs>
        <w:ind w:left="6251" w:hanging="360"/>
      </w:pPr>
    </w:lvl>
    <w:lvl w:ilvl="8">
      <w:start w:val="1"/>
      <w:numFmt w:val="lowerRoman"/>
      <w:lvlText w:val="%9."/>
      <w:lvlJc w:val="right"/>
      <w:pPr>
        <w:tabs>
          <w:tab w:val="num" w:pos="0"/>
        </w:tabs>
        <w:ind w:left="6971" w:hanging="180"/>
      </w:pPr>
    </w:lvl>
  </w:abstractNum>
  <w:abstractNum w:abstractNumId="7">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hyphenationZone w:val="425"/>
  <w:themeFontLang w:val="es-ES"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Times New Roman"/>
        <w:lang w:val="es-ES" w:eastAsia="es-ES" w:bidi="ar-SA"/>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uiPriority="0" w:semiHidden="1" w:unhideWhenUsed="1"/>
    <w:lsdException w:name="footer" w:uiPriority="0"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013000"/>
    <w:pPr>
      <w:widowControl/>
      <w:suppressAutoHyphens w:val="true"/>
      <w:bidi w:val="0"/>
      <w:spacing w:lineRule="auto" w:line="247" w:before="0" w:after="160"/>
      <w:jc w:val="left"/>
      <w:textAlignment w:val="baseline"/>
    </w:pPr>
    <w:rPr>
      <w:rFonts w:ascii="Calibri" w:hAnsi="Calibri" w:eastAsia="Calibri" w:cs="Times New Roman"/>
      <w:color w:val="auto"/>
      <w:kern w:val="0"/>
      <w:sz w:val="22"/>
      <w:szCs w:val="22"/>
      <w:lang w:eastAsia="en-US" w:val="es-ES" w:bidi="ar-SA"/>
    </w:rPr>
  </w:style>
  <w:style w:type="character" w:styleId="DefaultParagraphFont" w:default="1">
    <w:name w:val="Default Paragraph Font"/>
    <w:uiPriority w:val="1"/>
    <w:semiHidden/>
    <w:unhideWhenUsed/>
    <w:qFormat/>
    <w:rPr/>
  </w:style>
  <w:style w:type="character" w:styleId="CapaleraCar" w:customStyle="1">
    <w:name w:val="Capçalera Car"/>
    <w:link w:val="Capalera"/>
    <w:qFormat/>
    <w:rsid w:val="00115eb3"/>
    <w:rPr>
      <w:sz w:val="22"/>
      <w:szCs w:val="22"/>
      <w:lang w:val="es-ES" w:eastAsia="en-US"/>
    </w:rPr>
  </w:style>
  <w:style w:type="character" w:styleId="PeuCar" w:customStyle="1">
    <w:name w:val="Peu Car"/>
    <w:link w:val="Peu"/>
    <w:qFormat/>
    <w:rsid w:val="00115eb3"/>
    <w:rPr>
      <w:sz w:val="22"/>
      <w:szCs w:val="22"/>
      <w:lang w:val="es-ES" w:eastAsia="en-US"/>
    </w:rPr>
  </w:style>
  <w:style w:type="character" w:styleId="TextdeglobusCar" w:customStyle="1">
    <w:name w:val="Text de globus Car"/>
    <w:link w:val="Textdeglobus"/>
    <w:uiPriority w:val="99"/>
    <w:semiHidden/>
    <w:qFormat/>
    <w:rsid w:val="00115eb3"/>
    <w:rPr>
      <w:rFonts w:ascii="Tahoma" w:hAnsi="Tahoma" w:cs="Tahoma"/>
      <w:sz w:val="16"/>
      <w:szCs w:val="16"/>
      <w:lang w:val="es-ES" w:eastAsia="en-US"/>
    </w:rPr>
  </w:style>
  <w:style w:type="character" w:styleId="Mfasi">
    <w:name w:val="Èmfasi"/>
    <w:uiPriority w:val="20"/>
    <w:qFormat/>
    <w:rsid w:val="00b62da4"/>
    <w:rPr>
      <w:i/>
      <w:iCs/>
    </w:rPr>
  </w:style>
  <w:style w:type="character" w:styleId="Lletraperdefectedelpargraf1" w:customStyle="1">
    <w:name w:val="Lletra per defecte del paràgraf1"/>
    <w:qFormat/>
    <w:rsid w:val="00013000"/>
    <w:rPr/>
  </w:style>
  <w:style w:type="character" w:styleId="PlaceholderText">
    <w:name w:val="Placeholder Text"/>
    <w:basedOn w:val="DefaultParagraphFont"/>
    <w:uiPriority w:val="99"/>
    <w:semiHidden/>
    <w:qFormat/>
    <w:rsid w:val="009d1ab8"/>
    <w:rPr>
      <w:color w:val="808080"/>
    </w:rPr>
  </w:style>
  <w:style w:type="paragraph" w:styleId="Encapalament">
    <w:name w:val="Encapçalament"/>
    <w:basedOn w:val="Normal"/>
    <w:next w:val="Cosdeltext"/>
    <w:qFormat/>
    <w:pPr>
      <w:keepNext w:val="true"/>
      <w:spacing w:before="240" w:after="120"/>
    </w:pPr>
    <w:rPr>
      <w:rFonts w:ascii="Liberation Sans" w:hAnsi="Liberation Sans" w:eastAsia="Microsoft YaHei" w:cs="Arial"/>
      <w:sz w:val="28"/>
      <w:szCs w:val="28"/>
    </w:rPr>
  </w:style>
  <w:style w:type="paragraph" w:styleId="Cosdeltext">
    <w:name w:val="Body Text"/>
    <w:basedOn w:val="Normal"/>
    <w:pPr>
      <w:spacing w:lineRule="auto" w:line="276" w:before="0" w:after="140"/>
    </w:pPr>
    <w:rPr/>
  </w:style>
  <w:style w:type="paragraph" w:styleId="Llista">
    <w:name w:val="List"/>
    <w:basedOn w:val="Cosdeltext"/>
    <w:pPr/>
    <w:rPr>
      <w:rFonts w:cs="Arial"/>
    </w:rPr>
  </w:style>
  <w:style w:type="paragraph" w:styleId="Llegenda">
    <w:name w:val="Caption"/>
    <w:basedOn w:val="Normal"/>
    <w:qFormat/>
    <w:pPr>
      <w:suppressLineNumbers/>
      <w:spacing w:before="120" w:after="120"/>
    </w:pPr>
    <w:rPr>
      <w:rFonts w:cs="Arial"/>
      <w:i/>
      <w:iCs/>
      <w:sz w:val="24"/>
      <w:szCs w:val="24"/>
    </w:rPr>
  </w:style>
  <w:style w:type="paragraph" w:styleId="Ndex">
    <w:name w:val="Índex"/>
    <w:basedOn w:val="Normal"/>
    <w:qFormat/>
    <w:pPr>
      <w:suppressLineNumbers/>
    </w:pPr>
    <w:rPr>
      <w:rFonts w:cs="Arial"/>
      <w:lang w:val="zxx" w:eastAsia="zxx" w:bidi="zxx"/>
    </w:rPr>
  </w:style>
  <w:style w:type="paragraph" w:styleId="Capaleraipeu">
    <w:name w:val="Capçalera i peu"/>
    <w:basedOn w:val="Normal"/>
    <w:qFormat/>
    <w:pPr/>
    <w:rPr/>
  </w:style>
  <w:style w:type="paragraph" w:styleId="Capalera">
    <w:name w:val="Header"/>
    <w:basedOn w:val="Normal"/>
    <w:link w:val="CapaleraCar"/>
    <w:unhideWhenUsed/>
    <w:rsid w:val="00115eb3"/>
    <w:pPr>
      <w:tabs>
        <w:tab w:val="clear" w:pos="708"/>
        <w:tab w:val="center" w:pos="4252" w:leader="none"/>
        <w:tab w:val="right" w:pos="8504" w:leader="none"/>
      </w:tabs>
    </w:pPr>
    <w:rPr/>
  </w:style>
  <w:style w:type="paragraph" w:styleId="Peudepgina">
    <w:name w:val="Footer"/>
    <w:basedOn w:val="Normal"/>
    <w:link w:val="PeuCar"/>
    <w:unhideWhenUsed/>
    <w:rsid w:val="00115eb3"/>
    <w:pPr>
      <w:tabs>
        <w:tab w:val="clear" w:pos="708"/>
        <w:tab w:val="center" w:pos="4252" w:leader="none"/>
        <w:tab w:val="right" w:pos="8504" w:leader="none"/>
      </w:tabs>
    </w:pPr>
    <w:rPr/>
  </w:style>
  <w:style w:type="paragraph" w:styleId="BalloonText">
    <w:name w:val="Balloon Text"/>
    <w:basedOn w:val="Normal"/>
    <w:link w:val="TextdeglobusCar"/>
    <w:uiPriority w:val="99"/>
    <w:semiHidden/>
    <w:unhideWhenUsed/>
    <w:qFormat/>
    <w:rsid w:val="00115eb3"/>
    <w:pPr>
      <w:spacing w:lineRule="auto" w:line="240" w:before="0" w:after="0"/>
    </w:pPr>
    <w:rPr>
      <w:rFonts w:ascii="Tahoma" w:hAnsi="Tahoma" w:cs="Tahoma"/>
      <w:sz w:val="16"/>
      <w:szCs w:val="16"/>
    </w:rPr>
  </w:style>
  <w:style w:type="paragraph" w:styleId="ListParagraph">
    <w:name w:val="List Paragraph"/>
    <w:basedOn w:val="Normal"/>
    <w:qFormat/>
    <w:rsid w:val="00013000"/>
    <w:pPr>
      <w:ind w:left="720" w:hanging="0"/>
    </w:pPr>
    <w:rPr/>
  </w:style>
  <w:style w:type="numbering" w:styleId="NoList" w:default="1">
    <w:name w:val="No List"/>
    <w:uiPriority w:val="99"/>
    <w:semiHidden/>
    <w:unhideWhenUsed/>
    <w:qFormat/>
  </w:style>
  <w:style w:type="table" w:default="1" w:styleId="Taulanormal">
    <w:name w:val="Normal Table"/>
    <w:uiPriority w:val="99"/>
    <w:semiHidden/>
    <w:unhideWhenUsed/>
    <w:tblPr>
      <w:tblCellMar>
        <w:top w:w="0" w:type="dxa"/>
        <w:left w:w="108" w:type="dxa"/>
        <w:bottom w:w="0" w:type="dxa"/>
        <w:right w:w="108" w:type="dxa"/>
      </w:tblCellMar>
    </w:tblPr>
  </w:style>
  <w:style w:type="table" w:styleId="Taulaambquadrcula">
    <w:name w:val="Table Grid"/>
    <w:basedOn w:val="Taulanormal"/>
    <w:uiPriority w:val="59"/>
    <w:rsid w:val="00115eb3"/>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footer" Target="footer1.xml"/><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_rels/footer1.xml.rels><?xml version="1.0" encoding="UTF-8"?>
<Relationships xmlns="http://schemas.openxmlformats.org/package/2006/relationships"><Relationship Id="rId1" Type="http://schemas.openxmlformats.org/officeDocument/2006/relationships/image" Target="media/image2.png"/>
</Relationships>
</file>

<file path=word/_rels/header1.xml.rels><?xml version="1.0" encoding="UTF-8"?>
<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icina">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icin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Application>LibreOffice/7.2.1.2$Windows_X86_64 LibreOffice_project/87b77fad49947c1441b67c559c339af8f3517e22</Application>
  <AppVersion>15.0000</AppVersion>
  <Pages>2</Pages>
  <Words>648</Words>
  <Characters>3411</Characters>
  <CharactersWithSpaces>4003</CharactersWithSpaces>
  <Paragraphs>42</Paragraphs>
  <Company>OVH SAS</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2022-03-11T08:12:00Z</dcterms:created>
  <dc:creator>mvalls</dc:creator>
  <dc:description/>
  <dc:language>es-ES</dc:language>
  <cp:lastModifiedBy>Isabel Roqueta</cp:lastModifiedBy>
  <dcterms:modified xsi:type="dcterms:W3CDTF">2023-05-08T12:37:00Z</dcterms:modified>
  <cp:revision>5</cp:revision>
  <dc:subject/>
  <dc:title>Documento en blanco (X2020000223)</dc:title>
</cp:coreProperties>
</file>

<file path=docProps/custom.xml><?xml version="1.0" encoding="utf-8"?>
<Properties xmlns="http://schemas.openxmlformats.org/officeDocument/2006/custom-properties" xmlns:vt="http://schemas.openxmlformats.org/officeDocument/2006/docPropsVTypes"/>
</file>