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2CD6" w:rsidRPr="00E751AF" w:rsidRDefault="00242CD6" w:rsidP="00242CD6">
      <w:pPr>
        <w:pStyle w:val="Textoindependiente"/>
        <w:tabs>
          <w:tab w:val="left" w:pos="1296"/>
        </w:tabs>
        <w:jc w:val="center"/>
        <w:rPr>
          <w:rFonts w:cs="Arial"/>
          <w:sz w:val="22"/>
          <w:szCs w:val="22"/>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bookmarkStart w:id="0" w:name="BLO__BDT_0"/>
      <w:bookmarkStart w:id="1" w:name="_GoBack_0"/>
      <w:bookmarkStart w:id="2" w:name="BLO__BDT"/>
      <w:r w:rsidRPr="00E751AF">
        <w:rPr>
          <w:rFonts w:eastAsia="Times New Roman" w:cs="Arial"/>
          <w:b/>
          <w:iCs/>
          <w:sz w:val="22"/>
          <w:szCs w:val="22"/>
          <w:lang w:eastAsia="es-ES" w:bidi="ar-SA"/>
        </w:rPr>
        <w:t xml:space="preserve">BASES QUE HAN DE REGIR LA CONVOCATORIA PÚBLICA PARA LA CONCESIÓN DE AYUDAS ECONÓMICAS, DE CARÁCTER INDIVIDUAL, PARA LA ADQUISICIÓN DE LOS LIBROS Y MATERIAL ESCOLAR OBLIGATORIO, ASISTENCIA A COLONIAS Y </w:t>
      </w:r>
      <w:r w:rsidR="000931E2" w:rsidRPr="000931E2">
        <w:rPr>
          <w:rFonts w:eastAsia="Times New Roman" w:cs="Arial"/>
          <w:b/>
          <w:iCs/>
          <w:sz w:val="22"/>
          <w:szCs w:val="22"/>
          <w:lang w:eastAsia="es-ES" w:bidi="ar-SA"/>
        </w:rPr>
        <w:t>ASISTENCIAS A GUARDERÍAS O PRIMER CICLO DE EDUCACIÓN INFANTIL</w:t>
      </w:r>
      <w:bookmarkStart w:id="3" w:name="_GoBack"/>
      <w:bookmarkEnd w:id="3"/>
      <w:r w:rsidRPr="00E751AF">
        <w:rPr>
          <w:rFonts w:eastAsia="Times New Roman" w:cs="Arial"/>
          <w:b/>
          <w:iCs/>
          <w:sz w:val="22"/>
          <w:szCs w:val="22"/>
          <w:lang w:eastAsia="es-ES" w:bidi="ar-SA"/>
        </w:rPr>
        <w:t xml:space="preserve"> CURSO 2023/2024</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proofErr w:type="gramStart"/>
      <w:r w:rsidRPr="00E751AF">
        <w:rPr>
          <w:rFonts w:eastAsia="Times New Roman" w:cs="Arial"/>
          <w:b/>
          <w:iCs/>
          <w:sz w:val="22"/>
          <w:szCs w:val="22"/>
          <w:lang w:eastAsia="es-ES" w:bidi="ar-SA"/>
        </w:rPr>
        <w:t>Primera.-</w:t>
      </w:r>
      <w:proofErr w:type="gramEnd"/>
      <w:r w:rsidRPr="00E751AF">
        <w:rPr>
          <w:rFonts w:eastAsia="Times New Roman" w:cs="Arial"/>
          <w:b/>
          <w:iCs/>
          <w:sz w:val="22"/>
          <w:szCs w:val="22"/>
          <w:lang w:eastAsia="es-ES" w:bidi="ar-SA"/>
        </w:rPr>
        <w:t xml:space="preserve"> Objeto de la convocatoria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Constituye el objeto de estas bases regular el régimen aplicable a la concesión de ayudas individuales para la adquisición de libros y material escolar obligatorios, la asistencia a colonias y la asistencia a guarderías o primer ciclo de educación infantil, para el curso 2023-2024, actuación incluida en el Programa de Asistencia y Cooperación Municipal establecido con la Diputación de Tarragona para optimizar la prestación de servicios municipales.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proofErr w:type="gramStart"/>
      <w:r w:rsidRPr="00E751AF">
        <w:rPr>
          <w:rFonts w:eastAsia="Times New Roman" w:cs="Arial"/>
          <w:b/>
          <w:iCs/>
          <w:sz w:val="22"/>
          <w:szCs w:val="22"/>
          <w:lang w:eastAsia="es-ES" w:bidi="ar-SA"/>
        </w:rPr>
        <w:t>Segunda.-</w:t>
      </w:r>
      <w:proofErr w:type="gramEnd"/>
      <w:r w:rsidRPr="00E751AF">
        <w:rPr>
          <w:rFonts w:eastAsia="Times New Roman" w:cs="Arial"/>
          <w:b/>
          <w:iCs/>
          <w:sz w:val="22"/>
          <w:szCs w:val="22"/>
          <w:lang w:eastAsia="es-ES" w:bidi="ar-SA"/>
        </w:rPr>
        <w:t xml:space="preserve"> Destinatarios de las ayudas y requisitos generales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Podrá solicitar la </w:t>
      </w:r>
      <w:proofErr w:type="gramStart"/>
      <w:r w:rsidRPr="00E751AF">
        <w:rPr>
          <w:rFonts w:eastAsia="Times New Roman" w:cs="Arial"/>
          <w:iCs/>
          <w:sz w:val="22"/>
          <w:szCs w:val="22"/>
          <w:lang w:eastAsia="es-ES" w:bidi="ar-SA"/>
        </w:rPr>
        <w:t>ayuda individuales</w:t>
      </w:r>
      <w:proofErr w:type="gramEnd"/>
      <w:r w:rsidRPr="00E751AF">
        <w:rPr>
          <w:rFonts w:eastAsia="Times New Roman" w:cs="Arial"/>
          <w:iCs/>
          <w:sz w:val="22"/>
          <w:szCs w:val="22"/>
          <w:lang w:eastAsia="es-ES" w:bidi="ar-SA"/>
        </w:rPr>
        <w:t xml:space="preserve"> para la adquisición de libros y material escolares obligatorio, la asistencia a colonias y la asistencia a guarderías o primer ciclo de educación infantil, el alumnado que reúna los siguientes requisitos: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a.- estar matriculado en un centro del Priorat, sostenido con fondos públicos de Cataluña, en cualquiera de los cursos de las enseñanzas de segundo ciclo de educación infantil o de enseñanzas obligatorias, durante el curso correspondiente a la convocatoria, o </w:t>
      </w:r>
      <w:proofErr w:type="gramStart"/>
      <w:r w:rsidRPr="00E751AF">
        <w:rPr>
          <w:rFonts w:eastAsia="Times New Roman" w:cs="Arial"/>
          <w:iCs/>
          <w:sz w:val="22"/>
          <w:szCs w:val="22"/>
          <w:lang w:eastAsia="es-ES" w:bidi="ar-SA"/>
        </w:rPr>
        <w:t>guardería ,</w:t>
      </w:r>
      <w:proofErr w:type="gramEnd"/>
      <w:r w:rsidRPr="00E751AF">
        <w:rPr>
          <w:rFonts w:eastAsia="Times New Roman" w:cs="Arial"/>
          <w:iCs/>
          <w:sz w:val="22"/>
          <w:szCs w:val="22"/>
          <w:lang w:eastAsia="es-ES" w:bidi="ar-SA"/>
        </w:rPr>
        <w:t xml:space="preserve"> cuando no sea gratuita, o primer ciclo de educación infantil (de acuerdo con el Decreto 282/2006, de los requisitos de los centros del primer ciclo de educación infantil .DOGC 4670 06.07.06 ).</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No superar el siguiente nivel de renta, teniendo en cuenta el número de miembros computables de la unidad familiar.</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El umbral se calculará en función de los miembros computables de la unidad familiar y por la agregación de las unidades de consumo que se detallan a continuación:</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primer adulto (sustentadores principales): 11.356,6.- euros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segundo adultos (sustentadores principales): 5.682,8.- euros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 otros adultos que integran la unidad familiar distintos a los sustentadores principales: 2.841,4.- euros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d) por cada niño de la unidad familiar 3.409,7.- euros.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 No superar el umbral de volumen de negocio. Podrán optar a las ayudas, las unidades familiares con unos ingresos de los tipos que se indican a continuación obtenidos por los miembros computables de la unidad familiar que no superen la cantidad de a 155.000 €:</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1. ingresos procedentes de actividades económicas en estimación directa o en estimación objetiva.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2. ingresos procedentes de una participación del conjunto de los miembros computables igual o superior al 50 por ciento en actividades económicas desarrolladas a través de entidades sin personalidad jurídica o en cualquier otra clase de entidad jurídica, una vez aplicados a los ingresos totales de las actividades, el porcentaje de participación de las mismas.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d.- No superar el umbral de rendimientos patrimoniales. Podrán optar a las ayudas, las unidades familiares en las que la suma de todos los rendimientos netos reducidos del capital mobiliario más el saldo neto positivo de todas las ganancias y pérdidas patrimoniales que </w:t>
      </w:r>
      <w:r w:rsidRPr="00E751AF">
        <w:rPr>
          <w:rFonts w:eastAsia="Times New Roman" w:cs="Arial"/>
          <w:iCs/>
          <w:sz w:val="22"/>
          <w:szCs w:val="22"/>
          <w:lang w:eastAsia="es-ES" w:bidi="ar-SA"/>
        </w:rPr>
        <w:lastRenderedPageBreak/>
        <w:t>pertenecen pertenecientes a los miembros computables de la familia, excluyendo las subvenciones recibidas para el adquisición o rehabilitación de la vivienda habitual y, en su caso, la renta básica de emancipación, no supere 1.700 €.</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NO se tendrán en cuenta a efectos en este apartado los primeros 1.500,00 € de los premios, en metálico o especie, obtenidos por la participación en juegos, concursos, rifas o combinaciones aleatorias.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Asimismo, tampoco se tendrán en cuenta aquellas prestaciones económicas de urgencia sociales, otorgadas por administraciones públicas, para atender situaciones de necesidad puntuales, urgentes y básicas de subsistencia (alimentación, vestidos, alojamientos...), y que hayan sido debidamente acreditadas</w:t>
      </w:r>
      <w:proofErr w:type="gramStart"/>
      <w:r w:rsidRPr="00E751AF">
        <w:rPr>
          <w:rFonts w:eastAsia="Times New Roman" w:cs="Arial"/>
          <w:iCs/>
          <w:sz w:val="22"/>
          <w:szCs w:val="22"/>
          <w:lang w:eastAsia="es-ES" w:bidi="ar-SA"/>
        </w:rPr>
        <w:t xml:space="preserve"> ..</w:t>
      </w:r>
      <w:proofErr w:type="gramEnd"/>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Los elementos indicativos de patrimonio se computarán de conformidad con lo dispuesto en la normativa del impuesto de la renta de las personas físicas, según su valor a 31 de diciembre de 2022.</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roofErr w:type="spellStart"/>
      <w:r w:rsidRPr="00E751AF">
        <w:rPr>
          <w:rFonts w:eastAsia="Times New Roman" w:cs="Arial"/>
          <w:iCs/>
          <w:sz w:val="22"/>
          <w:szCs w:val="22"/>
          <w:lang w:eastAsia="es-ES" w:bidi="ar-SA"/>
        </w:rPr>
        <w:t>e</w:t>
      </w:r>
      <w:proofErr w:type="spellEnd"/>
      <w:r w:rsidRPr="00E751AF">
        <w:rPr>
          <w:rFonts w:eastAsia="Times New Roman" w:cs="Arial"/>
          <w:iCs/>
          <w:sz w:val="22"/>
          <w:szCs w:val="22"/>
          <w:lang w:eastAsia="es-ES" w:bidi="ar-SA"/>
        </w:rPr>
        <w:t>.- La suma de los valores catastrales de las fincas urbanas de los miembros computables que componen la unidad familiar, excluida la vivienda habitual, no puede superar los 42.900,00.-€. En el caso de inmuebles en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valores: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0,43 los revisados en 2003</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0,37 los revisados en 2004</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0,30 los revisados en 2005</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0,26 los revisados en 2006</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0,25 los revisados en 2007</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0,25 los revisados en 2008</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0,26 los revisados en 2009</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0,28 los revisados en 2010</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0,30 los revisados en 2011</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0,32 los revisados en 2012</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0,34 los revisados en 2013</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0,36 los revisados entre 2014 y 2021, ambos incluidos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0,35 los revisados en 2022</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f.- la suma de los valores catastrales de las fincas rústicas excluida la vivienda habitual que pertenezcan a los miembros computables de la unidad familiar no puede superar la cantidad de 13.130,00.-e por cada miembro computable.</w:t>
      </w:r>
    </w:p>
    <w:p w:rsidR="00242CD6"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efectos del cómputo del valor de dichos elementos patrimoniales y valores catastrales, se deducirá el 50% del valor de los que pertenezcan a cualquier miembro computable de la familia, excluidos los sustentadores principales.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proofErr w:type="gramStart"/>
      <w:r w:rsidRPr="00E751AF">
        <w:rPr>
          <w:rFonts w:eastAsia="Times New Roman" w:cs="Arial"/>
          <w:b/>
          <w:iCs/>
          <w:sz w:val="22"/>
          <w:szCs w:val="22"/>
          <w:lang w:eastAsia="es-ES" w:bidi="ar-SA"/>
        </w:rPr>
        <w:t>Tercera.-</w:t>
      </w:r>
      <w:proofErr w:type="gramEnd"/>
      <w:r w:rsidRPr="00E751AF">
        <w:rPr>
          <w:rFonts w:eastAsia="Times New Roman" w:cs="Arial"/>
          <w:b/>
          <w:iCs/>
          <w:sz w:val="22"/>
          <w:szCs w:val="22"/>
          <w:lang w:eastAsia="es-ES" w:bidi="ar-SA"/>
        </w:rPr>
        <w:t xml:space="preserve"> Cálculo de la Renta Familiar</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El Consejo Comarcal calculará la renta familiar por la agregación de las rentas correspondientes al ejercicio 2022 de cada uno de los miembros contables de la familia que obtenga ingresos de cualquier naturaleza, según se indica en los párrafos siguientes, y de conformidad con la normativa reguladora del impuesto sobre la renta de las personas físicas.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lastRenderedPageBreak/>
        <w:t>Para el cálculo de la renta familiar a efectos de recibir estas ayudas, son miembros computables los progenitores y, en su caso, el/la tutor/a o persona encargada de la guarda y protección del menor, el solicitante, los hermanos solteros menores de veinticinco años y que convivan en el domicilio familiar a 31 de diciembre de 2022, o los de mayor edad, cuando se trate de personas con discapacidad física, psíquica o sensorial, así como los ascendientes de los padres que justifiquen su residencia en el mismo domicilio que los anteriores con el certificado municipal correspondiente.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En el caso de divorcio o separación legal de los padres, o de acuerdo con el acta final de mediación del Departamento de Justicia no se considerará miembro computable aquél que no conviva con el solicitante de la ayuda. Sin embargo, tendrá consideración de miembro computable, en su caso, el nuevo cónyuge o persona unida por análoga relación, cuya renta se incluirá dentro del cómputo de la renta familiar.</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En los casos de custodia compartida, se considerarán miembros de la unidad familiar únicamente: el solicitante, sus progenitores, aunque no convivan, y los hijos comunes de éstos.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En los casos de violencia de género habrá que actuar atendiendo a lo que se establece en los artículos 33 y 48, de la Ley 5/2008, de 24 de abril, del derecho de las mujeres a erradicar la violencia machista (DOGC núm. </w:t>
      </w:r>
      <w:proofErr w:type="gramStart"/>
      <w:r w:rsidRPr="00E751AF">
        <w:rPr>
          <w:rFonts w:eastAsia="Times New Roman" w:cs="Arial"/>
          <w:iCs/>
          <w:sz w:val="22"/>
          <w:szCs w:val="22"/>
          <w:lang w:eastAsia="es-ES" w:bidi="ar-SA"/>
        </w:rPr>
        <w:t>5123 ,</w:t>
      </w:r>
      <w:proofErr w:type="gramEnd"/>
      <w:r w:rsidRPr="00E751AF">
        <w:rPr>
          <w:rFonts w:eastAsia="Times New Roman" w:cs="Arial"/>
          <w:iCs/>
          <w:sz w:val="22"/>
          <w:szCs w:val="22"/>
          <w:lang w:eastAsia="es-ES" w:bidi="ar-SA"/>
        </w:rPr>
        <w:t xml:space="preserve"> de 2.5.2008)</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Para la determinación de la renta de los miembros computables que hayan presentado declaración del impuesto sobre la renta de las personas físicas, se procederá de la siguiente forma: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1.- Se sumará la base imponible general con la base imponible del ahorro, excluyendo los saldos netos negativos de ganancias y pérdidas patrimoniales correspondientes de 2018 a 2021 y el saldo negativo de rendimientos de capital mobiliario de 2018 a 2021 a integrar en la base imponible del ahorro.</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2.- A este resultado se restará la cuota resultante de la autoliquidación.</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Para la determinación de la renta de los miembros computables que obtengan ingresos propios y no hayan presentado declaración por el impuesto sobre la renta de las personas físicas, se seguirá el procedimiento descrito en el apartado primero, y del resultado obtenido se restarán los pagos efectuados a cuentas.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En los casos en que alguno de los miembros de la unidad familiar estuviera recibiendo cualquier tipo de ingreso correspondiente a rendimientos no contributivos, se tendrá en cuenta el importe percibido anual en el ejercicio 2022 (como pueden ser RGC, y/u otras pensiones no contributivas)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DEDUCCIONES.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1.- A efectos de la determinación de la renta a que se refieren los párrafos anteriores, se deduce el 50% de los ingresos aportados por cualquiera de los miembros contables de la familia, que no sean sus principales sustentadores.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2.- La cantidad de </w:t>
      </w:r>
      <w:proofErr w:type="gramStart"/>
      <w:r w:rsidRPr="00E751AF">
        <w:rPr>
          <w:rFonts w:eastAsia="Times New Roman" w:cs="Arial"/>
          <w:iCs/>
          <w:sz w:val="22"/>
          <w:szCs w:val="22"/>
          <w:lang w:eastAsia="es-ES" w:bidi="ar-SA"/>
        </w:rPr>
        <w:t>800,000.-</w:t>
      </w:r>
      <w:proofErr w:type="gramEnd"/>
      <w:r w:rsidRPr="00E751AF">
        <w:rPr>
          <w:rFonts w:eastAsia="Times New Roman" w:cs="Arial"/>
          <w:iCs/>
          <w:sz w:val="22"/>
          <w:szCs w:val="22"/>
          <w:lang w:eastAsia="es-ES" w:bidi="ar-SA"/>
        </w:rPr>
        <w:t xml:space="preserve"> € por cada hermano o hermana, incluida la persona solicitante que conviva en el domicilio familiar, cuando acredite la condición de familia monoparental</w:t>
      </w:r>
    </w:p>
    <w:p w:rsidR="00242CD6"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3.- La cantidad de 800.-€, cuando acrediten la existencia de niños en acogimiento en la unidad familiar extensa o ajena.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proofErr w:type="gramStart"/>
      <w:r w:rsidRPr="00E751AF">
        <w:rPr>
          <w:rFonts w:eastAsia="Times New Roman" w:cs="Arial"/>
          <w:b/>
          <w:iCs/>
          <w:sz w:val="22"/>
          <w:szCs w:val="22"/>
          <w:lang w:eastAsia="es-ES" w:bidi="ar-SA"/>
        </w:rPr>
        <w:t>Cuarta.-</w:t>
      </w:r>
      <w:proofErr w:type="gramEnd"/>
      <w:r w:rsidRPr="00E751AF">
        <w:rPr>
          <w:rFonts w:eastAsia="Times New Roman" w:cs="Arial"/>
          <w:b/>
          <w:iCs/>
          <w:sz w:val="22"/>
          <w:szCs w:val="22"/>
          <w:lang w:eastAsia="es-ES" w:bidi="ar-SA"/>
        </w:rPr>
        <w:t xml:space="preserve"> Criterios para el otorgamiento de las ayudas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Para el otorgamiento de las ayudas individuales por adquisición de libros, asistencia a guarderías y asistencia a colonias se tendrá en cuenta la puntuación general obtenida, atendiendo a la situación socioeconómica de la unidad familiar y, cuando proceda, las situaciones específicas que pueda acreditar a la familia ya la valoración específica de los servicios sociales, de acuerdo con lo siguiente: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4.1.- Datos familiares.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Por este concepto se establece un máximo de hasta 15 puntos, que se calculará por la agregación de los puntos obtenidos por los diferentes conceptos que se relacionan a </w:t>
      </w:r>
      <w:proofErr w:type="gramStart"/>
      <w:r w:rsidRPr="00E751AF">
        <w:rPr>
          <w:rFonts w:eastAsia="Times New Roman" w:cs="Arial"/>
          <w:iCs/>
          <w:sz w:val="22"/>
          <w:szCs w:val="22"/>
          <w:lang w:eastAsia="es-ES" w:bidi="ar-SA"/>
        </w:rPr>
        <w:t>continuación:,</w:t>
      </w:r>
      <w:proofErr w:type="gramEnd"/>
      <w:r w:rsidRPr="00E751AF">
        <w:rPr>
          <w:rFonts w:eastAsia="Times New Roman" w:cs="Arial"/>
          <w:iCs/>
          <w:sz w:val="22"/>
          <w:szCs w:val="22"/>
          <w:lang w:eastAsia="es-ES" w:bidi="ar-SA"/>
        </w:rPr>
        <w:t xml:space="preserve"> los cuales deberán acreditarse fehacientemente mediante certificación del organismo competente .</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Calificación de familia numerosa general: 1,5 puntos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Calificación de familia numerosa especial: 3 puntos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c. Condición de </w:t>
      </w:r>
      <w:proofErr w:type="spellStart"/>
      <w:r w:rsidRPr="00E751AF">
        <w:rPr>
          <w:rFonts w:eastAsia="Times New Roman" w:cs="Arial"/>
          <w:iCs/>
          <w:sz w:val="22"/>
          <w:szCs w:val="22"/>
          <w:lang w:eastAsia="es-ES" w:bidi="ar-SA"/>
        </w:rPr>
        <w:t>monoparentalidad</w:t>
      </w:r>
      <w:proofErr w:type="spellEnd"/>
      <w:r w:rsidRPr="00E751AF">
        <w:rPr>
          <w:rFonts w:eastAsia="Times New Roman" w:cs="Arial"/>
          <w:iCs/>
          <w:sz w:val="22"/>
          <w:szCs w:val="22"/>
          <w:lang w:eastAsia="es-ES" w:bidi="ar-SA"/>
        </w:rPr>
        <w:t xml:space="preserve"> general: 1,5 puntos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d. Condición de </w:t>
      </w:r>
      <w:proofErr w:type="spellStart"/>
      <w:r w:rsidRPr="00E751AF">
        <w:rPr>
          <w:rFonts w:eastAsia="Times New Roman" w:cs="Arial"/>
          <w:iCs/>
          <w:sz w:val="22"/>
          <w:szCs w:val="22"/>
          <w:lang w:eastAsia="es-ES" w:bidi="ar-SA"/>
        </w:rPr>
        <w:t>monoparentalidad</w:t>
      </w:r>
      <w:proofErr w:type="spellEnd"/>
      <w:r w:rsidRPr="00E751AF">
        <w:rPr>
          <w:rFonts w:eastAsia="Times New Roman" w:cs="Arial"/>
          <w:iCs/>
          <w:sz w:val="22"/>
          <w:szCs w:val="22"/>
          <w:lang w:eastAsia="es-ES" w:bidi="ar-SA"/>
        </w:rPr>
        <w:t xml:space="preserve"> especial: 3 puntos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 Existencia de niños en acogimiento en la unidad familiar: 3 puntos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f. Condición de discapacidad de hasta un 33%: 1,5 puntos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g. Condición de discapacidad de más de un 33%: 3 puntos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h. Redistribución equilibrada de alumnado con necesidades educativas específicas: hasta 3 puntos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4.2.- Valoración por parte de los servicios sociales por necesidad social grave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Por este concepto se establece un baremo máximo de hasta 15 puntos. En este caso, será preceptivo que el alumno esté en seguimiento, por parte de los servicios sociales del Consejo Comarcal, es decir, que el alumno esté incluido en un plan de intervención o trabajo o por riesgo de exclusión social.</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Situación de riesgo social: 10 puntos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Situación de riesgo social grave: 15 puntos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proofErr w:type="gramStart"/>
      <w:r w:rsidRPr="00E751AF">
        <w:rPr>
          <w:rFonts w:eastAsia="Times New Roman" w:cs="Arial"/>
          <w:b/>
          <w:iCs/>
          <w:sz w:val="22"/>
          <w:szCs w:val="22"/>
          <w:lang w:eastAsia="es-ES" w:bidi="ar-SA"/>
        </w:rPr>
        <w:t>Quinta.-</w:t>
      </w:r>
      <w:proofErr w:type="gramEnd"/>
      <w:r w:rsidRPr="00E751AF">
        <w:rPr>
          <w:rFonts w:eastAsia="Times New Roman" w:cs="Arial"/>
          <w:b/>
          <w:iCs/>
          <w:sz w:val="22"/>
          <w:szCs w:val="22"/>
          <w:lang w:eastAsia="es-ES" w:bidi="ar-SA"/>
        </w:rPr>
        <w:t xml:space="preserve"> Umbrales de renta.-importes de las ayudas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5.1. Por adquisición de libros: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El importe máximo de las ayudas por alumno es de: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EI-EP: Ayuda entera: 96,00.-€ Media ayuda: 48,00.-€</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ESO: Ayuda entera: 111,00.-€ Media ayuda: 55,50.-€</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En ningún caso, el importe de la ayuda superará el gasto ocasionado por la adquisición de libros.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5.2. Para la asistencia a la guardería o primer ciclo de Educación infantil, el importe entero es de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El importe máximo de las ayudas por alumno es de: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CON SERVICIO DE COMEDOR</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Ayuda entera: 119.- euros/mes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Media ayuda: 59,50- euros/mes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SIN SERVICIO DE COMEDOR</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Ayuda entera: 74.-euros/mes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Media ayuda: 37.-euros/mes.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Se fija un período máximo de 10 meses.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5.3. Para la asistencia a colonias: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El importe máximo de las ayudas por alumno es de: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Ayuda entera: 26,00.-euros/día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Media ayuda: 13,00.-euros/día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Se fija un período máximo de 12 días.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w:t>
      </w:r>
      <w:proofErr w:type="gramStart"/>
      <w:r w:rsidRPr="00E751AF">
        <w:rPr>
          <w:rFonts w:eastAsia="Times New Roman" w:cs="Arial"/>
          <w:iCs/>
          <w:sz w:val="22"/>
          <w:szCs w:val="22"/>
          <w:lang w:eastAsia="es-ES" w:bidi="ar-SA"/>
        </w:rPr>
        <w:t>-.Umbral</w:t>
      </w:r>
      <w:proofErr w:type="gramEnd"/>
      <w:r w:rsidRPr="00E751AF">
        <w:rPr>
          <w:rFonts w:eastAsia="Times New Roman" w:cs="Arial"/>
          <w:iCs/>
          <w:sz w:val="22"/>
          <w:szCs w:val="22"/>
          <w:lang w:eastAsia="es-ES" w:bidi="ar-SA"/>
        </w:rPr>
        <w:t xml:space="preserve"> de renta 1.- Media ayuda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Renta familiar máxima que garantiza media ayuda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Se concederá media ayuda, si la renta familiar calculada de acuerdo con lo que dicen las bases, no supera el siguiente umbral, en función de los miembros computables y por la agregación de las unidades de consumo que se detallan a continuación:</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primer adulto (sustentadores principales): 10.981,40.- euros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b. </w:t>
      </w:r>
      <w:proofErr w:type="gramStart"/>
      <w:r w:rsidRPr="00E751AF">
        <w:rPr>
          <w:rFonts w:eastAsia="Times New Roman" w:cs="Arial"/>
          <w:iCs/>
          <w:sz w:val="22"/>
          <w:szCs w:val="22"/>
          <w:lang w:eastAsia="es-ES" w:bidi="ar-SA"/>
        </w:rPr>
        <w:t>segundo adultos</w:t>
      </w:r>
      <w:proofErr w:type="gramEnd"/>
      <w:r w:rsidRPr="00E751AF">
        <w:rPr>
          <w:rFonts w:eastAsia="Times New Roman" w:cs="Arial"/>
          <w:iCs/>
          <w:sz w:val="22"/>
          <w:szCs w:val="22"/>
          <w:lang w:eastAsia="es-ES" w:bidi="ar-SA"/>
        </w:rPr>
        <w:t xml:space="preserve"> (sustentadores principales): 5.490,80.- euros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 otros adultos que integran la unidad familiar diferentes a los principales sustentadores: 2.745,35.- euros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d. por cada niño de la unidad familiar 3.294,45.- euros.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Umbrales de renta 2.- Ayuda entera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Se concederá una ayuda entera, si la renta familiar anual no supera el umbral de renta, calculada de acuerdo con: 60% de lo establecido por la obtención de media ayuda y acreditar una puntuación igual o superior a 15 puntos entre los ámbitos 4.2 y 4.3</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Se concederá una ayuda del 100%, si el umbral de la renta familiar calculada de acuerdo con lo que establecen las bases, es el 50% de lo establecido para la obtención de una ayuda del tramo garantizado de la media ayuda.</w:t>
      </w:r>
    </w:p>
    <w:p w:rsidR="00242CD6" w:rsidRPr="00E751AF" w:rsidRDefault="00E751AF" w:rsidP="00E751AF">
      <w:pPr>
        <w:widowControl/>
        <w:suppressAutoHyphens w:val="0"/>
        <w:spacing w:line="276" w:lineRule="auto"/>
        <w:jc w:val="both"/>
        <w:rPr>
          <w:rFonts w:eastAsia="Times New Roman" w:cs="Arial"/>
          <w:bCs/>
          <w:color w:val="000000"/>
          <w:sz w:val="22"/>
          <w:szCs w:val="22"/>
          <w:lang w:eastAsia="es-ES" w:bidi="ar-SA"/>
        </w:rPr>
      </w:pPr>
      <w:r w:rsidRPr="00E751AF">
        <w:rPr>
          <w:rFonts w:eastAsia="Times New Roman" w:cs="Arial"/>
          <w:iCs/>
          <w:sz w:val="22"/>
          <w:szCs w:val="22"/>
          <w:lang w:eastAsia="es-ES" w:bidi="ar-SA"/>
        </w:rPr>
        <w:t xml:space="preserve">En caso de que se acredite un nivel de renta 2,5 veces a lo establecido por la obtención de una ayuda del tramo garantizado de la media ayuda, y una discapacidad superior o igual al 33 % (acreditada con certificación </w:t>
      </w:r>
      <w:proofErr w:type="gramStart"/>
      <w:r w:rsidRPr="00E751AF">
        <w:rPr>
          <w:rFonts w:eastAsia="Times New Roman" w:cs="Arial"/>
          <w:iCs/>
          <w:sz w:val="22"/>
          <w:szCs w:val="22"/>
          <w:lang w:eastAsia="es-ES" w:bidi="ar-SA"/>
        </w:rPr>
        <w:t>de la órgano competente</w:t>
      </w:r>
      <w:proofErr w:type="gramEnd"/>
      <w:r w:rsidRPr="00E751AF">
        <w:rPr>
          <w:rFonts w:eastAsia="Times New Roman" w:cs="Arial"/>
          <w:iCs/>
          <w:sz w:val="22"/>
          <w:szCs w:val="22"/>
          <w:lang w:eastAsia="es-ES" w:bidi="ar-SA"/>
        </w:rPr>
        <w:t>), se garantizará una ayuda del 100%.</w:t>
      </w:r>
    </w:p>
    <w:p w:rsidR="00242CD6" w:rsidRPr="00E751AF" w:rsidRDefault="00242CD6" w:rsidP="00242CD6">
      <w:pPr>
        <w:widowControl/>
        <w:tabs>
          <w:tab w:val="left" w:pos="5103"/>
        </w:tabs>
        <w:suppressAutoHyphens w:val="0"/>
        <w:spacing w:line="276" w:lineRule="auto"/>
        <w:jc w:val="both"/>
        <w:rPr>
          <w:rFonts w:eastAsia="Times New Roman" w:cs="Arial"/>
          <w:bCs/>
          <w:color w:val="000000"/>
          <w:sz w:val="22"/>
          <w:szCs w:val="22"/>
          <w:lang w:eastAsia="es-ES" w:bidi="ar-SA"/>
        </w:rPr>
      </w:pPr>
    </w:p>
    <w:p w:rsidR="00242CD6" w:rsidRPr="00E751AF" w:rsidRDefault="00242CD6" w:rsidP="00242CD6">
      <w:pPr>
        <w:widowControl/>
        <w:tabs>
          <w:tab w:val="left" w:pos="5103"/>
        </w:tabs>
        <w:suppressAutoHyphens w:val="0"/>
        <w:spacing w:line="276" w:lineRule="auto"/>
        <w:jc w:val="both"/>
        <w:rPr>
          <w:rFonts w:eastAsia="Times New Roman" w:cs="Arial"/>
          <w:bCs/>
          <w:color w:val="000000"/>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proofErr w:type="gramStart"/>
      <w:r w:rsidRPr="00E751AF">
        <w:rPr>
          <w:rFonts w:eastAsia="Times New Roman" w:cs="Arial"/>
          <w:b/>
          <w:iCs/>
          <w:sz w:val="22"/>
          <w:szCs w:val="22"/>
          <w:lang w:eastAsia="es-ES" w:bidi="ar-SA"/>
        </w:rPr>
        <w:t>Sexta.-</w:t>
      </w:r>
      <w:proofErr w:type="gramEnd"/>
      <w:r w:rsidRPr="00E751AF">
        <w:rPr>
          <w:rFonts w:eastAsia="Times New Roman" w:cs="Arial"/>
          <w:b/>
          <w:iCs/>
          <w:sz w:val="22"/>
          <w:szCs w:val="22"/>
          <w:lang w:eastAsia="es-ES" w:bidi="ar-SA"/>
        </w:rPr>
        <w:t xml:space="preserve"> Tramitación de las solicitudes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Las familias interesadas tendrán que presentar las solicitudes vía telemática a través la sede electrónica del Consejo Comarcal del Priorat (https://www.seu-e.cat/ca/web/ccpriorat/tramits-i-gestions) adjuntando un impreso normalizado que se colgará en la web del Consell Comarcal y que las escuelas también tendrán a disposición de las familias. Las solicitudes se presentarán individualmente por cada alumno. Si solicita la ayuda más de un miembro de la familia que acuden al mismo centro escolar, se hará un único impreso.</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Las familias que no puedan formalizar la solicitud por este sistema podrán presentarla en el centro escolar de referencia a través de los canales que establezca el mismo centro escolar.</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Igualmente será válido cualquiera de los medios establecidos en la Ley 39/2015, de 1 de octubre, del Procedimiento Administrativo Común de las Administraciones Públicas.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 </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La presentación de las solicitudes implica la autorización de todos y cada uno de los miembros de la unidad familiar, a fin de que el Consejo Comarcal pueda solicitar a la Agencia Tributaria ya otras administraciones los datos relativos a la renta, al patrimonio familiar y otra información necesaria para solicitar la ayuda, en caso de no querer dar esta autorización deberá hacerse constar expresamente.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Documentación obligatoria: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Modelo normalizado de solicitud modelo a, o modelo b, según se realice el abono de la beca, en el primer caso al centro escolar directamente, y en el segundo al beneficiario de la ayuda, debidamente cumplimentada, donde firmarán todos los miembros de la unidad familiar mayores de 18 años, indicando nombre, apellidos y NIF/NIE.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En el caso del beneficiario de la ayuda, deberá informarse del IDALU (código identificador único, que se asigna a cada alumno, dentro del Registro de alumnos (RALC) que ha creado el Departamento de Enseñanza para todas las enseñanzas regladas y no universitarias de Cataluña (en caso de no conocerlo la familia puede pedirlo al centro educativo.), y del NIF/NIE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 Datos relativos a la convivencia: el Consejo Comarcal obtendrá el volante de convivencia del EACAT, a través de la Vía Abierta.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d. Fotocopia del NIF/NIE de todos los miembros de la unidad de convivencia, o en caso de no disponer de ella, el certificado de nacimiento o libro de familia.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 Documentación acreditativa de los ingresos familiares de todos los miembros de la unidad familiar. El Consejo Comarcal obtendrá esta información la EACAT, a través de la Vía Abierta.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En los casos en que algún miembro de la unidad familiar reciba cualquier tipo de ingreso correspondiente a rendimientos no contributivos, deberá aportarse la documentación correspondiente al ejercicio 2021, en función de la fuente de ingresos que se relaciona.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informe de la vida laboral actualizado, emitido por la Seguridad Social.</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las personas que perciban la Renta Garantizada de Ciudadanía, o Ingreso Mínimo Vital: certificado acreditativo del importe total percibido durante el año 2021</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 los pensionistas: certificado acreditativo de la percepción de una pensión y su cuantía.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En caso de que el Consejo Comarcal lo crea oportuno, podrá requerir otra documentación necesaria para la valoración de la situación socioeconómica de la unidad familiar.</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Documentación complementaria: Con el fin de conseguir puntuación complementaría, deberá adjuntarse la siguiente documentación, con el fin de acreditar situaciones específicas de la unidad familiar.</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Acreditación de familias numerosas con el carné. (el consejo comarcal puede obtenerlo a través de la EACAT)</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Acreditación de familias monoparentales con el carné de familia monoparental (el consejo comarcal puede obtenerlo a través de la EACAT).</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 Resolución de la DG de Atención a la Infancia y la Adolescencia, en caso de niño en acogimiento</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d. Certificado emitido por un Centro de Atención a Personas con Discapacidad (CAD) del Departamento de Bienestar y Familia, o por los organismos competentes de otras comunidades autónomas. (el consejo comarcal puede obtenerlo mediante la </w:t>
      </w:r>
      <w:proofErr w:type="spellStart"/>
      <w:r w:rsidRPr="00E751AF">
        <w:rPr>
          <w:rFonts w:eastAsia="Times New Roman" w:cs="Arial"/>
          <w:iCs/>
          <w:sz w:val="22"/>
          <w:szCs w:val="22"/>
          <w:lang w:eastAsia="es-ES" w:bidi="ar-SA"/>
        </w:rPr>
        <w:t>eACAT</w:t>
      </w:r>
      <w:proofErr w:type="spellEnd"/>
      <w:r w:rsidRPr="00E751AF">
        <w:rPr>
          <w:rFonts w:eastAsia="Times New Roman" w:cs="Arial"/>
          <w:iCs/>
          <w:sz w:val="22"/>
          <w:szCs w:val="22"/>
          <w:lang w:eastAsia="es-ES" w:bidi="ar-SA"/>
        </w:rPr>
        <w:t>)</w:t>
      </w:r>
    </w:p>
    <w:p w:rsidR="00242CD6"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 Convenio, sentencia de divorcio o acta final de mediación del Departamento de Justicia.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proofErr w:type="gramStart"/>
      <w:r w:rsidRPr="00E751AF">
        <w:rPr>
          <w:rFonts w:eastAsia="Times New Roman" w:cs="Arial"/>
          <w:b/>
          <w:iCs/>
          <w:sz w:val="22"/>
          <w:szCs w:val="22"/>
          <w:lang w:eastAsia="es-ES" w:bidi="ar-SA"/>
        </w:rPr>
        <w:t>Séptima.-</w:t>
      </w:r>
      <w:proofErr w:type="gramEnd"/>
      <w:r w:rsidRPr="00E751AF">
        <w:rPr>
          <w:rFonts w:eastAsia="Times New Roman" w:cs="Arial"/>
          <w:b/>
          <w:iCs/>
          <w:sz w:val="22"/>
          <w:szCs w:val="22"/>
          <w:lang w:eastAsia="es-ES" w:bidi="ar-SA"/>
        </w:rPr>
        <w:t xml:space="preserve"> Plazo de presentación de solicitudes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El plazo para que el centro traslade las solicitudes que le hayan presentado al Consejo Comarcal del Priorat, finaliza el 30 de junio en primera convocatoria, y el 30 de octubre en segunda convocatoria, en lo que respecta a las solicitudes por adquisición de libros y material escolar obligatorios y la asistencia a guarderías o primer ciclo de Educación infantil. Por lo que respecta a la asistencia a colonias, veinte días antes de la celebración de las colonias.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No se aceptará ninguna solicitud de después de este plazo, excepto cuando:</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El alumno se matricula posteriormente en la fecha final del plazo de presentación de solicitudes.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Se acredite un elevado agravio económico y social sobrevenido, en situación de riesgo, acreditado mediante informe del EBSS, y que no se haya detectado en el plazo ordinario de presentación de solicitudes.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proofErr w:type="gramStart"/>
      <w:r w:rsidRPr="00E751AF">
        <w:rPr>
          <w:rFonts w:eastAsia="Times New Roman" w:cs="Arial"/>
          <w:b/>
          <w:iCs/>
          <w:sz w:val="22"/>
          <w:szCs w:val="22"/>
          <w:lang w:eastAsia="es-ES" w:bidi="ar-SA"/>
        </w:rPr>
        <w:t>Octava.-</w:t>
      </w:r>
      <w:proofErr w:type="gramEnd"/>
      <w:r w:rsidRPr="00E751AF">
        <w:rPr>
          <w:rFonts w:eastAsia="Times New Roman" w:cs="Arial"/>
          <w:b/>
          <w:iCs/>
          <w:sz w:val="22"/>
          <w:szCs w:val="22"/>
          <w:lang w:eastAsia="es-ES" w:bidi="ar-SA"/>
        </w:rPr>
        <w:t xml:space="preserve"> Incompatibilidades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Con cualquier ayuda de otro organismo público o privado, recibido por el mismo concepto. En caso de que posterior al cobro de las ayudas, los beneficiarios obtengan cualquier otra ayuda, estarán obligados a devolver uno de los importes, y presentar justificante de la devolución al Consejo Comarcal.</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proofErr w:type="gramStart"/>
      <w:r w:rsidRPr="00E751AF">
        <w:rPr>
          <w:rFonts w:eastAsia="Times New Roman" w:cs="Arial"/>
          <w:b/>
          <w:iCs/>
          <w:sz w:val="22"/>
          <w:szCs w:val="22"/>
          <w:lang w:eastAsia="es-ES" w:bidi="ar-SA"/>
        </w:rPr>
        <w:t>Novena.-</w:t>
      </w:r>
      <w:proofErr w:type="gramEnd"/>
      <w:r w:rsidRPr="00E751AF">
        <w:rPr>
          <w:rFonts w:eastAsia="Times New Roman" w:cs="Arial"/>
          <w:b/>
          <w:iCs/>
          <w:sz w:val="22"/>
          <w:szCs w:val="22"/>
          <w:lang w:eastAsia="es-ES" w:bidi="ar-SA"/>
        </w:rPr>
        <w:t xml:space="preserve"> Concesiones o denegaciones de la ayuda y notificaciones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Las concesiones totales tendrán de límite económico el crédito disponible en la partida presupuestaria correspondiente.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Una vez finalizado el plazo de presentación establecido en la base séptima, el Área Social del Consejo Comarcal efectuará una valoración de las mismas y elevarán una propuesta de concesión de ayudas a la Junta de Gobierno del Consejo Comarcal.</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La Junta de Gobierno efectuará la concesión o denegación de las ayudas solicitadas. Las cuales se notificarán a las familias solicitantes, a la dirección de los centros y gestores de los comedores.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El Consejo Comarcal podrá notificar la resolución de la ayuda electrónicamente, vía e-NOTUM, a los solicitantes que hayan </w:t>
      </w:r>
      <w:proofErr w:type="spellStart"/>
      <w:r w:rsidRPr="00E751AF">
        <w:rPr>
          <w:rFonts w:eastAsia="Times New Roman" w:cs="Arial"/>
          <w:iCs/>
          <w:sz w:val="22"/>
          <w:szCs w:val="22"/>
          <w:lang w:eastAsia="es-ES" w:bidi="ar-SA"/>
        </w:rPr>
        <w:t>manifestando</w:t>
      </w:r>
      <w:proofErr w:type="spellEnd"/>
      <w:r w:rsidRPr="00E751AF">
        <w:rPr>
          <w:rFonts w:eastAsia="Times New Roman" w:cs="Arial"/>
          <w:iCs/>
          <w:sz w:val="22"/>
          <w:szCs w:val="22"/>
          <w:lang w:eastAsia="es-ES" w:bidi="ar-SA"/>
        </w:rPr>
        <w:t xml:space="preserve"> su autorización a ser notificados por este medio, de forma expresa, en el impreso de solicitud.</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El sistema e-NOTUM enviará un correo electrónico o un SMS de aviso informando del depósito de la notificación, a la dirección de correo electrónico o número de teléfono móvil que conste en el documento de autorización firmado por el solicitante.</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El acceso a las notificaciones electrónicas por parte de las personas autorizadas requerirá su identificación mediante una contraseña desechable, que se enviará al número de teléfono móvil o dirección de correo electrónico autorizados.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proofErr w:type="gramStart"/>
      <w:r w:rsidRPr="00E751AF">
        <w:rPr>
          <w:rFonts w:eastAsia="Times New Roman" w:cs="Arial"/>
          <w:b/>
          <w:iCs/>
          <w:sz w:val="22"/>
          <w:szCs w:val="22"/>
          <w:lang w:eastAsia="es-ES" w:bidi="ar-SA"/>
        </w:rPr>
        <w:t>Décima.-</w:t>
      </w:r>
      <w:proofErr w:type="gramEnd"/>
      <w:r w:rsidRPr="00E751AF">
        <w:rPr>
          <w:rFonts w:eastAsia="Times New Roman" w:cs="Arial"/>
          <w:b/>
          <w:iCs/>
          <w:sz w:val="22"/>
          <w:szCs w:val="22"/>
          <w:lang w:eastAsia="es-ES" w:bidi="ar-SA"/>
        </w:rPr>
        <w:t xml:space="preserve"> Reclamaciones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242CD6"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Contra la resolución de otorgamiento o denegación de la ayuda, que pone fin a la vía administrativa, podrá interponerse recurso potestativo de reposición ante el órgano que la ha dictado, en el plazo de un mes a contar desde su notificación. Asimismo, se puede interponer recurso contencioso administrativo ante el Juzgado de lo Contencioso-Administrativo de Tarragona, en el plazo de dos meses a contar desde el día siguiente a la fecha de la notificación.</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iCs/>
          <w:sz w:val="22"/>
          <w:szCs w:val="22"/>
          <w:lang w:eastAsia="es-ES" w:bidi="ar-SA"/>
        </w:rPr>
      </w:pPr>
      <w:proofErr w:type="gramStart"/>
      <w:r w:rsidRPr="00E751AF">
        <w:rPr>
          <w:rFonts w:eastAsia="Times New Roman" w:cs="Arial"/>
          <w:b/>
          <w:iCs/>
          <w:sz w:val="22"/>
          <w:szCs w:val="22"/>
          <w:lang w:eastAsia="es-ES" w:bidi="ar-SA"/>
        </w:rPr>
        <w:t>Undécima.-</w:t>
      </w:r>
      <w:proofErr w:type="gramEnd"/>
      <w:r w:rsidRPr="00E751AF">
        <w:rPr>
          <w:rFonts w:eastAsia="Times New Roman" w:cs="Arial"/>
          <w:b/>
          <w:iCs/>
          <w:sz w:val="22"/>
          <w:szCs w:val="22"/>
          <w:lang w:eastAsia="es-ES" w:bidi="ar-SA"/>
        </w:rPr>
        <w:t xml:space="preserve"> Pago de las ayudas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11.1. Becas por adquisición de libros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El pago de las becas, se realizará a elección del centro escolar, siguiendo una de las dos opciones: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ingreso de las becas en el centro</w:t>
      </w:r>
      <w:proofErr w:type="gramStart"/>
      <w:r w:rsidRPr="00E751AF">
        <w:rPr>
          <w:rFonts w:eastAsia="Times New Roman" w:cs="Arial"/>
          <w:iCs/>
          <w:sz w:val="22"/>
          <w:szCs w:val="22"/>
          <w:lang w:eastAsia="es-ES" w:bidi="ar-SA"/>
        </w:rPr>
        <w:t>: ,</w:t>
      </w:r>
      <w:proofErr w:type="gramEnd"/>
      <w:r w:rsidRPr="00E751AF">
        <w:rPr>
          <w:rFonts w:eastAsia="Times New Roman" w:cs="Arial"/>
          <w:iCs/>
          <w:sz w:val="22"/>
          <w:szCs w:val="22"/>
          <w:lang w:eastAsia="es-ES" w:bidi="ar-SA"/>
        </w:rPr>
        <w:t xml:space="preserve"> el importe de las ayudas otorgadas será agrupado por el total correspondiente a cada centro escolar e ingresado en las cuentas corrientes de los propios consejos escolares, y que habrán sido indicadas por ellos mismos, una vez los beneficiarios hayan aportado al Consejo Comarcal del Priorat un justificante del gasto efectuado.</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ingreso directamente a las familias. el importe de las ayudas otorgadas será abonado a las cuentas corrientes de los beneficiarios, y que habrán sido indicadas por ellos mismos, una vez que los beneficiarios hayan aportado al Consejo Comarcal del Priorat un justificante del gasto efectuado.</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 En caso de que un alumno reciba beca de la Generalidad de Cataluña, o de cualquier otra entidad, y beca del Consejo comarcal, deberá devolver la beca al Consejo Comarcal, o bien demostrar que ha devuelto la beca de la Generalidad de Cataluña</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11.2. Becas para asistencia en jardines de infancia primer ciclo de Educación infantil</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El importe de las ayudas otorgadas será agrupado por los totales correspondientes a cada guardería o centro donde se imparta el primer ciclo de Educación infantil de acuerdo con el Decreto 282/2006, de los requisitos de los centros del primer ciclo de educación infantil (DOGC 4670 06.07.06) e ingresado periódicamente en las cuentas corrientes que las propias guarderías habrán indicado previamente al llenar el modelo que facilitará el Consejo Comarcal.</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Para recibir efectivamente la ayuda a la que se refiere el apartado anterior será necesario justificar que las cantidades otorgadas se destinan a la finalidad para las que han sido concedidos. Para acreditar esto, el responsable de la guardería o primer ciclo de Educación infantil enviará el documento que facilitará el Consejo Comarcal.</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c) Una vez revisada por el Consell Comarcal la justificación recibida de la guardería o centro donde se imparta el primer ciclo de Educación infantil, se ordenará el pago de las cantidades efectivamente justificadas.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 xml:space="preserve">11.3. Becas por asistencia a </w:t>
      </w:r>
      <w:proofErr w:type="gramStart"/>
      <w:r w:rsidRPr="00E751AF">
        <w:rPr>
          <w:rFonts w:eastAsia="Times New Roman" w:cs="Arial"/>
          <w:iCs/>
          <w:sz w:val="22"/>
          <w:szCs w:val="22"/>
          <w:lang w:eastAsia="es-ES" w:bidi="ar-SA"/>
        </w:rPr>
        <w:t>colonias.-</w:t>
      </w:r>
      <w:proofErr w:type="gramEnd"/>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El pago de las becas, se realizará a elección del centro escolar, siguiendo una de las dos opciones:</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a.- ingreso de las becas en el centro</w:t>
      </w:r>
      <w:proofErr w:type="gramStart"/>
      <w:r w:rsidRPr="00E751AF">
        <w:rPr>
          <w:rFonts w:eastAsia="Times New Roman" w:cs="Arial"/>
          <w:iCs/>
          <w:sz w:val="22"/>
          <w:szCs w:val="22"/>
          <w:lang w:eastAsia="es-ES" w:bidi="ar-SA"/>
        </w:rPr>
        <w:t>: ,</w:t>
      </w:r>
      <w:proofErr w:type="gramEnd"/>
      <w:r w:rsidRPr="00E751AF">
        <w:rPr>
          <w:rFonts w:eastAsia="Times New Roman" w:cs="Arial"/>
          <w:iCs/>
          <w:sz w:val="22"/>
          <w:szCs w:val="22"/>
          <w:lang w:eastAsia="es-ES" w:bidi="ar-SA"/>
        </w:rPr>
        <w:t xml:space="preserve"> el importe de las ayudas otorgadas será agrupado por el total correspondiente a cada centro escolar e ingresado en las cuentas corrientes de los propios consejos escolares, y que habrán sido indicadas por ellos mismos, una vez los beneficiarios hayan aportado al Consejo Comarcal del Priorat un justificante del gasto efectuado.</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b.- ingreso directamente a las familias. el importe de las ayudas otorgadas será abonado a las cuentas corrientes de los beneficiarios, y que habrán sido indicadas por ellos mismos, una vez que los beneficiarios hayan aportado al Consejo Comarcal del Priorat un justificante del gasto efectuado.</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11.4. Justificación de las ayudas</w:t>
      </w:r>
    </w:p>
    <w:p w:rsidR="00242CD6" w:rsidRPr="00E751AF" w:rsidRDefault="00E751AF" w:rsidP="00E751AF">
      <w:pPr>
        <w:widowControl/>
        <w:suppressAutoHyphens w:val="0"/>
        <w:spacing w:line="276" w:lineRule="auto"/>
        <w:jc w:val="both"/>
        <w:rPr>
          <w:rFonts w:eastAsia="Times New Roman" w:cs="Arial"/>
          <w:iCs/>
          <w:sz w:val="22"/>
          <w:szCs w:val="22"/>
          <w:lang w:eastAsia="es-ES" w:bidi="ar-SA"/>
        </w:rPr>
      </w:pPr>
      <w:r w:rsidRPr="00E751AF">
        <w:rPr>
          <w:rFonts w:eastAsia="Times New Roman" w:cs="Arial"/>
          <w:iCs/>
          <w:sz w:val="22"/>
          <w:szCs w:val="22"/>
          <w:lang w:eastAsia="es-ES" w:bidi="ar-SA"/>
        </w:rPr>
        <w:t>Los presidentes de los consejos escolares están obligados a destinar el importe abonado por el Consejo Comarcal a la finalidad por la que se concede, ya justificarlo ante el Consejo Comarcal del Priorat, mediante el envío del documento justificativo establecido por el Consejo Comarcal del Priorat debidamente cumplimentado</w:t>
      </w:r>
    </w:p>
    <w:p w:rsidR="00E751AF" w:rsidRPr="00E751AF" w:rsidRDefault="00E751AF" w:rsidP="00E751AF">
      <w:pPr>
        <w:widowControl/>
        <w:suppressAutoHyphens w:val="0"/>
        <w:spacing w:line="276" w:lineRule="auto"/>
        <w:jc w:val="both"/>
        <w:rPr>
          <w:rFonts w:eastAsia="Times New Roman" w:cs="Arial"/>
          <w:iCs/>
          <w:sz w:val="22"/>
          <w:szCs w:val="22"/>
          <w:lang w:eastAsia="es-ES" w:bidi="ar-SA"/>
        </w:rPr>
      </w:pPr>
    </w:p>
    <w:bookmarkEnd w:id="0"/>
    <w:bookmarkEnd w:id="1"/>
    <w:bookmarkEnd w:id="2"/>
    <w:p w:rsidR="00E751AF" w:rsidRPr="00E751AF" w:rsidRDefault="00E751AF" w:rsidP="00E751AF">
      <w:pPr>
        <w:widowControl/>
        <w:suppressAutoHyphens w:val="0"/>
        <w:spacing w:line="276" w:lineRule="auto"/>
        <w:jc w:val="both"/>
        <w:rPr>
          <w:rFonts w:eastAsia="Times New Roman" w:cs="Arial"/>
          <w:b/>
          <w:sz w:val="22"/>
          <w:szCs w:val="22"/>
          <w:lang w:eastAsia="es-ES" w:bidi="ar-SA"/>
        </w:rPr>
      </w:pPr>
      <w:proofErr w:type="gramStart"/>
      <w:r w:rsidRPr="00E751AF">
        <w:rPr>
          <w:rFonts w:eastAsia="Times New Roman" w:cs="Arial"/>
          <w:b/>
          <w:sz w:val="22"/>
          <w:szCs w:val="22"/>
          <w:lang w:eastAsia="es-ES" w:bidi="ar-SA"/>
        </w:rPr>
        <w:t>Duodécima.-</w:t>
      </w:r>
      <w:proofErr w:type="gramEnd"/>
      <w:r w:rsidRPr="00E751AF">
        <w:rPr>
          <w:rFonts w:eastAsia="Times New Roman" w:cs="Arial"/>
          <w:b/>
          <w:sz w:val="22"/>
          <w:szCs w:val="22"/>
          <w:lang w:eastAsia="es-ES" w:bidi="ar-SA"/>
        </w:rPr>
        <w:t xml:space="preserve"> Publicidad de las subvenciones</w:t>
      </w: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r w:rsidRPr="00E751AF">
        <w:rPr>
          <w:rFonts w:eastAsia="Times New Roman" w:cs="Arial"/>
          <w:sz w:val="22"/>
          <w:szCs w:val="22"/>
          <w:lang w:eastAsia="es-ES" w:bidi="ar-SA"/>
        </w:rPr>
        <w:t>Estas subvenciones son objeto de publicidad en la Base de Datos Nacional de Subvenciones.</w:t>
      </w: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r w:rsidRPr="00E751AF">
        <w:rPr>
          <w:rFonts w:eastAsia="Times New Roman" w:cs="Arial"/>
          <w:sz w:val="22"/>
          <w:szCs w:val="22"/>
          <w:lang w:eastAsia="es-ES" w:bidi="ar-SA"/>
        </w:rPr>
        <w:t>Los importes otorgados y el número de beneficiarios también será objeto de publicidad en el tablón de anuncios y portal de transparencia del Consejo Comarcal del Priorat.</w:t>
      </w: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sz w:val="22"/>
          <w:szCs w:val="22"/>
          <w:lang w:eastAsia="es-ES" w:bidi="ar-SA"/>
        </w:rPr>
      </w:pPr>
      <w:proofErr w:type="gramStart"/>
      <w:r w:rsidRPr="00E751AF">
        <w:rPr>
          <w:rFonts w:eastAsia="Times New Roman" w:cs="Arial"/>
          <w:b/>
          <w:sz w:val="22"/>
          <w:szCs w:val="22"/>
          <w:lang w:eastAsia="es-ES" w:bidi="ar-SA"/>
        </w:rPr>
        <w:t>Decimotercera.-</w:t>
      </w:r>
      <w:proofErr w:type="gramEnd"/>
      <w:r w:rsidRPr="00E751AF">
        <w:rPr>
          <w:rFonts w:eastAsia="Times New Roman" w:cs="Arial"/>
          <w:b/>
          <w:sz w:val="22"/>
          <w:szCs w:val="22"/>
          <w:lang w:eastAsia="es-ES" w:bidi="ar-SA"/>
        </w:rPr>
        <w:t xml:space="preserve"> Control</w:t>
      </w: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r w:rsidRPr="00E751AF">
        <w:rPr>
          <w:rFonts w:eastAsia="Times New Roman" w:cs="Arial"/>
          <w:sz w:val="22"/>
          <w:szCs w:val="22"/>
          <w:lang w:eastAsia="es-ES" w:bidi="ar-SA"/>
        </w:rPr>
        <w:t>El beneficiario deberá permitir que los agentes que el Consejo Comarcal determine comprueben, por los medios que consideren oportunos, que las cantidades otorgadas se apliquen a las finalidades y actividades a cuya realización esté afecte a la ayuda, de modo que si se impide esta comprobación el beneficiario deberá integrar las cantidades percibidas y afrontar las responsabilidades de otro tipo que procedan.</w:t>
      </w: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sz w:val="22"/>
          <w:szCs w:val="22"/>
          <w:lang w:eastAsia="es-ES" w:bidi="ar-SA"/>
        </w:rPr>
      </w:pPr>
      <w:proofErr w:type="gramStart"/>
      <w:r w:rsidRPr="00E751AF">
        <w:rPr>
          <w:rFonts w:eastAsia="Times New Roman" w:cs="Arial"/>
          <w:b/>
          <w:sz w:val="22"/>
          <w:szCs w:val="22"/>
          <w:lang w:eastAsia="es-ES" w:bidi="ar-SA"/>
        </w:rPr>
        <w:t>Decimocuarta.-</w:t>
      </w:r>
      <w:proofErr w:type="gramEnd"/>
      <w:r w:rsidRPr="00E751AF">
        <w:rPr>
          <w:rFonts w:eastAsia="Times New Roman" w:cs="Arial"/>
          <w:b/>
          <w:sz w:val="22"/>
          <w:szCs w:val="22"/>
          <w:lang w:eastAsia="es-ES" w:bidi="ar-SA"/>
        </w:rPr>
        <w:t xml:space="preserve"> Protección de Datos</w:t>
      </w: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r w:rsidRPr="00E751AF">
        <w:rPr>
          <w:rFonts w:eastAsia="Times New Roman" w:cs="Arial"/>
          <w:sz w:val="22"/>
          <w:szCs w:val="22"/>
          <w:lang w:eastAsia="es-ES" w:bidi="ar-SA"/>
        </w:rPr>
        <w:t>En virtud de la normativa vigente en materia de protección de datos informamos que sus datos serán tratados bajo la responsabilidad del Consejo Comarcal del Priorat. En ningún caso se comunicarán datos a terceros con excepción de los centros escolares pertinentes de los beneficiarios. Sus datos serán conservados hasta que el tratamiento sea legítimo por la finalidad por la que fueron recogidos según la normativa de archivo aplicable al responsable.</w:t>
      </w: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r w:rsidRPr="00E751AF">
        <w:rPr>
          <w:rFonts w:eastAsia="Times New Roman" w:cs="Arial"/>
          <w:sz w:val="22"/>
          <w:szCs w:val="22"/>
          <w:lang w:eastAsia="es-ES" w:bidi="ar-SA"/>
        </w:rPr>
        <w:t xml:space="preserve">En cualquier </w:t>
      </w:r>
      <w:proofErr w:type="gramStart"/>
      <w:r w:rsidRPr="00E751AF">
        <w:rPr>
          <w:rFonts w:eastAsia="Times New Roman" w:cs="Arial"/>
          <w:sz w:val="22"/>
          <w:szCs w:val="22"/>
          <w:lang w:eastAsia="es-ES" w:bidi="ar-SA"/>
        </w:rPr>
        <w:t>caso</w:t>
      </w:r>
      <w:proofErr w:type="gramEnd"/>
      <w:r w:rsidRPr="00E751AF">
        <w:rPr>
          <w:rFonts w:eastAsia="Times New Roman" w:cs="Arial"/>
          <w:sz w:val="22"/>
          <w:szCs w:val="22"/>
          <w:lang w:eastAsia="es-ES" w:bidi="ar-SA"/>
        </w:rPr>
        <w:t xml:space="preserve"> podrá ejercitar los derechos de acceso, rectificación, supresión, limitación y de portabilidad de los datos mediante escrito dirigido a pl. De la Cuartel 1, CP 43730, de </w:t>
      </w:r>
      <w:proofErr w:type="spellStart"/>
      <w:r w:rsidRPr="00E751AF">
        <w:rPr>
          <w:rFonts w:eastAsia="Times New Roman" w:cs="Arial"/>
          <w:sz w:val="22"/>
          <w:szCs w:val="22"/>
          <w:lang w:eastAsia="es-ES" w:bidi="ar-SA"/>
        </w:rPr>
        <w:t>Falset</w:t>
      </w:r>
      <w:proofErr w:type="spellEnd"/>
      <w:r w:rsidRPr="00E751AF">
        <w:rPr>
          <w:rFonts w:eastAsia="Times New Roman" w:cs="Arial"/>
          <w:sz w:val="22"/>
          <w:szCs w:val="22"/>
          <w:lang w:eastAsia="es-ES" w:bidi="ar-SA"/>
        </w:rPr>
        <w:t xml:space="preserve"> (Tarragona) o poniéndose en contacto con el Delegado de Protección de Datos a través del correo electrónico dpd@priorat.cat. En cualquier caso, si lo considera, podrá presentar una reclamación ante la Autoridad Catalana de Protección de Datos (www.apdcat.cat).</w:t>
      </w: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sz w:val="22"/>
          <w:szCs w:val="22"/>
          <w:lang w:eastAsia="es-ES" w:bidi="ar-SA"/>
        </w:rPr>
      </w:pPr>
      <w:proofErr w:type="gramStart"/>
      <w:r w:rsidRPr="00E751AF">
        <w:rPr>
          <w:rFonts w:eastAsia="Times New Roman" w:cs="Arial"/>
          <w:b/>
          <w:sz w:val="22"/>
          <w:szCs w:val="22"/>
          <w:lang w:eastAsia="es-ES" w:bidi="ar-SA"/>
        </w:rPr>
        <w:t>Decimoquinta.-</w:t>
      </w:r>
      <w:proofErr w:type="gramEnd"/>
      <w:r w:rsidRPr="00E751AF">
        <w:rPr>
          <w:rFonts w:eastAsia="Times New Roman" w:cs="Arial"/>
          <w:b/>
          <w:sz w:val="22"/>
          <w:szCs w:val="22"/>
          <w:lang w:eastAsia="es-ES" w:bidi="ar-SA"/>
        </w:rPr>
        <w:t xml:space="preserve"> Incidencias e interpretación de las bases</w:t>
      </w: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r w:rsidRPr="00E751AF">
        <w:rPr>
          <w:rFonts w:eastAsia="Times New Roman" w:cs="Arial"/>
          <w:sz w:val="22"/>
          <w:szCs w:val="22"/>
          <w:lang w:eastAsia="es-ES" w:bidi="ar-SA"/>
        </w:rPr>
        <w:t>La Junta de Gobierno del Consejo Comarcal, previo dictamen emitido por el área que efectúa las valoraciones, es el órgano facultado para la interpretación de las bases de convocatoria de estas ayudas y resolver aquellas cuestiones específicas no incluidas en las mismas</w:t>
      </w: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p>
    <w:p w:rsidR="00E751AF" w:rsidRPr="00E751AF" w:rsidRDefault="00E751AF" w:rsidP="00E751AF">
      <w:pPr>
        <w:widowControl/>
        <w:suppressAutoHyphens w:val="0"/>
        <w:spacing w:line="276" w:lineRule="auto"/>
        <w:jc w:val="both"/>
        <w:rPr>
          <w:rFonts w:eastAsia="Times New Roman" w:cs="Arial"/>
          <w:b/>
          <w:sz w:val="22"/>
          <w:szCs w:val="22"/>
          <w:lang w:eastAsia="es-ES" w:bidi="ar-SA"/>
        </w:rPr>
      </w:pPr>
      <w:proofErr w:type="gramStart"/>
      <w:r w:rsidRPr="00E751AF">
        <w:rPr>
          <w:rFonts w:eastAsia="Times New Roman" w:cs="Arial"/>
          <w:b/>
          <w:sz w:val="22"/>
          <w:szCs w:val="22"/>
          <w:lang w:eastAsia="es-ES" w:bidi="ar-SA"/>
        </w:rPr>
        <w:t>Decimosexta.-</w:t>
      </w:r>
      <w:proofErr w:type="gramEnd"/>
      <w:r w:rsidRPr="00E751AF">
        <w:rPr>
          <w:rFonts w:eastAsia="Times New Roman" w:cs="Arial"/>
          <w:b/>
          <w:sz w:val="22"/>
          <w:szCs w:val="22"/>
          <w:lang w:eastAsia="es-ES" w:bidi="ar-SA"/>
        </w:rPr>
        <w:t xml:space="preserve"> Normas supletorias</w:t>
      </w:r>
    </w:p>
    <w:p w:rsidR="00E751AF" w:rsidRPr="00E751AF" w:rsidRDefault="00E751AF" w:rsidP="00E751AF">
      <w:pPr>
        <w:widowControl/>
        <w:suppressAutoHyphens w:val="0"/>
        <w:spacing w:line="276" w:lineRule="auto"/>
        <w:jc w:val="both"/>
        <w:rPr>
          <w:rFonts w:eastAsia="Times New Roman" w:cs="Arial"/>
          <w:sz w:val="22"/>
          <w:szCs w:val="22"/>
          <w:lang w:eastAsia="es-ES" w:bidi="ar-SA"/>
        </w:rPr>
      </w:pPr>
    </w:p>
    <w:p w:rsidR="00242CD6" w:rsidRPr="00E751AF" w:rsidRDefault="00E751AF" w:rsidP="00E751AF">
      <w:pPr>
        <w:widowControl/>
        <w:suppressAutoHyphens w:val="0"/>
        <w:spacing w:line="276" w:lineRule="auto"/>
        <w:jc w:val="both"/>
        <w:rPr>
          <w:rFonts w:eastAsia="Times New Roman" w:cs="Arial"/>
          <w:sz w:val="22"/>
          <w:szCs w:val="22"/>
          <w:lang w:eastAsia="es-ES" w:bidi="ar-SA"/>
        </w:rPr>
      </w:pPr>
      <w:r w:rsidRPr="00E751AF">
        <w:rPr>
          <w:rFonts w:eastAsia="Times New Roman" w:cs="Arial"/>
          <w:sz w:val="22"/>
          <w:szCs w:val="22"/>
          <w:lang w:eastAsia="es-ES" w:bidi="ar-SA"/>
        </w:rPr>
        <w:t>Por todo lo no previsto en estas normas, regirá lo dispuesto en el articulado básico de la Ley 38/2003, de 17 de noviembre, general de subvenciones, el Real Decreto 887/2006, de 21 de julio, por el que se aprueba el reglamento de la Ley general de subvenciones, los artículos 118 y siguientes del Reglamento de obras, actividades y servicios de los entes locales aprobado por el Decreto 179/1995, de 13 de junio, la Ordenanza General de Subvenciones del Consejo Comarcal del Priorat, aprobada por el Pleno de la Corporación, en sesión ordinaria núm.: 5/2008, celebrada el día 29 de septiembre de 2008, y publicada íntegramente en el BOPT núm.: 283, de 9 de diciembre de 2009 y demás normativa aplicable en materia del fomento y promoción de las actividades sociales y económicas.</w:t>
      </w:r>
    </w:p>
    <w:p w:rsidR="00242CD6" w:rsidRPr="00E751AF" w:rsidRDefault="00242CD6" w:rsidP="00242CD6">
      <w:pPr>
        <w:widowControl/>
        <w:suppressAutoHyphens w:val="0"/>
        <w:spacing w:line="276" w:lineRule="auto"/>
        <w:rPr>
          <w:rFonts w:eastAsia="Times New Roman" w:cs="Arial"/>
          <w:sz w:val="22"/>
          <w:szCs w:val="22"/>
          <w:lang w:eastAsia="es-ES" w:bidi="ar-SA"/>
        </w:rPr>
      </w:pPr>
    </w:p>
    <w:p w:rsidR="00242CD6" w:rsidRPr="00E751AF" w:rsidRDefault="00242CD6" w:rsidP="00242CD6">
      <w:pPr>
        <w:pStyle w:val="Textoindependiente"/>
        <w:jc w:val="center"/>
        <w:rPr>
          <w:rFonts w:cs="Arial"/>
          <w:sz w:val="22"/>
          <w:szCs w:val="22"/>
        </w:rPr>
      </w:pPr>
    </w:p>
    <w:p w:rsidR="00F30676" w:rsidRPr="00E751AF" w:rsidRDefault="00F30676" w:rsidP="00242CD6">
      <w:pPr>
        <w:rPr>
          <w:rFonts w:cs="Arial"/>
          <w:sz w:val="22"/>
          <w:szCs w:val="22"/>
        </w:rPr>
      </w:pPr>
    </w:p>
    <w:sectPr w:rsidR="00F30676" w:rsidRPr="00E751AF">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572D" w:rsidRDefault="0074572D">
      <w:r>
        <w:separator/>
      </w:r>
    </w:p>
  </w:endnote>
  <w:endnote w:type="continuationSeparator" w:id="0">
    <w:p w:rsidR="0074572D" w:rsidRDefault="00745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676" w:rsidRDefault="003F699B">
    <w:pPr>
      <w:pStyle w:val="Piedepgina"/>
    </w:pPr>
    <w:r>
      <w:rPr>
        <w:noProof/>
      </w:rPr>
      <w:drawing>
        <wp:inline distT="0" distB="0" distL="0" distR="0">
          <wp:extent cx="539496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676" w:rsidRDefault="00F306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572D" w:rsidRDefault="0074572D">
      <w:r>
        <w:separator/>
      </w:r>
    </w:p>
  </w:footnote>
  <w:footnote w:type="continuationSeparator" w:id="0">
    <w:p w:rsidR="0074572D" w:rsidRDefault="00745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676" w:rsidRDefault="003F699B">
    <w:pPr>
      <w:pStyle w:val="Encabezado"/>
    </w:pPr>
    <w:r>
      <w:rPr>
        <w:noProof/>
      </w:rPr>
      <w:drawing>
        <wp:inline distT="0" distB="0" distL="0" distR="0">
          <wp:extent cx="70104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0104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676" w:rsidRDefault="00F306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hybridMultilevel"/>
    <w:tmpl w:val="9FB6B43A"/>
    <w:lvl w:ilvl="0" w:tplc="259C1AA0">
      <w:start w:val="1"/>
      <w:numFmt w:val="lowerLetter"/>
      <w:lvlText w:val="%1."/>
      <w:lvlJc w:val="left"/>
      <w:pPr>
        <w:tabs>
          <w:tab w:val="num" w:pos="720"/>
        </w:tabs>
        <w:ind w:left="720" w:hanging="360"/>
      </w:pPr>
      <w:rPr>
        <w:rFonts w:hint="default"/>
      </w:rPr>
    </w:lvl>
    <w:lvl w:ilvl="1" w:tplc="C17A01B2">
      <w:start w:val="1"/>
      <w:numFmt w:val="decimal"/>
      <w:lvlText w:val="%2."/>
      <w:lvlJc w:val="left"/>
      <w:pPr>
        <w:tabs>
          <w:tab w:val="num" w:pos="1440"/>
        </w:tabs>
        <w:ind w:left="1440" w:hanging="360"/>
      </w:pPr>
    </w:lvl>
    <w:lvl w:ilvl="2" w:tplc="4F8E90CE" w:tentative="1">
      <w:start w:val="1"/>
      <w:numFmt w:val="lowerRoman"/>
      <w:lvlText w:val="%3."/>
      <w:lvlJc w:val="right"/>
      <w:pPr>
        <w:tabs>
          <w:tab w:val="num" w:pos="2160"/>
        </w:tabs>
        <w:ind w:left="2160" w:hanging="180"/>
      </w:pPr>
    </w:lvl>
    <w:lvl w:ilvl="3" w:tplc="A54E272C" w:tentative="1">
      <w:start w:val="1"/>
      <w:numFmt w:val="decimal"/>
      <w:lvlText w:val="%4."/>
      <w:lvlJc w:val="left"/>
      <w:pPr>
        <w:tabs>
          <w:tab w:val="num" w:pos="2880"/>
        </w:tabs>
        <w:ind w:left="2880" w:hanging="360"/>
      </w:pPr>
    </w:lvl>
    <w:lvl w:ilvl="4" w:tplc="4830B212" w:tentative="1">
      <w:start w:val="1"/>
      <w:numFmt w:val="lowerLetter"/>
      <w:lvlText w:val="%5."/>
      <w:lvlJc w:val="left"/>
      <w:pPr>
        <w:tabs>
          <w:tab w:val="num" w:pos="3600"/>
        </w:tabs>
        <w:ind w:left="3600" w:hanging="360"/>
      </w:pPr>
    </w:lvl>
    <w:lvl w:ilvl="5" w:tplc="FCC47D74" w:tentative="1">
      <w:start w:val="1"/>
      <w:numFmt w:val="lowerRoman"/>
      <w:lvlText w:val="%6."/>
      <w:lvlJc w:val="right"/>
      <w:pPr>
        <w:tabs>
          <w:tab w:val="num" w:pos="4320"/>
        </w:tabs>
        <w:ind w:left="4320" w:hanging="180"/>
      </w:pPr>
    </w:lvl>
    <w:lvl w:ilvl="6" w:tplc="30C45634" w:tentative="1">
      <w:start w:val="1"/>
      <w:numFmt w:val="decimal"/>
      <w:lvlText w:val="%7."/>
      <w:lvlJc w:val="left"/>
      <w:pPr>
        <w:tabs>
          <w:tab w:val="num" w:pos="5040"/>
        </w:tabs>
        <w:ind w:left="5040" w:hanging="360"/>
      </w:pPr>
    </w:lvl>
    <w:lvl w:ilvl="7" w:tplc="9092C4D2" w:tentative="1">
      <w:start w:val="1"/>
      <w:numFmt w:val="lowerLetter"/>
      <w:lvlText w:val="%8."/>
      <w:lvlJc w:val="left"/>
      <w:pPr>
        <w:tabs>
          <w:tab w:val="num" w:pos="5760"/>
        </w:tabs>
        <w:ind w:left="5760" w:hanging="360"/>
      </w:pPr>
    </w:lvl>
    <w:lvl w:ilvl="8" w:tplc="28629452" w:tentative="1">
      <w:start w:val="1"/>
      <w:numFmt w:val="lowerRoman"/>
      <w:lvlText w:val="%9."/>
      <w:lvlJc w:val="right"/>
      <w:pPr>
        <w:tabs>
          <w:tab w:val="num" w:pos="6480"/>
        </w:tabs>
        <w:ind w:left="6480" w:hanging="180"/>
      </w:pPr>
    </w:lvl>
  </w:abstractNum>
  <w:abstractNum w:abstractNumId="1" w15:restartNumberingAfterBreak="0">
    <w:nsid w:val="00000008"/>
    <w:multiLevelType w:val="hybridMultilevel"/>
    <w:tmpl w:val="14741F7A"/>
    <w:lvl w:ilvl="0" w:tplc="9B06E37A">
      <w:start w:val="1"/>
      <w:numFmt w:val="lowerLetter"/>
      <w:lvlText w:val="%1."/>
      <w:lvlJc w:val="left"/>
      <w:pPr>
        <w:tabs>
          <w:tab w:val="num" w:pos="720"/>
        </w:tabs>
        <w:ind w:left="720" w:hanging="360"/>
      </w:pPr>
      <w:rPr>
        <w:rFonts w:hint="default"/>
      </w:rPr>
    </w:lvl>
    <w:lvl w:ilvl="1" w:tplc="7ED07AD6">
      <w:start w:val="1"/>
      <w:numFmt w:val="decimal"/>
      <w:lvlText w:val="%2."/>
      <w:lvlJc w:val="left"/>
      <w:pPr>
        <w:tabs>
          <w:tab w:val="num" w:pos="1440"/>
        </w:tabs>
        <w:ind w:left="1440" w:hanging="360"/>
      </w:pPr>
      <w:rPr>
        <w:rFonts w:hint="default"/>
        <w:b w:val="0"/>
        <w:i w:val="0"/>
      </w:rPr>
    </w:lvl>
    <w:lvl w:ilvl="2" w:tplc="E79CEE7E">
      <w:start w:val="1"/>
      <w:numFmt w:val="lowerLetter"/>
      <w:lvlText w:val="%3)"/>
      <w:lvlJc w:val="left"/>
      <w:pPr>
        <w:tabs>
          <w:tab w:val="num" w:pos="2340"/>
        </w:tabs>
        <w:ind w:left="2340" w:hanging="360"/>
      </w:pPr>
      <w:rPr>
        <w:rFonts w:hint="default"/>
      </w:rPr>
    </w:lvl>
    <w:lvl w:ilvl="3" w:tplc="12F49736" w:tentative="1">
      <w:start w:val="1"/>
      <w:numFmt w:val="decimal"/>
      <w:lvlText w:val="%4."/>
      <w:lvlJc w:val="left"/>
      <w:pPr>
        <w:tabs>
          <w:tab w:val="num" w:pos="2880"/>
        </w:tabs>
        <w:ind w:left="2880" w:hanging="360"/>
      </w:pPr>
    </w:lvl>
    <w:lvl w:ilvl="4" w:tplc="82C09E2A" w:tentative="1">
      <w:start w:val="1"/>
      <w:numFmt w:val="lowerLetter"/>
      <w:lvlText w:val="%5."/>
      <w:lvlJc w:val="left"/>
      <w:pPr>
        <w:tabs>
          <w:tab w:val="num" w:pos="3600"/>
        </w:tabs>
        <w:ind w:left="3600" w:hanging="360"/>
      </w:pPr>
    </w:lvl>
    <w:lvl w:ilvl="5" w:tplc="2286E192" w:tentative="1">
      <w:start w:val="1"/>
      <w:numFmt w:val="lowerRoman"/>
      <w:lvlText w:val="%6."/>
      <w:lvlJc w:val="right"/>
      <w:pPr>
        <w:tabs>
          <w:tab w:val="num" w:pos="4320"/>
        </w:tabs>
        <w:ind w:left="4320" w:hanging="180"/>
      </w:pPr>
    </w:lvl>
    <w:lvl w:ilvl="6" w:tplc="19C8832C" w:tentative="1">
      <w:start w:val="1"/>
      <w:numFmt w:val="decimal"/>
      <w:lvlText w:val="%7."/>
      <w:lvlJc w:val="left"/>
      <w:pPr>
        <w:tabs>
          <w:tab w:val="num" w:pos="5040"/>
        </w:tabs>
        <w:ind w:left="5040" w:hanging="360"/>
      </w:pPr>
    </w:lvl>
    <w:lvl w:ilvl="7" w:tplc="B4CA4C1A" w:tentative="1">
      <w:start w:val="1"/>
      <w:numFmt w:val="lowerLetter"/>
      <w:lvlText w:val="%8."/>
      <w:lvlJc w:val="left"/>
      <w:pPr>
        <w:tabs>
          <w:tab w:val="num" w:pos="5760"/>
        </w:tabs>
        <w:ind w:left="5760" w:hanging="360"/>
      </w:pPr>
    </w:lvl>
    <w:lvl w:ilvl="8" w:tplc="EC7E2CC8" w:tentative="1">
      <w:start w:val="1"/>
      <w:numFmt w:val="lowerRoman"/>
      <w:lvlText w:val="%9."/>
      <w:lvlJc w:val="right"/>
      <w:pPr>
        <w:tabs>
          <w:tab w:val="num" w:pos="6480"/>
        </w:tabs>
        <w:ind w:left="6480" w:hanging="180"/>
      </w:pPr>
    </w:lvl>
  </w:abstractNum>
  <w:abstractNum w:abstractNumId="2" w15:restartNumberingAfterBreak="0">
    <w:nsid w:val="29C76A06"/>
    <w:multiLevelType w:val="hybridMultilevel"/>
    <w:tmpl w:val="8494B16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54727B0"/>
    <w:multiLevelType w:val="hybridMultilevel"/>
    <w:tmpl w:val="6DD6333A"/>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366C7CBB"/>
    <w:multiLevelType w:val="hybridMultilevel"/>
    <w:tmpl w:val="C98445B8"/>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559D1F9D"/>
    <w:multiLevelType w:val="hybridMultilevel"/>
    <w:tmpl w:val="1134769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2E75A19"/>
    <w:multiLevelType w:val="hybridMultilevel"/>
    <w:tmpl w:val="635A0604"/>
    <w:lvl w:ilvl="0" w:tplc="0C0A0019">
      <w:start w:val="1"/>
      <w:numFmt w:val="lowerLetter"/>
      <w:lvlText w:val="%1."/>
      <w:lvlJc w:val="left"/>
      <w:pPr>
        <w:tabs>
          <w:tab w:val="num" w:pos="720"/>
        </w:tabs>
        <w:ind w:left="720" w:hanging="360"/>
      </w:pPr>
    </w:lvl>
    <w:lvl w:ilvl="1" w:tplc="67D6D6D4">
      <w:start w:val="1"/>
      <w:numFmt w:val="lowerLetter"/>
      <w:lvlText w:val="%2."/>
      <w:lvlJc w:val="left"/>
      <w:pPr>
        <w:tabs>
          <w:tab w:val="num" w:pos="1440"/>
        </w:tabs>
        <w:ind w:left="1440" w:hanging="360"/>
      </w:pPr>
    </w:lvl>
    <w:lvl w:ilvl="2" w:tplc="0F3E3FA6" w:tentative="1">
      <w:start w:val="1"/>
      <w:numFmt w:val="lowerRoman"/>
      <w:lvlText w:val="%3."/>
      <w:lvlJc w:val="right"/>
      <w:pPr>
        <w:tabs>
          <w:tab w:val="num" w:pos="2160"/>
        </w:tabs>
        <w:ind w:left="2160" w:hanging="180"/>
      </w:pPr>
    </w:lvl>
    <w:lvl w:ilvl="3" w:tplc="18803002" w:tentative="1">
      <w:start w:val="1"/>
      <w:numFmt w:val="decimal"/>
      <w:lvlText w:val="%4."/>
      <w:lvlJc w:val="left"/>
      <w:pPr>
        <w:tabs>
          <w:tab w:val="num" w:pos="2880"/>
        </w:tabs>
        <w:ind w:left="2880" w:hanging="360"/>
      </w:pPr>
    </w:lvl>
    <w:lvl w:ilvl="4" w:tplc="0CE8755C" w:tentative="1">
      <w:start w:val="1"/>
      <w:numFmt w:val="lowerLetter"/>
      <w:lvlText w:val="%5."/>
      <w:lvlJc w:val="left"/>
      <w:pPr>
        <w:tabs>
          <w:tab w:val="num" w:pos="3600"/>
        </w:tabs>
        <w:ind w:left="3600" w:hanging="360"/>
      </w:pPr>
    </w:lvl>
    <w:lvl w:ilvl="5" w:tplc="C6FE7DBA" w:tentative="1">
      <w:start w:val="1"/>
      <w:numFmt w:val="lowerRoman"/>
      <w:lvlText w:val="%6."/>
      <w:lvlJc w:val="right"/>
      <w:pPr>
        <w:tabs>
          <w:tab w:val="num" w:pos="4320"/>
        </w:tabs>
        <w:ind w:left="4320" w:hanging="180"/>
      </w:pPr>
    </w:lvl>
    <w:lvl w:ilvl="6" w:tplc="AD762C74" w:tentative="1">
      <w:start w:val="1"/>
      <w:numFmt w:val="decimal"/>
      <w:lvlText w:val="%7."/>
      <w:lvlJc w:val="left"/>
      <w:pPr>
        <w:tabs>
          <w:tab w:val="num" w:pos="5040"/>
        </w:tabs>
        <w:ind w:left="5040" w:hanging="360"/>
      </w:pPr>
    </w:lvl>
    <w:lvl w:ilvl="7" w:tplc="E236F456" w:tentative="1">
      <w:start w:val="1"/>
      <w:numFmt w:val="lowerLetter"/>
      <w:lvlText w:val="%8."/>
      <w:lvlJc w:val="left"/>
      <w:pPr>
        <w:tabs>
          <w:tab w:val="num" w:pos="5760"/>
        </w:tabs>
        <w:ind w:left="5760" w:hanging="360"/>
      </w:pPr>
    </w:lvl>
    <w:lvl w:ilvl="8" w:tplc="3B42A33A"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CD6"/>
    <w:rsid w:val="000931E2"/>
    <w:rsid w:val="00242CD6"/>
    <w:rsid w:val="003F699B"/>
    <w:rsid w:val="0074572D"/>
    <w:rsid w:val="00E751AF"/>
    <w:rsid w:val="00F30676"/>
    <w:rsid w:val="00FE41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E651FD15-BA97-4EA6-B9BE-47AB34294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TableHeading">
    <w:name w:val="Table Heading"/>
    <w:basedOn w:val="TableContents"/>
    <w:pPr>
      <w:suppressLineNumbers/>
      <w:jc w:val="center"/>
    </w:pPr>
    <w:rPr>
      <w:b/>
      <w:bCs/>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242CD6"/>
    <w:rPr>
      <w:rFonts w:ascii="Arial" w:eastAsia="DejaVu Sans" w:hAnsi="Arial" w:cs="DejaVu Sans"/>
      <w:sz w:val="24"/>
      <w:szCs w:val="24"/>
      <w:lang w:eastAsia="zh-CN" w:bidi="hi-IN"/>
    </w:rPr>
  </w:style>
  <w:style w:type="paragraph" w:customStyle="1" w:styleId="BodyText200">
    <w:name w:val="Body Text 2_0_0"/>
    <w:basedOn w:val="Normal"/>
    <w:link w:val="Textoindependiente2Car00"/>
    <w:rsid w:val="00242CD6"/>
    <w:pPr>
      <w:widowControl/>
      <w:suppressAutoHyphens w:val="0"/>
      <w:jc w:val="both"/>
    </w:pPr>
    <w:rPr>
      <w:rFonts w:ascii="Times New Roman" w:eastAsia="Times New Roman" w:hAnsi="Times New Roman" w:cs="Times New Roman"/>
      <w:szCs w:val="20"/>
      <w:lang w:val="ca-ES" w:eastAsia="es-ES" w:bidi="ar-SA"/>
    </w:rPr>
  </w:style>
  <w:style w:type="character" w:customStyle="1" w:styleId="Textoindependiente2Car00">
    <w:name w:val="Texto independiente 2 Car_0_0"/>
    <w:link w:val="BodyText200"/>
    <w:rsid w:val="00242CD6"/>
    <w:rPr>
      <w:sz w:val="24"/>
      <w:lang w:val="ca-ES"/>
    </w:rPr>
  </w:style>
  <w:style w:type="paragraph" w:customStyle="1" w:styleId="Normal2">
    <w:name w:val="Normal_2"/>
    <w:qFormat/>
    <w:rsid w:val="00242CD6"/>
    <w:pPr>
      <w:spacing w:after="200" w:line="276" w:lineRule="auto"/>
    </w:pPr>
    <w:rPr>
      <w:rFonts w:ascii="Calibri" w:hAnsi="Calibri"/>
      <w:sz w:val="22"/>
      <w:szCs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4068</Words>
  <Characters>22375</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26391</CharactersWithSpaces>
  <SharedDoc>false</SharedDoc>
  <HLinks>
    <vt:vector size="18" baseType="variant">
      <vt:variant>
        <vt:i4>3080224</vt:i4>
      </vt:variant>
      <vt:variant>
        <vt:i4>6</vt:i4>
      </vt:variant>
      <vt:variant>
        <vt:i4>0</vt:i4>
      </vt:variant>
      <vt:variant>
        <vt:i4>5</vt:i4>
      </vt:variant>
      <vt:variant>
        <vt:lpwstr>http://www.apdcat.cat/</vt:lpwstr>
      </vt:variant>
      <vt:variant>
        <vt:lpwstr/>
      </vt:variant>
      <vt:variant>
        <vt:i4>6946889</vt:i4>
      </vt:variant>
      <vt:variant>
        <vt:i4>3</vt:i4>
      </vt:variant>
      <vt:variant>
        <vt:i4>0</vt:i4>
      </vt:variant>
      <vt:variant>
        <vt:i4>5</vt:i4>
      </vt:variant>
      <vt:variant>
        <vt:lpwstr>mailto:dpd@priorat.cat</vt:lpwstr>
      </vt:variant>
      <vt:variant>
        <vt:lpwstr/>
      </vt:variant>
      <vt:variant>
        <vt:i4>1900567</vt:i4>
      </vt:variant>
      <vt:variant>
        <vt:i4>0</vt:i4>
      </vt:variant>
      <vt:variant>
        <vt:i4>0</vt:i4>
      </vt:variant>
      <vt:variant>
        <vt:i4>5</vt:i4>
      </vt:variant>
      <vt:variant>
        <vt:lpwstr>https://www.seu-e.cat/ca/web/ccpriorat/tramits-i-gestions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 Lopez</dc:creator>
  <cp:keywords/>
  <cp:lastModifiedBy>Pili Lopez</cp:lastModifiedBy>
  <cp:revision>3</cp:revision>
  <cp:lastPrinted>1899-12-31T23:00:00Z</cp:lastPrinted>
  <dcterms:created xsi:type="dcterms:W3CDTF">2023-06-14T12:50:00Z</dcterms:created>
  <dcterms:modified xsi:type="dcterms:W3CDTF">2023-06-14T12:54:00Z</dcterms:modified>
</cp:coreProperties>
</file>