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jc w:val="left"/>
        <w:rPr>
          <w:rFonts w:ascii="Myriad Pro" w:hAnsi="Myriad Pro"/>
          <w:b/>
          <w:b/>
          <w:szCs w:val="24"/>
        </w:rPr>
      </w:pPr>
      <w:r>
        <w:rPr>
          <w:rFonts w:ascii="Myriad Pro" w:hAnsi="Myriad Pro"/>
          <w:b/>
          <w:szCs w:val="24"/>
        </w:rPr>
        <w:t xml:space="preserve">Convocatoria pública del programa de subvenciones para la promoción y fomento del deporte y entidades deportivas del ayuntamiento de San Sadurniño para el año 2023. </w:t>
      </w:r>
    </w:p>
    <w:p>
      <w:pPr>
        <w:pStyle w:val="Normal"/>
        <w:spacing w:lineRule="auto" w:line="276"/>
        <w:jc w:val="left"/>
        <w:rPr>
          <w:rFonts w:ascii="Myriad Pro" w:hAnsi="Myriad Pro"/>
          <w:b/>
          <w:b/>
          <w:szCs w:val="24"/>
        </w:rPr>
      </w:pPr>
      <w:r>
        <w:rPr>
          <w:rFonts w:ascii="Myriad Pro" w:hAnsi="Myriad Pro"/>
          <w:b/>
          <w:szCs w:val="24"/>
        </w:rPr>
      </w:r>
    </w:p>
    <w:p>
      <w:pPr>
        <w:pStyle w:val="Normal"/>
        <w:spacing w:lineRule="auto" w:line="276"/>
        <w:jc w:val="left"/>
        <w:rPr>
          <w:rFonts w:ascii="Myriad Pro" w:hAnsi="Myriad Pro"/>
          <w:szCs w:val="24"/>
        </w:rPr>
      </w:pPr>
      <w:r>
        <w:rPr>
          <w:rFonts w:ascii="Myriad Pro" w:hAnsi="Myriad Pro"/>
          <w:szCs w:val="24"/>
        </w:rPr>
        <w:t>De conformidad con lo previsto en los artículos 17.3.b y 20.8.a de la Ley 38/2003, del 17 de noviembre, General de Subvenciones, se publica el extracto de la convocatoria cuyo texto completo puede consultarse en la Base de Datos Nacional de Subvenciones.</w:t>
      </w:r>
    </w:p>
    <w:p>
      <w:pPr>
        <w:pStyle w:val="Normal"/>
        <w:spacing w:lineRule="auto" w:line="276"/>
        <w:jc w:val="left"/>
        <w:rPr>
          <w:rFonts w:ascii="Myriad Pro" w:hAnsi="Myriad Pro"/>
          <w:szCs w:val="24"/>
        </w:rPr>
      </w:pPr>
      <w:r>
        <w:rPr>
          <w:rFonts w:ascii="Myriad Pro" w:hAnsi="Myriad Pro"/>
          <w:szCs w:val="24"/>
        </w:rPr>
      </w:r>
    </w:p>
    <w:p>
      <w:pPr>
        <w:pStyle w:val="Normal"/>
        <w:spacing w:lineRule="auto" w:line="276"/>
        <w:jc w:val="left"/>
        <w:rPr>
          <w:rFonts w:ascii="Myriad Pro" w:hAnsi="Myriad Pro"/>
          <w:b/>
          <w:b/>
          <w:szCs w:val="24"/>
        </w:rPr>
      </w:pPr>
      <w:r>
        <w:rPr>
          <w:rFonts w:ascii="Myriad Pro" w:hAnsi="Myriad Pro"/>
          <w:b/>
          <w:szCs w:val="24"/>
        </w:rPr>
        <w:t>CONVOCATORIA DE SUBVENCIONES PARA LA PROMOCIÓN DEL DEPORTE Y ENTIDADES DEPORTIVAS 2023</w:t>
      </w:r>
    </w:p>
    <w:p>
      <w:pPr>
        <w:pStyle w:val="Normal"/>
        <w:spacing w:lineRule="auto" w:line="276"/>
        <w:jc w:val="left"/>
        <w:rPr>
          <w:rFonts w:ascii="Myriad Pro" w:hAnsi="Myriad Pro"/>
          <w:szCs w:val="24"/>
        </w:rPr>
      </w:pPr>
      <w:r>
        <w:rPr>
          <w:rFonts w:ascii="Myriad Pro" w:hAnsi="Myriad Pro"/>
          <w:szCs w:val="24"/>
        </w:rPr>
        <w:t>De conformidad con lo previsto en los artículos 17.3.b y 20.8.a de la Ley 38/2003, del 17 de noviembre, General de Subvenciones, se publica el extracto de la convocatoria del Programa de subvenciones para la promoción y el fomento del deporte y entidades deportivas del ayuntamiento de San Sadurniño para el año 2023.</w:t>
      </w:r>
    </w:p>
    <w:p>
      <w:pPr>
        <w:pStyle w:val="Normal"/>
        <w:spacing w:lineRule="auto" w:line="276"/>
        <w:jc w:val="left"/>
        <w:rPr>
          <w:rFonts w:ascii="Myriad Pro" w:hAnsi="Myriad Pro"/>
          <w:szCs w:val="24"/>
        </w:rPr>
      </w:pPr>
      <w:r>
        <w:rPr>
          <w:rFonts w:ascii="Myriad Pro" w:hAnsi="Myriad Pro"/>
          <w:szCs w:val="24"/>
        </w:rPr>
      </w:r>
    </w:p>
    <w:p>
      <w:pPr>
        <w:pStyle w:val="Normal"/>
        <w:spacing w:lineRule="auto" w:line="276"/>
        <w:jc w:val="left"/>
        <w:rPr>
          <w:rFonts w:ascii="Myriad Pro" w:hAnsi="Myriad Pro"/>
          <w:szCs w:val="24"/>
        </w:rPr>
      </w:pPr>
      <w:r>
        <w:rPr>
          <w:rFonts w:ascii="Myriad Pro" w:hAnsi="Myriad Pro"/>
          <w:b/>
          <w:szCs w:val="24"/>
        </w:rPr>
        <w:t>PRIMERO</w:t>
      </w:r>
      <w:r>
        <w:rPr>
          <w:rFonts w:ascii="Myriad Pro" w:hAnsi="Myriad Pro"/>
          <w:szCs w:val="24"/>
        </w:rPr>
        <w:t>: beneficiarios y régimen de concesión.</w:t>
      </w:r>
    </w:p>
    <w:p>
      <w:pPr>
        <w:pStyle w:val="Normal"/>
        <w:spacing w:lineRule="auto" w:line="276"/>
        <w:jc w:val="left"/>
        <w:rPr>
          <w:rFonts w:ascii="Myriad Pro" w:hAnsi="Myriad Pro"/>
          <w:szCs w:val="24"/>
        </w:rPr>
      </w:pPr>
      <w:r>
        <w:rPr>
          <w:rFonts w:ascii="Myriad Pro" w:hAnsi="Myriad Pro"/>
          <w:szCs w:val="24"/>
        </w:rPr>
        <w:t>Podrán acceder a estas ayudas las entidades deportivas inscritas en el registro municipal de entidades ciudadanas que desarrollen sus actividades en el ámbito territorial de la localidad o sobre temas deportivos de interés para ella y cumplan los requisitos establecidos en el apartado 5 de la ordenanza general de subvenciones del ayuntamiento de San Sadurniño.</w:t>
      </w:r>
    </w:p>
    <w:p>
      <w:pPr>
        <w:pStyle w:val="Normal"/>
        <w:spacing w:lineRule="auto" w:line="276"/>
        <w:jc w:val="left"/>
        <w:rPr>
          <w:rFonts w:ascii="Myriad Pro" w:hAnsi="Myriad Pro"/>
          <w:szCs w:val="24"/>
        </w:rPr>
      </w:pPr>
      <w:r>
        <w:rPr>
          <w:rFonts w:ascii="Myriad Pro" w:hAnsi="Myriad Pro"/>
          <w:szCs w:val="24"/>
        </w:rPr>
        <w:t>Él régimen de concesión será de concurrencia competitiva.</w:t>
      </w:r>
    </w:p>
    <w:p>
      <w:pPr>
        <w:pStyle w:val="Normal"/>
        <w:spacing w:lineRule="auto" w:line="276"/>
        <w:jc w:val="left"/>
        <w:rPr>
          <w:rFonts w:ascii="Myriad Pro" w:hAnsi="Myriad Pro"/>
          <w:szCs w:val="24"/>
        </w:rPr>
      </w:pPr>
      <w:r>
        <w:rPr>
          <w:rFonts w:ascii="Myriad Pro" w:hAnsi="Myriad Pro"/>
          <w:szCs w:val="24"/>
        </w:rPr>
      </w:r>
    </w:p>
    <w:p>
      <w:pPr>
        <w:pStyle w:val="Normal"/>
        <w:spacing w:lineRule="auto" w:line="276"/>
        <w:jc w:val="left"/>
        <w:rPr>
          <w:rFonts w:ascii="Myriad Pro" w:hAnsi="Myriad Pro"/>
          <w:szCs w:val="24"/>
        </w:rPr>
      </w:pPr>
      <w:r>
        <w:rPr>
          <w:rFonts w:ascii="Myriad Pro" w:hAnsi="Myriad Pro"/>
          <w:b/>
          <w:szCs w:val="24"/>
        </w:rPr>
        <w:t>SEGUNDO</w:t>
      </w:r>
      <w:r>
        <w:rPr>
          <w:rFonts w:ascii="Myriad Pro" w:hAnsi="Myriad Pro"/>
          <w:szCs w:val="24"/>
        </w:rPr>
        <w:t>: entidades solicitantes y requisitos.</w:t>
      </w:r>
    </w:p>
    <w:p>
      <w:pPr>
        <w:pStyle w:val="Normal"/>
        <w:spacing w:lineRule="auto" w:line="276"/>
        <w:jc w:val="left"/>
        <w:rPr>
          <w:rFonts w:ascii="Myriad Pro" w:hAnsi="Myriad Pro"/>
          <w:szCs w:val="24"/>
        </w:rPr>
      </w:pPr>
      <w:r>
        <w:rPr>
          <w:rFonts w:ascii="Myriad Pro" w:hAnsi="Myriad Pro"/>
          <w:szCs w:val="24"/>
        </w:rPr>
        <w:t>Las entidades deportivas solicitantes deberán cumplir los siguientes requisitos:</w:t>
      </w:r>
    </w:p>
    <w:p>
      <w:pPr>
        <w:pStyle w:val="ListParagraph"/>
        <w:numPr>
          <w:ilvl w:val="0"/>
          <w:numId w:val="1"/>
        </w:numPr>
        <w:spacing w:lineRule="auto" w:line="276"/>
        <w:ind w:left="720" w:right="11" w:hanging="360"/>
        <w:jc w:val="left"/>
        <w:rPr>
          <w:rFonts w:ascii="Myriad Pro" w:hAnsi="Myriad Pro"/>
          <w:szCs w:val="24"/>
        </w:rPr>
      </w:pPr>
      <w:r>
        <w:rPr>
          <w:rFonts w:ascii="Myriad Pro" w:hAnsi="Myriad Pro"/>
          <w:szCs w:val="24"/>
        </w:rPr>
        <w:t>Estar debidamente inscritas en el Registro municipal de entidades y tener sus datos actualizados en el Registro municipal de entidades en el momento de presentar su solicitud.</w:t>
      </w:r>
    </w:p>
    <w:p>
      <w:pPr>
        <w:pStyle w:val="ListParagraph"/>
        <w:numPr>
          <w:ilvl w:val="0"/>
          <w:numId w:val="1"/>
        </w:numPr>
        <w:spacing w:lineRule="auto" w:line="276"/>
        <w:ind w:left="720" w:right="11" w:hanging="360"/>
        <w:jc w:val="left"/>
        <w:rPr>
          <w:rFonts w:ascii="Myriad Pro" w:hAnsi="Myriad Pro"/>
          <w:szCs w:val="24"/>
        </w:rPr>
      </w:pPr>
      <w:r>
        <w:rPr>
          <w:rFonts w:ascii="Myriad Pro" w:hAnsi="Myriad Pro"/>
          <w:szCs w:val="24"/>
        </w:rPr>
        <w:t>Tener sus estatutos adaptados a la Ley orgánica 1/2002 de 22 de marzo, reguladora del derecho de asociación.</w:t>
      </w:r>
    </w:p>
    <w:p>
      <w:pPr>
        <w:pStyle w:val="ListParagraph"/>
        <w:numPr>
          <w:ilvl w:val="0"/>
          <w:numId w:val="1"/>
        </w:numPr>
        <w:spacing w:lineRule="auto" w:line="276"/>
        <w:ind w:left="720" w:right="11" w:hanging="360"/>
        <w:jc w:val="left"/>
        <w:rPr>
          <w:rFonts w:ascii="Myriad Pro" w:hAnsi="Myriad Pro"/>
          <w:szCs w:val="24"/>
        </w:rPr>
      </w:pPr>
      <w:r>
        <w:rPr>
          <w:rFonts w:ascii="Myriad Pro" w:hAnsi="Myriad Pro"/>
          <w:szCs w:val="24"/>
        </w:rPr>
        <w:t>No infringir lo regulado en él artículo 13 de la Ley 38/2003, del 17 de noviembre.</w:t>
      </w:r>
    </w:p>
    <w:p>
      <w:pPr>
        <w:pStyle w:val="ListParagraph"/>
        <w:numPr>
          <w:ilvl w:val="0"/>
          <w:numId w:val="1"/>
        </w:numPr>
        <w:spacing w:lineRule="auto" w:line="276"/>
        <w:ind w:left="720" w:right="11" w:hanging="360"/>
        <w:jc w:val="left"/>
        <w:rPr>
          <w:rFonts w:ascii="Myriad Pro" w:hAnsi="Myriad Pro"/>
          <w:szCs w:val="24"/>
        </w:rPr>
      </w:pPr>
      <w:r>
        <w:rPr>
          <w:rFonts w:ascii="Myriad Pro" w:hAnsi="Myriad Pro"/>
          <w:szCs w:val="24"/>
        </w:rPr>
        <w:t>Cumplir los requisitos de la convocatoria de concesión de subvenciones.</w:t>
      </w:r>
    </w:p>
    <w:p>
      <w:pPr>
        <w:pStyle w:val="ListParagraph"/>
        <w:numPr>
          <w:ilvl w:val="0"/>
          <w:numId w:val="1"/>
        </w:numPr>
        <w:spacing w:lineRule="auto" w:line="276"/>
        <w:ind w:left="720" w:right="11" w:hanging="360"/>
        <w:jc w:val="left"/>
        <w:rPr>
          <w:rFonts w:ascii="Myriad Pro" w:hAnsi="Myriad Pro"/>
          <w:szCs w:val="24"/>
        </w:rPr>
      </w:pPr>
      <w:r>
        <w:rPr>
          <w:rFonts w:ascii="Myriad Pro" w:hAnsi="Myriad Pro"/>
          <w:szCs w:val="24"/>
        </w:rPr>
        <w:t>Desarrollar sus actividades en el ámbito territorial de la localidad y sobre temas deportivos de interés para ella.</w:t>
      </w:r>
    </w:p>
    <w:p>
      <w:pPr>
        <w:pStyle w:val="ListParagraph"/>
        <w:numPr>
          <w:ilvl w:val="0"/>
          <w:numId w:val="1"/>
        </w:numPr>
        <w:spacing w:lineRule="auto" w:line="276"/>
        <w:ind w:left="720" w:right="11" w:hanging="360"/>
        <w:jc w:val="left"/>
        <w:rPr>
          <w:rFonts w:ascii="Myriad Pro" w:hAnsi="Myriad Pro"/>
          <w:szCs w:val="24"/>
        </w:rPr>
      </w:pPr>
      <w:r>
        <w:rPr>
          <w:rFonts w:ascii="Myriad Pro" w:hAnsi="Myriad Pro"/>
          <w:szCs w:val="24"/>
        </w:rPr>
        <w:t>No estar incursa en ninguno de los supuestos de incapacidad o incompatibilidad para la percepción de ayudas o subvenciones públicas.</w:t>
      </w:r>
    </w:p>
    <w:p>
      <w:pPr>
        <w:pStyle w:val="ListParagraph"/>
        <w:numPr>
          <w:ilvl w:val="0"/>
          <w:numId w:val="1"/>
        </w:numPr>
        <w:spacing w:lineRule="auto" w:line="276"/>
        <w:ind w:left="720" w:right="11" w:hanging="360"/>
        <w:jc w:val="left"/>
        <w:rPr>
          <w:rFonts w:ascii="Myriad Pro" w:hAnsi="Myriad Pro"/>
          <w:szCs w:val="24"/>
        </w:rPr>
      </w:pPr>
      <w:r>
        <w:rPr>
          <w:rFonts w:ascii="Myriad Pro" w:hAnsi="Myriad Pro"/>
          <w:szCs w:val="24"/>
        </w:rPr>
        <w:t>Estar al corriente de sus obligaciones tributarias (de carácter estatal, autonómica y local) y con la Seguridad Social.</w:t>
      </w:r>
    </w:p>
    <w:p>
      <w:pPr>
        <w:pStyle w:val="Normal"/>
        <w:spacing w:lineRule="auto" w:line="276"/>
        <w:jc w:val="left"/>
        <w:rPr>
          <w:rFonts w:ascii="Myriad Pro" w:hAnsi="Myriad Pro"/>
          <w:szCs w:val="24"/>
        </w:rPr>
      </w:pPr>
      <w:r>
        <w:rPr>
          <w:rFonts w:ascii="Myriad Pro" w:hAnsi="Myriad Pro"/>
          <w:szCs w:val="24"/>
        </w:rPr>
      </w:r>
    </w:p>
    <w:p>
      <w:pPr>
        <w:pStyle w:val="Normal"/>
        <w:spacing w:lineRule="auto" w:line="276"/>
        <w:jc w:val="left"/>
        <w:rPr>
          <w:rFonts w:ascii="Myriad Pro" w:hAnsi="Myriad Pro"/>
          <w:szCs w:val="24"/>
        </w:rPr>
      </w:pPr>
      <w:r>
        <w:rPr>
          <w:rFonts w:ascii="Myriad Pro" w:hAnsi="Myriad Pro"/>
          <w:b/>
          <w:szCs w:val="24"/>
        </w:rPr>
        <w:t>TERCERO</w:t>
      </w:r>
      <w:r>
        <w:rPr>
          <w:rFonts w:ascii="Myriad Pro" w:hAnsi="Myriad Pro"/>
          <w:szCs w:val="24"/>
        </w:rPr>
        <w:t xml:space="preserve">: órgano competente para la instrucción y resolución del procedimiento. </w:t>
      </w:r>
    </w:p>
    <w:p>
      <w:pPr>
        <w:pStyle w:val="Normal"/>
        <w:spacing w:lineRule="auto" w:line="276"/>
        <w:jc w:val="left"/>
        <w:rPr>
          <w:rFonts w:ascii="Myriad Pro" w:hAnsi="Myriad Pro"/>
          <w:szCs w:val="24"/>
        </w:rPr>
      </w:pPr>
      <w:r>
        <w:rPr>
          <w:rFonts w:ascii="Myriad Pro" w:hAnsi="Myriad Pro"/>
          <w:szCs w:val="24"/>
        </w:rPr>
        <w:t>Como se indica en el apartado 4 de la Ordenanza General de Subvenciones del Ayuntamiento de San Sadurniño será la Alcaldía-Presidencia o la Concejalía delegada.</w:t>
      </w:r>
    </w:p>
    <w:p>
      <w:pPr>
        <w:pStyle w:val="Normal"/>
        <w:spacing w:lineRule="auto" w:line="276"/>
        <w:jc w:val="left"/>
        <w:rPr>
          <w:rFonts w:ascii="Myriad Pro" w:hAnsi="Myriad Pro"/>
          <w:szCs w:val="24"/>
        </w:rPr>
      </w:pPr>
      <w:r>
        <w:rPr>
          <w:rFonts w:ascii="Myriad Pro" w:hAnsi="Myriad Pro"/>
          <w:szCs w:val="24"/>
        </w:rPr>
      </w:r>
    </w:p>
    <w:p>
      <w:pPr>
        <w:pStyle w:val="Normal"/>
        <w:spacing w:lineRule="auto" w:line="276"/>
        <w:jc w:val="left"/>
        <w:rPr>
          <w:rFonts w:ascii="Myriad Pro" w:hAnsi="Myriad Pro"/>
          <w:szCs w:val="24"/>
        </w:rPr>
      </w:pPr>
      <w:r>
        <w:rPr>
          <w:rFonts w:ascii="Myriad Pro" w:hAnsi="Myriad Pro"/>
          <w:b/>
          <w:szCs w:val="24"/>
        </w:rPr>
        <w:t>CUARTO</w:t>
      </w:r>
      <w:r>
        <w:rPr>
          <w:rFonts w:ascii="Myriad Pro" w:hAnsi="Myriad Pro"/>
          <w:szCs w:val="24"/>
        </w:rPr>
        <w:t>: objeto.</w:t>
      </w:r>
    </w:p>
    <w:p>
      <w:pPr>
        <w:pStyle w:val="Normal"/>
        <w:spacing w:lineRule="auto" w:line="276"/>
        <w:jc w:val="left"/>
        <w:rPr>
          <w:rFonts w:ascii="Myriad Pro" w:hAnsi="Myriad Pro"/>
          <w:szCs w:val="24"/>
        </w:rPr>
      </w:pPr>
      <w:r>
        <w:rPr>
          <w:rFonts w:ascii="Myriad Pro" w:hAnsi="Myriad Pro"/>
          <w:szCs w:val="24"/>
        </w:rPr>
        <w:t>La realización de actividades de promoción del Deporte en el término municipal de San Sadurniño, dentro de los gastos subvencionables establecidos en el punto 7 de la ordenanza general de subvenciones del ayuntamiento de San Sadurniño.</w:t>
      </w:r>
    </w:p>
    <w:p>
      <w:pPr>
        <w:pStyle w:val="Normal"/>
        <w:spacing w:lineRule="auto" w:line="276"/>
        <w:jc w:val="left"/>
        <w:rPr>
          <w:rFonts w:ascii="Myriad Pro" w:hAnsi="Myriad Pro"/>
          <w:szCs w:val="24"/>
        </w:rPr>
      </w:pPr>
      <w:r>
        <w:rPr>
          <w:rFonts w:ascii="Myriad Pro" w:hAnsi="Myriad Pro"/>
          <w:szCs w:val="24"/>
        </w:rPr>
        <w:t>Los gastos objeto de subvención deberán realizarse en el período comprendido entre el 1/01/2023 y el 30/11/2023.</w:t>
      </w:r>
    </w:p>
    <w:p>
      <w:pPr>
        <w:pStyle w:val="Normal"/>
        <w:spacing w:lineRule="auto" w:line="276"/>
        <w:jc w:val="left"/>
        <w:rPr>
          <w:rFonts w:ascii="Myriad Pro" w:hAnsi="Myriad Pro"/>
          <w:szCs w:val="24"/>
        </w:rPr>
      </w:pPr>
      <w:r>
        <w:rPr>
          <w:rFonts w:ascii="Myriad Pro" w:hAnsi="Myriad Pro"/>
          <w:szCs w:val="24"/>
        </w:rPr>
      </w:r>
    </w:p>
    <w:p>
      <w:pPr>
        <w:pStyle w:val="Normal"/>
        <w:spacing w:lineRule="auto" w:line="276"/>
        <w:jc w:val="left"/>
        <w:rPr>
          <w:rFonts w:ascii="Myriad Pro" w:hAnsi="Myriad Pro"/>
          <w:szCs w:val="24"/>
        </w:rPr>
      </w:pPr>
      <w:r>
        <w:rPr>
          <w:rFonts w:ascii="Myriad Pro" w:hAnsi="Myriad Pro"/>
          <w:b/>
          <w:szCs w:val="24"/>
        </w:rPr>
        <w:t>QUINTO</w:t>
      </w:r>
      <w:r>
        <w:rPr>
          <w:rFonts w:ascii="Myriad Pro" w:hAnsi="Myriad Pro"/>
          <w:szCs w:val="24"/>
        </w:rPr>
        <w:t>: bases reguladoras.</w:t>
      </w:r>
    </w:p>
    <w:p>
      <w:pPr>
        <w:pStyle w:val="Normal"/>
        <w:spacing w:lineRule="auto" w:line="276"/>
        <w:jc w:val="left"/>
        <w:rPr>
          <w:rFonts w:ascii="Myriad Pro" w:hAnsi="Myriad Pro"/>
          <w:szCs w:val="24"/>
        </w:rPr>
      </w:pPr>
      <w:r>
        <w:rPr>
          <w:rFonts w:ascii="Myriad Pro" w:hAnsi="Myriad Pro"/>
          <w:szCs w:val="24"/>
        </w:rPr>
        <w:t>El programa se regirá por las bases reguladoras publicadas en él BOP de A Coruña BOP nº 232 de fecha 09/12/2022 y en el tablón de anuncios de la sede electrónica del Ayuntamiento de San Sadurniño  aprobadas por acuerdo plenario de fecha 29/09/2022.</w:t>
      </w:r>
    </w:p>
    <w:p>
      <w:pPr>
        <w:pStyle w:val="Normal"/>
        <w:spacing w:lineRule="auto" w:line="276"/>
        <w:jc w:val="left"/>
        <w:rPr>
          <w:rFonts w:ascii="Myriad Pro" w:hAnsi="Myriad Pro"/>
          <w:szCs w:val="24"/>
        </w:rPr>
      </w:pPr>
      <w:r>
        <w:rPr>
          <w:rFonts w:ascii="Myriad Pro" w:hAnsi="Myriad Pro"/>
          <w:szCs w:val="24"/>
        </w:rPr>
      </w:r>
    </w:p>
    <w:p>
      <w:pPr>
        <w:pStyle w:val="Normal"/>
        <w:spacing w:lineRule="auto" w:line="276"/>
        <w:jc w:val="left"/>
        <w:rPr>
          <w:rFonts w:ascii="Myriad Pro" w:hAnsi="Myriad Pro"/>
          <w:szCs w:val="24"/>
        </w:rPr>
      </w:pPr>
      <w:r>
        <w:rPr>
          <w:rFonts w:ascii="Myriad Pro" w:hAnsi="Myriad Pro"/>
          <w:b/>
          <w:szCs w:val="24"/>
        </w:rPr>
        <w:t>SEXTO</w:t>
      </w:r>
      <w:r>
        <w:rPr>
          <w:rFonts w:ascii="Myriad Pro" w:hAnsi="Myriad Pro"/>
          <w:szCs w:val="24"/>
        </w:rPr>
        <w:t>: cuantía.</w:t>
      </w:r>
    </w:p>
    <w:p>
      <w:pPr>
        <w:pStyle w:val="Normal"/>
        <w:spacing w:lineRule="auto" w:line="276"/>
        <w:jc w:val="left"/>
        <w:rPr>
          <w:rFonts w:ascii="Myriad Pro" w:hAnsi="Myriad Pro"/>
          <w:szCs w:val="24"/>
        </w:rPr>
      </w:pPr>
      <w:r>
        <w:rPr>
          <w:rFonts w:ascii="Myriad Pro" w:hAnsi="Myriad Pro"/>
          <w:szCs w:val="24"/>
        </w:rPr>
        <w:t>El importe de la consignación asciende a 12.000,00 euros con cargo en el capítulo IV del presupuesto municipal para el año 2023.</w:t>
      </w:r>
    </w:p>
    <w:p>
      <w:pPr>
        <w:pStyle w:val="Normal"/>
        <w:spacing w:lineRule="auto" w:line="276"/>
        <w:jc w:val="left"/>
        <w:rPr>
          <w:rFonts w:ascii="Myriad Pro" w:hAnsi="Myriad Pro"/>
          <w:szCs w:val="24"/>
        </w:rPr>
      </w:pPr>
      <w:r>
        <w:rPr>
          <w:rFonts w:ascii="Myriad Pro" w:hAnsi="Myriad Pro"/>
          <w:szCs w:val="24"/>
        </w:rPr>
      </w:r>
    </w:p>
    <w:p>
      <w:pPr>
        <w:pStyle w:val="Normal"/>
        <w:spacing w:lineRule="auto" w:line="276"/>
        <w:jc w:val="left"/>
        <w:rPr>
          <w:rFonts w:ascii="Myriad Pro" w:hAnsi="Myriad Pro"/>
          <w:szCs w:val="24"/>
        </w:rPr>
      </w:pPr>
      <w:r>
        <w:rPr>
          <w:rFonts w:ascii="Myriad Pro" w:hAnsi="Myriad Pro"/>
          <w:b/>
          <w:szCs w:val="24"/>
        </w:rPr>
        <w:t>SÉPTIMO</w:t>
      </w:r>
      <w:r>
        <w:rPr>
          <w:rFonts w:ascii="Myriad Pro" w:hAnsi="Myriad Pro"/>
          <w:szCs w:val="24"/>
        </w:rPr>
        <w:t>: solicitudes y plazo de presentación.</w:t>
      </w:r>
    </w:p>
    <w:p>
      <w:pPr>
        <w:pStyle w:val="Normal"/>
        <w:spacing w:lineRule="auto" w:line="276"/>
        <w:jc w:val="left"/>
        <w:rPr>
          <w:rFonts w:ascii="Myriad Pro" w:hAnsi="Myriad Pro"/>
          <w:szCs w:val="24"/>
        </w:rPr>
      </w:pPr>
      <w:r>
        <w:rPr>
          <w:rFonts w:ascii="Myriad Pro" w:hAnsi="Myriad Pro"/>
          <w:szCs w:val="24"/>
        </w:rPr>
        <w:t xml:space="preserve">Las solicitudes de las subvenciones se dirigirán a la Alcaldía del Ayuntamiento de San Sadurniño, en el modelo que figura como anexo a estas bases (ANEXO I), y se presentarán, dentro del plazo de 20 días hábiles contados a partir del día siguiente al de la publicación del extracto de la convocatoria en la </w:t>
      </w:r>
      <w:bookmarkStart w:id="0" w:name="_GoBack"/>
      <w:bookmarkEnd w:id="0"/>
      <w:r>
        <w:rPr>
          <w:rFonts w:ascii="Myriad Pro" w:hAnsi="Myriad Pro"/>
          <w:szCs w:val="24"/>
        </w:rPr>
        <w:t>BDNS  y se presentarán en formato electrónico a través del Registro electrónico de la sede electrónica del Ayuntamiento.</w:t>
      </w:r>
    </w:p>
    <w:p>
      <w:pPr>
        <w:pStyle w:val="Normal"/>
        <w:spacing w:lineRule="auto" w:line="276"/>
        <w:jc w:val="left"/>
        <w:rPr>
          <w:rFonts w:ascii="Myriad Pro" w:hAnsi="Myriad Pro" w:eastAsia="" w:cs="ITCFranklinGothicStd-Book" w:eastAsiaTheme="minorEastAsia"/>
          <w:color w:val="auto"/>
          <w:szCs w:val="24"/>
        </w:rPr>
      </w:pPr>
      <w:r>
        <w:rPr>
          <w:rFonts w:eastAsia="" w:cs="ITCFranklinGothicStd-Book" w:eastAsiaTheme="minorEastAsia" w:ascii="Myriad Pro" w:hAnsi="Myriad Pro"/>
          <w:color w:val="auto"/>
          <w:szCs w:val="24"/>
        </w:rPr>
      </w:r>
    </w:p>
    <w:p>
      <w:pPr>
        <w:pStyle w:val="Normal"/>
        <w:spacing w:lineRule="auto" w:line="276"/>
        <w:jc w:val="left"/>
        <w:rPr>
          <w:rFonts w:ascii="Myriad Pro" w:hAnsi="Myriad Pro"/>
          <w:szCs w:val="24"/>
        </w:rPr>
      </w:pPr>
      <w:r>
        <w:rPr>
          <w:rFonts w:ascii="Myriad Pro" w:hAnsi="Myriad Pro"/>
          <w:b/>
          <w:szCs w:val="24"/>
        </w:rPr>
        <w:t>OCTAVO</w:t>
      </w:r>
      <w:r>
        <w:rPr>
          <w:rFonts w:ascii="Myriad Pro" w:hAnsi="Myriad Pro"/>
          <w:szCs w:val="24"/>
        </w:rPr>
        <w:t>: Criterios de evaluación.</w:t>
      </w:r>
    </w:p>
    <w:p>
      <w:pPr>
        <w:pStyle w:val="Normal"/>
        <w:spacing w:lineRule="auto" w:line="276"/>
        <w:ind w:left="40" w:right="11" w:hanging="10"/>
        <w:jc w:val="left"/>
        <w:rPr>
          <w:rFonts w:ascii="Myriad Pro" w:hAnsi="Myriad Pro"/>
          <w:szCs w:val="24"/>
        </w:rPr>
      </w:pPr>
      <w:r>
        <w:rPr>
          <w:rFonts w:ascii="Myriad Pro" w:hAnsi="Myriad Pro"/>
          <w:szCs w:val="24"/>
        </w:rPr>
        <w:t xml:space="preserve">El crédito total asignado a la presente convocatoria se distribuirá de manera proporcional a la puntuación que cada entidad deportiva obtenga una vez aplicados  los criterios de ponderación establecidos. </w:t>
      </w:r>
    </w:p>
    <w:p>
      <w:pPr>
        <w:pStyle w:val="Normal"/>
        <w:spacing w:lineRule="auto" w:line="276"/>
        <w:ind w:left="40" w:right="11" w:hanging="10"/>
        <w:jc w:val="left"/>
        <w:rPr>
          <w:rFonts w:ascii="Myriad Pro" w:hAnsi="Myriad Pro"/>
          <w:szCs w:val="24"/>
        </w:rPr>
      </w:pPr>
      <w:r>
        <w:rPr>
          <w:rFonts w:ascii="Myriad Pro" w:hAnsi="Myriad Pro"/>
          <w:szCs w:val="24"/>
        </w:rPr>
        <w:t>Criterios:</w:t>
      </w:r>
    </w:p>
    <w:p>
      <w:pPr>
        <w:pStyle w:val="ListParagraph"/>
        <w:numPr>
          <w:ilvl w:val="0"/>
          <w:numId w:val="3"/>
        </w:numPr>
        <w:spacing w:lineRule="auto" w:line="276"/>
        <w:ind w:left="750" w:right="11" w:hanging="360"/>
        <w:jc w:val="left"/>
        <w:rPr>
          <w:rFonts w:ascii="Myriad Pro" w:hAnsi="Myriad Pro"/>
          <w:szCs w:val="24"/>
        </w:rPr>
      </w:pPr>
      <w:r>
        <w:rPr>
          <w:rFonts w:ascii="Myriad Pro" w:hAnsi="Myriad Pro"/>
          <w:szCs w:val="24"/>
        </w:rPr>
        <w:t>Para las entidades deportivas que no cuenten con equipos que participen en competiciones deportivas de deportes olímpicos, se establece una cuantía de 600,00 euros.  El importe de la subvención se calculará en función del número de licencias federativas con las que cuente cada entidad. Para el cálculo de esta cuantía se aplicará la siguiente fórmula:</w:t>
      </w:r>
    </w:p>
    <w:p>
      <w:pPr>
        <w:pStyle w:val="Normal"/>
        <w:spacing w:lineRule="auto" w:line="276"/>
        <w:ind w:left="40" w:right="11" w:hanging="10"/>
        <w:jc w:val="center"/>
        <w:rPr>
          <w:rFonts w:ascii="Myriad Pro" w:hAnsi="Myriad Pro"/>
          <w:b/>
          <w:b/>
          <w:szCs w:val="24"/>
        </w:rPr>
      </w:pPr>
      <w:r>
        <w:rPr>
          <w:rFonts w:ascii="Myriad Pro" w:hAnsi="Myriad Pro"/>
          <w:b/>
          <w:szCs w:val="24"/>
        </w:rPr>
        <w:t>Vp=600/Nl</w:t>
      </w:r>
    </w:p>
    <w:p>
      <w:pPr>
        <w:pStyle w:val="Normal"/>
        <w:spacing w:lineRule="auto" w:line="276"/>
        <w:ind w:left="110" w:right="11" w:hanging="10"/>
        <w:jc w:val="left"/>
        <w:rPr>
          <w:rFonts w:ascii="Myriad Pro" w:hAnsi="Myriad Pro"/>
          <w:szCs w:val="24"/>
        </w:rPr>
      </w:pPr>
      <w:r>
        <w:rPr>
          <w:rFonts w:ascii="Myriad Pro" w:hAnsi="Myriad Pro"/>
          <w:szCs w:val="24"/>
        </w:rPr>
        <w:t xml:space="preserve">Siendo Vp el valor del punto y Nl la suma del número de licencias federativas de las entidades solicitantes. Con la finalidad de potenciar la práctica deportiva femenina, el número de licencias federativas femeninas se multiplicará por dos. </w:t>
      </w:r>
    </w:p>
    <w:p>
      <w:pPr>
        <w:pStyle w:val="Normal"/>
        <w:spacing w:lineRule="auto" w:line="276"/>
        <w:ind w:left="110" w:right="11" w:hanging="10"/>
        <w:jc w:val="left"/>
        <w:rPr>
          <w:rFonts w:ascii="Myriad Pro" w:hAnsi="Myriad Pro"/>
          <w:szCs w:val="24"/>
        </w:rPr>
      </w:pPr>
      <w:r>
        <w:rPr>
          <w:rFonts w:ascii="Myriad Pro" w:hAnsi="Myriad Pro"/>
          <w:szCs w:val="24"/>
        </w:rPr>
        <w:t xml:space="preserve">La cuantía de la ayuda será el resultado de la multiplicación del valor de Vp por la suma de las licencias federativas de cada entidad solicitante. </w:t>
      </w:r>
    </w:p>
    <w:p>
      <w:pPr>
        <w:pStyle w:val="ListParagraph"/>
        <w:numPr>
          <w:ilvl w:val="0"/>
          <w:numId w:val="3"/>
        </w:numPr>
        <w:spacing w:lineRule="auto" w:line="276"/>
        <w:ind w:left="750" w:right="11" w:hanging="360"/>
        <w:jc w:val="left"/>
        <w:rPr>
          <w:rFonts w:ascii="Myriad Pro" w:hAnsi="Myriad Pro"/>
          <w:szCs w:val="24"/>
        </w:rPr>
      </w:pPr>
      <w:r>
        <w:rPr>
          <w:rFonts w:ascii="Myriad Pro" w:hAnsi="Myriad Pro"/>
          <w:szCs w:val="24"/>
        </w:rPr>
        <w:t>Para las entidades deportivas con equipos que participen en competiciones deportivas de deportes olímpicos, se establece una cuantía de 5.900,00 euros.  El importe de la subvención se calculará en función del número de licencias federativas con las que cuente cada entidad. Para el cálculo de esta cuantía se aplicará la siguiente fórmula:</w:t>
      </w:r>
    </w:p>
    <w:p>
      <w:pPr>
        <w:pStyle w:val="Normal"/>
        <w:spacing w:lineRule="auto" w:line="276"/>
        <w:ind w:left="40" w:right="11" w:hanging="10"/>
        <w:jc w:val="center"/>
        <w:rPr>
          <w:rFonts w:ascii="Myriad Pro" w:hAnsi="Myriad Pro"/>
          <w:b/>
          <w:b/>
          <w:szCs w:val="24"/>
        </w:rPr>
      </w:pPr>
      <w:r>
        <w:rPr>
          <w:rFonts w:ascii="Myriad Pro" w:hAnsi="Myriad Pro"/>
          <w:b/>
          <w:szCs w:val="24"/>
        </w:rPr>
        <w:t>Vp=5.900/Nl</w:t>
      </w:r>
    </w:p>
    <w:p>
      <w:pPr>
        <w:pStyle w:val="Normal"/>
        <w:spacing w:lineRule="auto" w:line="276"/>
        <w:ind w:left="40" w:right="11" w:hanging="10"/>
        <w:jc w:val="left"/>
        <w:rPr>
          <w:rFonts w:ascii="Myriad Pro" w:hAnsi="Myriad Pro"/>
          <w:szCs w:val="24"/>
        </w:rPr>
      </w:pPr>
      <w:r>
        <w:rPr>
          <w:rFonts w:ascii="Myriad Pro" w:hAnsi="Myriad Pro"/>
          <w:szCs w:val="24"/>
        </w:rPr>
        <w:t xml:space="preserve">Siendo Vp el valor del punto y Nl la suma del número de licencias federativas de las entidades solicitantes. Con la finalidad de potenciar la práctica deportiva femenina, el número de licencias federativas femeninas se multiplicará por dos. </w:t>
      </w:r>
    </w:p>
    <w:p>
      <w:pPr>
        <w:pStyle w:val="Normal"/>
        <w:spacing w:lineRule="auto" w:line="276"/>
        <w:ind w:left="40" w:right="11" w:hanging="10"/>
        <w:jc w:val="left"/>
        <w:rPr>
          <w:rFonts w:ascii="Myriad Pro" w:hAnsi="Myriad Pro"/>
          <w:szCs w:val="24"/>
        </w:rPr>
      </w:pPr>
      <w:r>
        <w:rPr>
          <w:rFonts w:ascii="Myriad Pro" w:hAnsi="Myriad Pro"/>
          <w:szCs w:val="24"/>
        </w:rPr>
        <w:t xml:space="preserve">La cuantía de la ayuda será el resultado de la multiplicación del valor de Vp por la suma de las licencias federativas de cada entidad solicitante. </w:t>
      </w:r>
    </w:p>
    <w:p>
      <w:pPr>
        <w:pStyle w:val="ListParagraph"/>
        <w:numPr>
          <w:ilvl w:val="0"/>
          <w:numId w:val="3"/>
        </w:numPr>
        <w:spacing w:lineRule="auto" w:line="276"/>
        <w:ind w:left="750" w:right="11" w:hanging="360"/>
        <w:jc w:val="left"/>
        <w:rPr>
          <w:rFonts w:ascii="Myriad Pro" w:hAnsi="Myriad Pro"/>
          <w:szCs w:val="24"/>
        </w:rPr>
      </w:pPr>
      <w:r>
        <w:rPr>
          <w:rFonts w:ascii="Myriad Pro" w:hAnsi="Myriad Pro"/>
          <w:szCs w:val="24"/>
        </w:rPr>
        <w:t>Por la titularidad de las instalaciones, ya sea en propiedad o por algún tipo de cesión de uso demostrada mediante el correspondiente documento contractual, primando aquellas entidades con instalaciones propias por la necesidad de su mantenimiento. Se establece una cuantía de 1.000,00 euros.  Se distribuirá de manera proporcional en función del número de solicitudes.</w:t>
      </w:r>
    </w:p>
    <w:p>
      <w:pPr>
        <w:pStyle w:val="ListParagraph"/>
        <w:numPr>
          <w:ilvl w:val="0"/>
          <w:numId w:val="3"/>
        </w:numPr>
        <w:spacing w:lineRule="auto" w:line="276"/>
        <w:ind w:left="750" w:right="11" w:hanging="360"/>
        <w:jc w:val="left"/>
        <w:rPr>
          <w:rFonts w:ascii="Myriad Pro" w:hAnsi="Myriad Pro"/>
          <w:szCs w:val="24"/>
        </w:rPr>
      </w:pPr>
      <w:r>
        <w:rPr>
          <w:rFonts w:ascii="Myriad Pro" w:hAnsi="Myriad Pro"/>
          <w:szCs w:val="24"/>
        </w:rPr>
        <w:t>Número de equipos por categoría para las entidades deportivas que participen en competiciones deportivas de deportes olímpicos, se establece una cuantía de 2.500,00 euros. Se distribuirá de manera proporcional en función de la clasificación según dictamen de la comisión evaluadora.</w:t>
      </w:r>
    </w:p>
    <w:p>
      <w:pPr>
        <w:pStyle w:val="ListParagraph"/>
        <w:numPr>
          <w:ilvl w:val="0"/>
          <w:numId w:val="3"/>
        </w:numPr>
        <w:spacing w:lineRule="auto" w:line="276"/>
        <w:ind w:left="750" w:right="11" w:hanging="360"/>
        <w:jc w:val="left"/>
        <w:rPr>
          <w:rFonts w:ascii="Myriad Pro" w:hAnsi="Myriad Pro"/>
          <w:szCs w:val="24"/>
        </w:rPr>
      </w:pPr>
      <w:r>
        <w:rPr>
          <w:rFonts w:ascii="Myriad Pro" w:hAnsi="Myriad Pro"/>
          <w:szCs w:val="24"/>
        </w:rPr>
        <w:t>Cuantía presupuestaria del programa presentado para la solicitud de entidades deportivas con equipos que participen en competiciones deportivas de deportes olímpicos. Se establece una cuantía de 2.000,00 euros. La ponderación atribuida a este criterio, se distribuirá de manera proporcional en función de la clasificación según dictamen de la comisión evaluadora, atendiendo a los siguientes parámetros:</w:t>
      </w:r>
    </w:p>
    <w:p>
      <w:pPr>
        <w:pStyle w:val="ListParagraph"/>
        <w:numPr>
          <w:ilvl w:val="0"/>
          <w:numId w:val="2"/>
        </w:numPr>
        <w:spacing w:lineRule="auto" w:line="276"/>
        <w:ind w:left="1470" w:right="11" w:hanging="360"/>
        <w:jc w:val="left"/>
        <w:rPr>
          <w:rFonts w:ascii="Myriad Pro" w:hAnsi="Myriad Pro"/>
          <w:szCs w:val="24"/>
        </w:rPr>
      </w:pPr>
      <w:r>
        <w:rPr>
          <w:rFonts w:ascii="Myriad Pro" w:hAnsi="Myriad Pro"/>
          <w:szCs w:val="24"/>
        </w:rPr>
        <w:t>de 500,00 a 1.000,00 euros: hasta 0,50 puntos</w:t>
      </w:r>
    </w:p>
    <w:p>
      <w:pPr>
        <w:pStyle w:val="ListParagraph"/>
        <w:numPr>
          <w:ilvl w:val="0"/>
          <w:numId w:val="2"/>
        </w:numPr>
        <w:spacing w:lineRule="auto" w:line="276"/>
        <w:ind w:left="1470" w:right="11" w:hanging="360"/>
        <w:jc w:val="left"/>
        <w:rPr>
          <w:rFonts w:ascii="Myriad Pro" w:hAnsi="Myriad Pro"/>
          <w:szCs w:val="24"/>
        </w:rPr>
      </w:pPr>
      <w:r>
        <w:rPr>
          <w:rFonts w:ascii="Myriad Pro" w:hAnsi="Myriad Pro"/>
          <w:szCs w:val="24"/>
        </w:rPr>
        <w:t>de 1.001,00 a 2.000,00 euros: hasta 1 punto</w:t>
      </w:r>
    </w:p>
    <w:p>
      <w:pPr>
        <w:pStyle w:val="ListParagraph"/>
        <w:numPr>
          <w:ilvl w:val="0"/>
          <w:numId w:val="2"/>
        </w:numPr>
        <w:spacing w:lineRule="auto" w:line="276"/>
        <w:ind w:left="1470" w:right="11" w:hanging="360"/>
        <w:jc w:val="left"/>
        <w:rPr>
          <w:rFonts w:ascii="Myriad Pro" w:hAnsi="Myriad Pro"/>
          <w:szCs w:val="24"/>
        </w:rPr>
      </w:pPr>
      <w:r>
        <w:rPr>
          <w:rFonts w:ascii="Myriad Pro" w:hAnsi="Myriad Pro"/>
          <w:szCs w:val="24"/>
        </w:rPr>
        <w:t>de 2.001,00 a 3.000,00 euros: hasta 1,50 puntos</w:t>
      </w:r>
    </w:p>
    <w:p>
      <w:pPr>
        <w:pStyle w:val="ListParagraph"/>
        <w:numPr>
          <w:ilvl w:val="0"/>
          <w:numId w:val="2"/>
        </w:numPr>
        <w:spacing w:lineRule="auto" w:line="276"/>
        <w:ind w:left="1470" w:right="11" w:hanging="360"/>
        <w:jc w:val="left"/>
        <w:rPr>
          <w:rFonts w:ascii="Myriad Pro" w:hAnsi="Myriad Pro"/>
          <w:szCs w:val="24"/>
        </w:rPr>
      </w:pPr>
      <w:r>
        <w:rPr>
          <w:rFonts w:ascii="Myriad Pro" w:hAnsi="Myriad Pro"/>
          <w:szCs w:val="24"/>
        </w:rPr>
        <w:t xml:space="preserve">de 3.001,00 a 4.000,00 euros: hasta 2 puntos </w:t>
      </w:r>
    </w:p>
    <w:p>
      <w:pPr>
        <w:pStyle w:val="ListParagraph"/>
        <w:numPr>
          <w:ilvl w:val="0"/>
          <w:numId w:val="2"/>
        </w:numPr>
        <w:spacing w:lineRule="auto" w:line="276"/>
        <w:ind w:left="1470" w:right="11" w:hanging="360"/>
        <w:jc w:val="left"/>
        <w:rPr>
          <w:rFonts w:ascii="Myriad Pro" w:hAnsi="Myriad Pro"/>
          <w:szCs w:val="24"/>
        </w:rPr>
      </w:pPr>
      <w:r>
        <w:rPr>
          <w:rFonts w:ascii="Myriad Pro" w:hAnsi="Myriad Pro"/>
          <w:szCs w:val="24"/>
        </w:rPr>
        <w:t>de  4.001,00 a 5.000,00 euros: hasta 3 puntos</w:t>
      </w:r>
    </w:p>
    <w:p>
      <w:pPr>
        <w:pStyle w:val="ListParagraph"/>
        <w:numPr>
          <w:ilvl w:val="0"/>
          <w:numId w:val="2"/>
        </w:numPr>
        <w:spacing w:lineRule="auto" w:line="276"/>
        <w:ind w:left="1470" w:right="11" w:hanging="360"/>
        <w:jc w:val="left"/>
        <w:rPr>
          <w:rFonts w:ascii="Myriad Pro" w:hAnsi="Myriad Pro"/>
          <w:szCs w:val="24"/>
        </w:rPr>
      </w:pPr>
      <w:r>
        <w:rPr>
          <w:rFonts w:ascii="Myriad Pro" w:hAnsi="Myriad Pro"/>
          <w:szCs w:val="24"/>
        </w:rPr>
        <w:t>de 5.000,00 a 10.000,00 euros: hasta 4 puntos.</w:t>
      </w:r>
    </w:p>
    <w:p>
      <w:pPr>
        <w:pStyle w:val="ListParagraph"/>
        <w:numPr>
          <w:ilvl w:val="0"/>
          <w:numId w:val="2"/>
        </w:numPr>
        <w:spacing w:lineRule="auto" w:line="276"/>
        <w:ind w:left="1470" w:right="11" w:hanging="360"/>
        <w:jc w:val="left"/>
        <w:rPr>
          <w:rFonts w:ascii="Myriad Pro" w:hAnsi="Myriad Pro"/>
          <w:szCs w:val="24"/>
        </w:rPr>
      </w:pPr>
      <w:r>
        <w:rPr>
          <w:rFonts w:ascii="Myriad Pro" w:hAnsi="Myriad Pro"/>
          <w:szCs w:val="24"/>
        </w:rPr>
        <w:t>Más de 10.000,00 euros: 5 puntos</w:t>
      </w:r>
    </w:p>
    <w:p>
      <w:pPr>
        <w:pStyle w:val="Normal"/>
        <w:spacing w:lineRule="auto" w:line="276"/>
        <w:jc w:val="left"/>
        <w:rPr>
          <w:rFonts w:ascii="Myriad Pro" w:hAnsi="Myriad Pro" w:eastAsia="" w:cs="ITCFranklinGothicStd-Med" w:eastAsiaTheme="minorEastAsia"/>
          <w:color w:val="auto"/>
          <w:szCs w:val="24"/>
        </w:rPr>
      </w:pPr>
      <w:r>
        <w:rPr>
          <w:rFonts w:eastAsia="" w:cs="ITCFranklinGothicStd-Med" w:eastAsiaTheme="minorEastAsia" w:ascii="Myriad Pro" w:hAnsi="Myriad Pro"/>
          <w:color w:val="auto"/>
          <w:szCs w:val="24"/>
        </w:rPr>
      </w:r>
    </w:p>
    <w:p>
      <w:pPr>
        <w:pStyle w:val="Normal"/>
        <w:spacing w:lineRule="auto" w:line="276"/>
        <w:jc w:val="left"/>
        <w:rPr>
          <w:rFonts w:ascii="Myriad Pro" w:hAnsi="Myriad Pro" w:eastAsia="" w:cs="ITCFranklinGothicStd-Book" w:eastAsiaTheme="minorEastAsia"/>
          <w:color w:val="auto"/>
          <w:szCs w:val="24"/>
        </w:rPr>
      </w:pPr>
      <w:r>
        <w:rPr>
          <w:rFonts w:eastAsia="" w:cs="ITCFranklinGothicStd-Med" w:ascii="Myriad Pro" w:hAnsi="Myriad Pro" w:eastAsiaTheme="minorEastAsia"/>
          <w:b/>
          <w:color w:val="auto"/>
          <w:szCs w:val="24"/>
        </w:rPr>
        <w:t>NOVENO</w:t>
      </w:r>
      <w:r>
        <w:rPr>
          <w:rFonts w:eastAsia="" w:cs="ITCFranklinGothicStd-Book" w:ascii="Myriad Pro" w:hAnsi="Myriad Pro" w:eastAsiaTheme="minorEastAsia"/>
          <w:color w:val="auto"/>
          <w:szCs w:val="24"/>
        </w:rPr>
        <w:t>: documentación.</w:t>
      </w:r>
    </w:p>
    <w:p>
      <w:pPr>
        <w:pStyle w:val="Normal"/>
        <w:spacing w:lineRule="auto" w:line="276"/>
        <w:jc w:val="left"/>
        <w:rPr>
          <w:rFonts w:ascii="Myriad Pro" w:hAnsi="Myriad Pro"/>
          <w:szCs w:val="24"/>
        </w:rPr>
      </w:pPr>
      <w:r>
        <w:rPr>
          <w:rFonts w:ascii="Myriad Pro" w:hAnsi="Myriad Pro"/>
          <w:szCs w:val="24"/>
        </w:rPr>
        <w:t>1.</w:t>
        <w:tab/>
        <w:t xml:space="preserve">Impreso de solicitud (Anexo I) </w:t>
      </w:r>
    </w:p>
    <w:p>
      <w:pPr>
        <w:pStyle w:val="Normal"/>
        <w:spacing w:lineRule="auto" w:line="276"/>
        <w:jc w:val="left"/>
        <w:rPr>
          <w:rFonts w:ascii="Myriad Pro" w:hAnsi="Myriad Pro"/>
          <w:szCs w:val="24"/>
        </w:rPr>
      </w:pPr>
      <w:r>
        <w:rPr>
          <w:rFonts w:ascii="Myriad Pro" w:hAnsi="Myriad Pro"/>
          <w:szCs w:val="24"/>
        </w:rPr>
        <w:t>2.</w:t>
        <w:tab/>
        <w:t>Memoria explicativa de la actividad objeto de la subvención solicitada, con especificación de la denominación, de la actividad, fechas y lugares de realización, responsables de su desarrollo, objetivos y fines concretos a la que se destinarán los fondos, no siendo subvencionables fines distintos a los expuestos en la memoria y en el correspondiente presupuesto de gastos del punto b (Anexo II).</w:t>
      </w:r>
    </w:p>
    <w:p>
      <w:pPr>
        <w:pStyle w:val="Normal"/>
        <w:spacing w:lineRule="auto" w:line="276"/>
        <w:jc w:val="left"/>
        <w:rPr>
          <w:rFonts w:ascii="Myriad Pro" w:hAnsi="Myriad Pro"/>
          <w:szCs w:val="24"/>
        </w:rPr>
      </w:pPr>
      <w:r>
        <w:rPr>
          <w:rFonts w:ascii="Myriad Pro" w:hAnsi="Myriad Pro"/>
          <w:szCs w:val="24"/>
        </w:rPr>
        <w:t>3.</w:t>
        <w:tab/>
        <w:t>Presupuesto de Ingresos y de gastos de la actividad, con expresión de la financiación prevista, y al nivel de detalle que permita comprobar que todos los conceptos de gasto son subvencionables (Anexo III).</w:t>
      </w:r>
    </w:p>
    <w:p>
      <w:pPr>
        <w:pStyle w:val="Normal"/>
        <w:spacing w:lineRule="auto" w:line="276"/>
        <w:jc w:val="left"/>
        <w:rPr>
          <w:rFonts w:ascii="Myriad Pro" w:hAnsi="Myriad Pro"/>
          <w:szCs w:val="24"/>
        </w:rPr>
      </w:pPr>
      <w:r>
        <w:rPr>
          <w:rFonts w:ascii="Myriad Pro" w:hAnsi="Myriad Pro"/>
          <w:szCs w:val="24"/>
        </w:rPr>
        <w:t>Asimismo, se presentará la siguiente documentación relativa a la entidad:</w:t>
      </w:r>
    </w:p>
    <w:p>
      <w:pPr>
        <w:pStyle w:val="Normal"/>
        <w:spacing w:lineRule="auto" w:line="276"/>
        <w:jc w:val="left"/>
        <w:rPr>
          <w:rFonts w:ascii="Myriad Pro" w:hAnsi="Myriad Pro"/>
          <w:szCs w:val="24"/>
        </w:rPr>
      </w:pPr>
      <w:r>
        <w:rPr>
          <w:rFonts w:ascii="Myriad Pro" w:hAnsi="Myriad Pro"/>
          <w:szCs w:val="24"/>
        </w:rPr>
        <w:t>4.</w:t>
        <w:tab/>
        <w:t>Certificación acreditativa de los cargos representativos y copia del acta donde figure la composición actual de la Junta directiva (Anexo V).</w:t>
      </w:r>
    </w:p>
    <w:p>
      <w:pPr>
        <w:pStyle w:val="Normal"/>
        <w:spacing w:lineRule="auto" w:line="276"/>
        <w:jc w:val="left"/>
        <w:rPr>
          <w:rFonts w:ascii="Myriad Pro" w:hAnsi="Myriad Pro"/>
          <w:szCs w:val="24"/>
        </w:rPr>
      </w:pPr>
      <w:r>
        <w:rPr>
          <w:rFonts w:ascii="Myriad Pro" w:hAnsi="Myriad Pro"/>
          <w:szCs w:val="24"/>
        </w:rPr>
        <w:t>5.</w:t>
        <w:tab/>
        <w:t>Fotocopia compulsada del CIF de la entidad.</w:t>
      </w:r>
    </w:p>
    <w:p>
      <w:pPr>
        <w:pStyle w:val="Normal"/>
        <w:spacing w:lineRule="auto" w:line="276"/>
        <w:jc w:val="left"/>
        <w:rPr>
          <w:rFonts w:ascii="Myriad Pro" w:hAnsi="Myriad Pro"/>
          <w:szCs w:val="24"/>
        </w:rPr>
      </w:pPr>
      <w:r>
        <w:rPr>
          <w:rFonts w:ascii="Myriad Pro" w:hAnsi="Myriad Pro"/>
          <w:szCs w:val="24"/>
        </w:rPr>
        <w:t>6.</w:t>
        <w:tab/>
        <w:t>Documentación acreditativa de titularidad de la instalación deportiva utilizada normalmente.</w:t>
      </w:r>
    </w:p>
    <w:p>
      <w:pPr>
        <w:pStyle w:val="Normal"/>
        <w:spacing w:lineRule="auto" w:line="276"/>
        <w:jc w:val="left"/>
        <w:rPr>
          <w:rFonts w:ascii="Myriad Pro" w:hAnsi="Myriad Pro"/>
          <w:szCs w:val="24"/>
        </w:rPr>
      </w:pPr>
      <w:r>
        <w:rPr>
          <w:rFonts w:ascii="Myriad Pro" w:hAnsi="Myriad Pro"/>
          <w:szCs w:val="24"/>
        </w:rPr>
        <w:t>7.</w:t>
        <w:tab/>
        <w:t>Certificado expedido por la correspondiente Federación donde la entidad realiza la actividad subvencionada, indicando en dicha certificación el número de fichas de cada equipo en las correspondientes categorías en las que participa (Anexo IV).</w:t>
      </w:r>
    </w:p>
    <w:p>
      <w:pPr>
        <w:pStyle w:val="Normal"/>
        <w:spacing w:lineRule="auto" w:line="276"/>
        <w:jc w:val="left"/>
        <w:rPr>
          <w:rFonts w:ascii="Myriad Pro" w:hAnsi="Myriad Pro" w:eastAsia="" w:cs="ITCFranklinGothicStd-Med" w:eastAsiaTheme="minorEastAsia"/>
          <w:color w:val="auto"/>
          <w:szCs w:val="24"/>
        </w:rPr>
      </w:pPr>
      <w:r>
        <w:rPr>
          <w:rFonts w:ascii="Myriad Pro" w:hAnsi="Myriad Pro"/>
          <w:szCs w:val="24"/>
        </w:rPr>
        <w:t>8.</w:t>
        <w:tab/>
        <w:t>Certificación de los datos bancarios de la entidad solicitante, con correspondencia exacta con los datos presentados por la persona interesada en lo que respeta al nombre o denominación social, CIF y número de cuenta bancaria.</w:t>
      </w:r>
    </w:p>
    <w:p>
      <w:pPr>
        <w:pStyle w:val="Normal"/>
        <w:spacing w:lineRule="auto" w:line="276"/>
        <w:jc w:val="left"/>
        <w:rPr>
          <w:rFonts w:ascii="Myriad Pro" w:hAnsi="Myriad Pro" w:eastAsia="" w:cs="ITCFranklinGothicStd-Med" w:eastAsiaTheme="minorEastAsia"/>
          <w:b/>
          <w:b/>
          <w:color w:val="auto"/>
          <w:szCs w:val="24"/>
        </w:rPr>
      </w:pPr>
      <w:r>
        <w:rPr>
          <w:rFonts w:eastAsia="" w:cs="ITCFranklinGothicStd-Med" w:eastAsiaTheme="minorEastAsia" w:ascii="Myriad Pro" w:hAnsi="Myriad Pro"/>
          <w:b/>
          <w:color w:val="auto"/>
          <w:szCs w:val="24"/>
        </w:rPr>
      </w:r>
    </w:p>
    <w:p>
      <w:pPr>
        <w:pStyle w:val="Normal"/>
        <w:spacing w:lineRule="auto" w:line="276"/>
        <w:jc w:val="left"/>
        <w:rPr>
          <w:rFonts w:ascii="Myriad Pro" w:hAnsi="Myriad Pro" w:eastAsia="" w:cs="ITCFranklinGothicStd-Book" w:eastAsiaTheme="minorEastAsia"/>
          <w:color w:val="auto"/>
          <w:szCs w:val="24"/>
        </w:rPr>
      </w:pPr>
      <w:r>
        <w:rPr>
          <w:rFonts w:eastAsia="" w:cs="ITCFranklinGothicStd-Med" w:ascii="Myriad Pro" w:hAnsi="Myriad Pro" w:eastAsiaTheme="minorEastAsia"/>
          <w:b/>
          <w:color w:val="auto"/>
          <w:szCs w:val="24"/>
        </w:rPr>
        <w:t>DÉCIMO</w:t>
      </w:r>
      <w:r>
        <w:rPr>
          <w:rFonts w:eastAsia="" w:cs="ITCFranklinGothicStd-Book" w:ascii="Myriad Pro" w:hAnsi="Myriad Pro" w:eastAsiaTheme="minorEastAsia"/>
          <w:color w:val="auto"/>
          <w:szCs w:val="24"/>
        </w:rPr>
        <w:t>: propuesta de resolución</w:t>
      </w:r>
    </w:p>
    <w:p>
      <w:pPr>
        <w:pStyle w:val="Normal"/>
        <w:spacing w:lineRule="auto" w:line="276"/>
        <w:jc w:val="left"/>
        <w:rPr>
          <w:rFonts w:ascii="Myriad Pro" w:hAnsi="Myriad Pro"/>
          <w:szCs w:val="24"/>
        </w:rPr>
      </w:pPr>
      <w:r>
        <w:rPr>
          <w:rFonts w:ascii="Myriad Pro" w:hAnsi="Myriad Pro"/>
          <w:szCs w:val="24"/>
        </w:rPr>
        <w:t>El estudio y, de ser el caso, la concesión o denegación de ayudas económicas, se realizará una vez revisadas las solicitudes presentadas, elaborán</w:t>
      </w:r>
      <w:r>
        <w:rPr>
          <w:rFonts w:ascii="Myriad Pro" w:hAnsi="Myriad Pro"/>
          <w:szCs w:val="24"/>
        </w:rPr>
        <w:t>d</w:t>
      </w:r>
      <w:r>
        <w:rPr>
          <w:rFonts w:ascii="Myriad Pro" w:hAnsi="Myriad Pro"/>
          <w:szCs w:val="24"/>
        </w:rPr>
        <w:t>ose propuesta de resolución que será resuelta por la Junta de Gobierno Local concediendo o denegando la ayuda.</w:t>
      </w:r>
    </w:p>
    <w:p>
      <w:pPr>
        <w:pStyle w:val="Normal"/>
        <w:spacing w:lineRule="auto" w:line="276"/>
        <w:jc w:val="left"/>
        <w:rPr>
          <w:rFonts w:ascii="Myriad Pro" w:hAnsi="Myriad Pro" w:eastAsia="" w:cs="ITCFranklinGothicStd-Med" w:eastAsiaTheme="minorEastAsia"/>
          <w:color w:val="auto"/>
          <w:szCs w:val="24"/>
        </w:rPr>
      </w:pPr>
      <w:r>
        <w:rPr>
          <w:rFonts w:eastAsia="" w:cs="ITCFranklinGothicStd-Med" w:eastAsiaTheme="minorEastAsia" w:ascii="Myriad Pro" w:hAnsi="Myriad Pro"/>
          <w:color w:val="auto"/>
          <w:szCs w:val="24"/>
        </w:rPr>
      </w:r>
    </w:p>
    <w:p>
      <w:pPr>
        <w:pStyle w:val="Normal"/>
        <w:spacing w:lineRule="auto" w:line="276"/>
        <w:ind w:left="0" w:right="11" w:hanging="0"/>
        <w:jc w:val="left"/>
        <w:rPr>
          <w:rFonts w:ascii="Myriad Pro" w:hAnsi="Myriad Pro" w:eastAsia="" w:cs="ITCFranklinGothicStd-Book" w:eastAsiaTheme="minorEastAsia"/>
          <w:color w:val="auto"/>
          <w:szCs w:val="24"/>
        </w:rPr>
      </w:pPr>
      <w:r>
        <w:rPr>
          <w:rFonts w:eastAsia="" w:cs="ITCFranklinGothicStd-Med" w:ascii="Myriad Pro" w:hAnsi="Myriad Pro" w:eastAsiaTheme="minorEastAsia"/>
          <w:b/>
          <w:color w:val="auto"/>
          <w:szCs w:val="24"/>
        </w:rPr>
        <w:t>UNDÉCIMO</w:t>
      </w:r>
      <w:r>
        <w:rPr>
          <w:rFonts w:eastAsia="" w:cs="ITCFranklinGothicStd-Book" w:ascii="Myriad Pro" w:hAnsi="Myriad Pro" w:eastAsiaTheme="minorEastAsia"/>
          <w:color w:val="auto"/>
          <w:szCs w:val="24"/>
        </w:rPr>
        <w:t>: plazo de justificación</w:t>
      </w:r>
    </w:p>
    <w:p>
      <w:pPr>
        <w:pStyle w:val="Normal"/>
        <w:spacing w:lineRule="auto" w:line="276"/>
        <w:rPr>
          <w:rFonts w:ascii="Myriad Pro" w:hAnsi="Myriad Pro" w:eastAsia="" w:cs="ITCFranklinGothicStd-Book" w:eastAsiaTheme="minorEastAsia"/>
          <w:color w:val="auto"/>
          <w:szCs w:val="24"/>
        </w:rPr>
      </w:pPr>
      <w:r>
        <w:rPr>
          <w:rFonts w:eastAsia="" w:cs="ITCFranklinGothicStd-Book" w:ascii="Myriad Pro" w:hAnsi="Myriad Pro" w:eastAsiaTheme="minorEastAsia"/>
          <w:color w:val="auto"/>
          <w:szCs w:val="24"/>
        </w:rPr>
        <w:t xml:space="preserve">El plazo para la justificación de las subvenciones terminará el día </w:t>
      </w:r>
      <w:r>
        <w:rPr>
          <w:rFonts w:ascii="Myriad Pro" w:hAnsi="Myriad Pro"/>
          <w:szCs w:val="24"/>
        </w:rPr>
        <w:t>30 de noviembre de 2023, excepto que se solicitara y concediera una prórroga, que no excederá nunca del plazo de 50 días.</w:t>
      </w:r>
    </w:p>
    <w:p>
      <w:pPr>
        <w:pStyle w:val="Normal"/>
        <w:rPr>
          <w:rFonts w:ascii="Myriad Pro" w:hAnsi="Myriad Pro" w:eastAsia="" w:cs="ITCFranklinGothicStd-Book" w:eastAsiaTheme="minorEastAsia"/>
          <w:color w:val="auto"/>
          <w:szCs w:val="24"/>
        </w:rPr>
      </w:pPr>
      <w:r>
        <w:rPr>
          <w:rFonts w:eastAsia="" w:cs="ITCFranklinGothicStd-Book" w:eastAsiaTheme="minorEastAsia" w:ascii="Myriad Pro" w:hAnsi="Myriad Pro"/>
          <w:color w:val="auto"/>
          <w:szCs w:val="24"/>
        </w:rPr>
      </w:r>
    </w:p>
    <w:p>
      <w:pPr>
        <w:pStyle w:val="Normal"/>
        <w:rPr>
          <w:rFonts w:ascii="Myriad Pro" w:hAnsi="Myriad Pro" w:eastAsia="" w:cs="ITCFranklinGothicStd-Book" w:eastAsiaTheme="minorEastAsia"/>
          <w:color w:val="auto"/>
          <w:szCs w:val="24"/>
        </w:rPr>
      </w:pPr>
      <w:r>
        <w:rPr>
          <w:rFonts w:eastAsia="" w:cs="ITCFranklinGothicStd-Book" w:eastAsiaTheme="minorEastAsia" w:ascii="Myriad Pro" w:hAnsi="Myriad Pro"/>
          <w:color w:val="auto"/>
          <w:szCs w:val="24"/>
        </w:rPr>
      </w:r>
    </w:p>
    <w:p>
      <w:pPr>
        <w:pStyle w:val="Normal"/>
        <w:rPr>
          <w:rFonts w:ascii="Myriad Pro" w:hAnsi="Myriad Pro" w:eastAsia="" w:cs="ITCFranklinGothicStd-Book" w:eastAsiaTheme="minorEastAsia"/>
          <w:color w:val="auto"/>
          <w:szCs w:val="24"/>
        </w:rPr>
      </w:pPr>
      <w:r>
        <w:rPr>
          <w:rFonts w:eastAsia="" w:cs="ITCFranklinGothicStd-Book" w:eastAsiaTheme="minorEastAsia" w:ascii="Myriad Pro" w:hAnsi="Myriad Pro"/>
          <w:color w:val="auto"/>
          <w:szCs w:val="24"/>
        </w:rPr>
      </w:r>
    </w:p>
    <w:p>
      <w:pPr>
        <w:pStyle w:val="Normal"/>
        <w:rPr>
          <w:rFonts w:ascii="Myriad Pro" w:hAnsi="Myriad Pro" w:eastAsia="" w:cs="ITCFranklinGothicStd-Book" w:eastAsiaTheme="minorEastAsia"/>
          <w:color w:val="auto"/>
          <w:szCs w:val="24"/>
        </w:rPr>
      </w:pPr>
      <w:r>
        <w:rPr>
          <w:rFonts w:eastAsia="" w:cs="ITCFranklinGothicStd-Book" w:eastAsiaTheme="minorEastAsia" w:ascii="Myriad Pro" w:hAnsi="Myriad Pro"/>
          <w:color w:val="auto"/>
          <w:szCs w:val="24"/>
        </w:rPr>
      </w:r>
    </w:p>
    <w:p>
      <w:pPr>
        <w:pStyle w:val="Normal"/>
        <w:rPr>
          <w:rFonts w:ascii="Myriad Pro" w:hAnsi="Myriad Pro" w:eastAsia="" w:cs="ITCFranklinGothicStd-Book" w:eastAsiaTheme="minorEastAsia"/>
          <w:color w:val="auto"/>
          <w:szCs w:val="24"/>
        </w:rPr>
      </w:pPr>
      <w:r>
        <w:rPr>
          <w:rFonts w:eastAsia="" w:cs="ITCFranklinGothicStd-Book" w:eastAsiaTheme="minorEastAsia" w:ascii="Myriad Pro" w:hAnsi="Myriad Pro"/>
          <w:color w:val="auto"/>
          <w:szCs w:val="24"/>
        </w:rPr>
      </w:r>
    </w:p>
    <w:p>
      <w:pPr>
        <w:pStyle w:val="Normal"/>
        <w:rPr>
          <w:rFonts w:ascii="Myriad Pro" w:hAnsi="Myriad Pro" w:eastAsia="" w:cs="ITCFranklinGothicStd-Book" w:eastAsiaTheme="minorEastAsia"/>
          <w:color w:val="auto"/>
          <w:szCs w:val="24"/>
        </w:rPr>
      </w:pPr>
      <w:r>
        <w:rPr>
          <w:rFonts w:eastAsia="" w:cs="ITCFranklinGothicStd-Book" w:eastAsiaTheme="minorEastAsia" w:ascii="Myriad Pro" w:hAnsi="Myriad Pro"/>
          <w:color w:val="auto"/>
          <w:szCs w:val="24"/>
        </w:rPr>
      </w:r>
    </w:p>
    <w:p>
      <w:pPr>
        <w:pStyle w:val="Normal"/>
        <w:ind w:left="0" w:right="11" w:hanging="0"/>
        <w:rPr>
          <w:rFonts w:ascii="Myriad Pro" w:hAnsi="Myriad Pro"/>
          <w:szCs w:val="24"/>
        </w:rPr>
      </w:pPr>
      <w:r>
        <w:rPr>
          <w:rFonts w:ascii="Myriad Pro" w:hAnsi="Myriad Pro"/>
          <w:szCs w:val="24"/>
        </w:rPr>
        <w:t xml:space="preserve">En San Sadurniño, </w:t>
      </w:r>
    </w:p>
    <w:p>
      <w:pPr>
        <w:pStyle w:val="Normal"/>
        <w:rPr/>
      </w:pPr>
      <w:r>
        <w:rPr>
          <w:rFonts w:ascii="Myriad Pro" w:hAnsi="Myriad Pro"/>
          <w:szCs w:val="24"/>
        </w:rPr>
        <w:t>Sr. Alcalde Secundino García Casal</w:t>
      </w:r>
    </w:p>
    <w:p>
      <w:pPr>
        <w:pStyle w:val="Normal"/>
        <w:spacing w:lineRule="auto" w:line="259" w:before="0" w:after="98"/>
        <w:ind w:left="0" w:right="0" w:hanging="0"/>
        <w:jc w:val="left"/>
        <w:rPr>
          <w:b/>
          <w:b/>
          <w:sz w:val="28"/>
        </w:rPr>
      </w:pPr>
      <w:r>
        <w:rPr>
          <w:b/>
          <w:sz w:val="28"/>
        </w:rPr>
      </w:r>
    </w:p>
    <w:p>
      <w:pPr>
        <w:pStyle w:val="Normal"/>
        <w:spacing w:lineRule="auto" w:line="259" w:before="0" w:after="98"/>
        <w:ind w:left="0" w:right="0" w:hanging="0"/>
        <w:jc w:val="left"/>
        <w:rPr>
          <w:b/>
          <w:b/>
          <w:sz w:val="28"/>
        </w:rPr>
      </w:pPr>
      <w:r>
        <w:rPr>
          <w:b/>
          <w:sz w:val="28"/>
        </w:rPr>
      </w:r>
    </w:p>
    <w:p>
      <w:pPr>
        <w:pStyle w:val="Normal"/>
        <w:spacing w:lineRule="auto" w:line="259" w:before="0" w:after="98"/>
        <w:ind w:left="0" w:right="0" w:hanging="0"/>
        <w:jc w:val="left"/>
        <w:rPr>
          <w:b/>
          <w:b/>
          <w:sz w:val="28"/>
        </w:rPr>
      </w:pPr>
      <w:r>
        <w:rPr>
          <w:b/>
          <w:sz w:val="28"/>
        </w:rPr>
      </w:r>
    </w:p>
    <w:p>
      <w:pPr>
        <w:pStyle w:val="Normal"/>
        <w:spacing w:lineRule="auto" w:line="259" w:before="0" w:after="98"/>
        <w:ind w:left="0" w:right="0" w:hanging="0"/>
        <w:jc w:val="left"/>
        <w:rPr>
          <w:b/>
          <w:b/>
          <w:sz w:val="28"/>
        </w:rPr>
      </w:pPr>
      <w:r>
        <w:rPr/>
      </w:r>
    </w:p>
    <w:sectPr>
      <w:headerReference w:type="default" r:id="rId2"/>
      <w:footerReference w:type="default" r:id="rId3"/>
      <w:type w:val="nextPage"/>
      <w:pgSz w:w="11906" w:h="16838"/>
      <w:pgMar w:left="1474" w:right="1474" w:header="369" w:top="2960" w:footer="992" w:bottom="1276"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 w:name="Myriad Pro">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08"/>
        <w:tab w:val="center" w:pos="8415" w:leader="none"/>
      </w:tabs>
      <w:spacing w:lineRule="auto" w:line="259" w:before="0" w:after="0"/>
      <w:ind w:left="0" w:right="0" w:hanging="0"/>
      <w:jc w:val="left"/>
      <w:rPr/>
    </w:pPr>
    <w:r>
      <w:rPr>
        <w:rFonts w:eastAsia="Times New Roman" w:cs="Times New Roman" w:ascii="Times New Roman" w:hAnsi="Times New Roman"/>
        <w:sz w:val="18"/>
      </w:rPr>
      <w:t>Convocatoria pública do programa de subvencións para a promoción do deporte e entidades deportivas</w:t>
      <w:tab/>
    </w:r>
    <w:r>
      <w:rPr>
        <w:rFonts w:eastAsia="Times New Roman" w:cs="Times New Roman" w:ascii="Times New Roman" w:hAnsi="Times New Roman"/>
        <w:sz w:val="18"/>
      </w:rPr>
      <w:fldChar w:fldCharType="begin"/>
    </w:r>
    <w:r>
      <w:rPr>
        <w:sz w:val="18"/>
        <w:rFonts w:eastAsia="Times New Roman" w:cs="Times New Roman" w:ascii="Times New Roman" w:hAnsi="Times New Roman"/>
      </w:rPr>
      <w:instrText> PAGE </w:instrText>
    </w:r>
    <w:r>
      <w:rPr>
        <w:sz w:val="18"/>
        <w:rFonts w:eastAsia="Times New Roman" w:cs="Times New Roman" w:ascii="Times New Roman" w:hAnsi="Times New Roman"/>
      </w:rPr>
      <w:fldChar w:fldCharType="separate"/>
    </w:r>
    <w:r>
      <w:rPr>
        <w:sz w:val="18"/>
        <w:rFonts w:eastAsia="Times New Roman" w:cs="Times New Roman" w:ascii="Times New Roman" w:hAnsi="Times New Roman"/>
      </w:rPr>
      <w:t>5</w:t>
    </w:r>
    <w:r>
      <w:rPr>
        <w:sz w:val="18"/>
        <w:rFonts w:eastAsia="Times New Roman" w:cs="Times New Roman" w:ascii="Times New Roman" w:hAnsi="Times New Roman"/>
      </w:rPr>
      <w:fldChar w:fldCharType="end"/>
    </w:r>
    <w:r>
      <w:rPr>
        <w:rFonts w:eastAsia="Times New Roman" w:cs="Times New Roman" w:ascii="Times New Roman" w:hAnsi="Times New Roman"/>
        <w:sz w:val="18"/>
      </w:rPr>
      <w:t xml:space="preserve">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59" w:before="0" w:after="0"/>
      <w:ind w:left="-1420" w:right="23" w:hanging="0"/>
      <w:jc w:val="left"/>
      <w:rPr/>
    </w:pPr>
    <w:r>
      <w:rPr/>
      <w:drawing>
        <wp:anchor behindDoc="1" distT="0" distB="0" distL="114300" distR="114300" simplePos="0" locked="0" layoutInCell="0" allowOverlap="1" relativeHeight="6">
          <wp:simplePos x="0" y="0"/>
          <wp:positionH relativeFrom="page">
            <wp:posOffset>913130</wp:posOffset>
          </wp:positionH>
          <wp:positionV relativeFrom="page">
            <wp:posOffset>233045</wp:posOffset>
          </wp:positionV>
          <wp:extent cx="5734050" cy="1628775"/>
          <wp:effectExtent l="0" t="0" r="0" b="0"/>
          <wp:wrapSquare wrapText="bothSides"/>
          <wp:docPr id="1" name="Picture 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9" descr=""/>
                  <pic:cNvPicPr>
                    <a:picLocks noChangeAspect="1" noChangeArrowheads="1"/>
                  </pic:cNvPicPr>
                </pic:nvPicPr>
                <pic:blipFill>
                  <a:blip r:embed="rId1"/>
                  <a:stretch>
                    <a:fillRect/>
                  </a:stretch>
                </pic:blipFill>
                <pic:spPr bwMode="auto">
                  <a:xfrm>
                    <a:off x="0" y="0"/>
                    <a:ext cx="5734050" cy="162877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1470" w:hanging="360"/>
      </w:pPr>
      <w:rPr>
        <w:rFonts w:ascii="Symbol" w:hAnsi="Symbol" w:cs="Symbol" w:hint="default"/>
      </w:rPr>
    </w:lvl>
    <w:lvl w:ilvl="1">
      <w:start w:val="1"/>
      <w:numFmt w:val="bullet"/>
      <w:lvlText w:val="o"/>
      <w:lvlJc w:val="left"/>
      <w:pPr>
        <w:tabs>
          <w:tab w:val="num" w:pos="0"/>
        </w:tabs>
        <w:ind w:left="2190" w:hanging="360"/>
      </w:pPr>
      <w:rPr>
        <w:rFonts w:ascii="Courier New" w:hAnsi="Courier New" w:cs="Courier New" w:hint="default"/>
      </w:rPr>
    </w:lvl>
    <w:lvl w:ilvl="2">
      <w:start w:val="1"/>
      <w:numFmt w:val="bullet"/>
      <w:lvlText w:val=""/>
      <w:lvlJc w:val="left"/>
      <w:pPr>
        <w:tabs>
          <w:tab w:val="num" w:pos="0"/>
        </w:tabs>
        <w:ind w:left="2910" w:hanging="360"/>
      </w:pPr>
      <w:rPr>
        <w:rFonts w:ascii="Wingdings" w:hAnsi="Wingdings" w:cs="Wingdings" w:hint="default"/>
      </w:rPr>
    </w:lvl>
    <w:lvl w:ilvl="3">
      <w:start w:val="1"/>
      <w:numFmt w:val="bullet"/>
      <w:lvlText w:val=""/>
      <w:lvlJc w:val="left"/>
      <w:pPr>
        <w:tabs>
          <w:tab w:val="num" w:pos="0"/>
        </w:tabs>
        <w:ind w:left="3630" w:hanging="360"/>
      </w:pPr>
      <w:rPr>
        <w:rFonts w:ascii="Symbol" w:hAnsi="Symbol" w:cs="Symbol" w:hint="default"/>
      </w:rPr>
    </w:lvl>
    <w:lvl w:ilvl="4">
      <w:start w:val="1"/>
      <w:numFmt w:val="bullet"/>
      <w:lvlText w:val="o"/>
      <w:lvlJc w:val="left"/>
      <w:pPr>
        <w:tabs>
          <w:tab w:val="num" w:pos="0"/>
        </w:tabs>
        <w:ind w:left="4350" w:hanging="360"/>
      </w:pPr>
      <w:rPr>
        <w:rFonts w:ascii="Courier New" w:hAnsi="Courier New" w:cs="Courier New" w:hint="default"/>
      </w:rPr>
    </w:lvl>
    <w:lvl w:ilvl="5">
      <w:start w:val="1"/>
      <w:numFmt w:val="bullet"/>
      <w:lvlText w:val=""/>
      <w:lvlJc w:val="left"/>
      <w:pPr>
        <w:tabs>
          <w:tab w:val="num" w:pos="0"/>
        </w:tabs>
        <w:ind w:left="5070" w:hanging="360"/>
      </w:pPr>
      <w:rPr>
        <w:rFonts w:ascii="Wingdings" w:hAnsi="Wingdings" w:cs="Wingdings" w:hint="default"/>
      </w:rPr>
    </w:lvl>
    <w:lvl w:ilvl="6">
      <w:start w:val="1"/>
      <w:numFmt w:val="bullet"/>
      <w:lvlText w:val=""/>
      <w:lvlJc w:val="left"/>
      <w:pPr>
        <w:tabs>
          <w:tab w:val="num" w:pos="0"/>
        </w:tabs>
        <w:ind w:left="5790" w:hanging="360"/>
      </w:pPr>
      <w:rPr>
        <w:rFonts w:ascii="Symbol" w:hAnsi="Symbol" w:cs="Symbol" w:hint="default"/>
      </w:rPr>
    </w:lvl>
    <w:lvl w:ilvl="7">
      <w:start w:val="1"/>
      <w:numFmt w:val="bullet"/>
      <w:lvlText w:val="o"/>
      <w:lvlJc w:val="left"/>
      <w:pPr>
        <w:tabs>
          <w:tab w:val="num" w:pos="0"/>
        </w:tabs>
        <w:ind w:left="6510" w:hanging="360"/>
      </w:pPr>
      <w:rPr>
        <w:rFonts w:ascii="Courier New" w:hAnsi="Courier New" w:cs="Courier New" w:hint="default"/>
      </w:rPr>
    </w:lvl>
    <w:lvl w:ilvl="8">
      <w:start w:val="1"/>
      <w:numFmt w:val="bullet"/>
      <w:lvlText w:val=""/>
      <w:lvlJc w:val="left"/>
      <w:pPr>
        <w:tabs>
          <w:tab w:val="num" w:pos="0"/>
        </w:tabs>
        <w:ind w:left="7230" w:hanging="360"/>
      </w:pPr>
      <w:rPr>
        <w:rFonts w:ascii="Wingdings" w:hAnsi="Wingdings" w:cs="Wingdings" w:hint="default"/>
      </w:rPr>
    </w:lvl>
  </w:abstractNum>
  <w:abstractNum w:abstractNumId="3">
    <w:lvl w:ilvl="0">
      <w:start w:val="1"/>
      <w:numFmt w:val="decimal"/>
      <w:lvlText w:val="%1."/>
      <w:lvlJc w:val="left"/>
      <w:pPr>
        <w:tabs>
          <w:tab w:val="num" w:pos="0"/>
        </w:tabs>
        <w:ind w:left="750" w:hanging="360"/>
      </w:pPr>
    </w:lvl>
    <w:lvl w:ilvl="1">
      <w:start w:val="1"/>
      <w:numFmt w:val="lowerLetter"/>
      <w:lvlText w:val="%2."/>
      <w:lvlJc w:val="left"/>
      <w:pPr>
        <w:tabs>
          <w:tab w:val="num" w:pos="0"/>
        </w:tabs>
        <w:ind w:left="1470" w:hanging="360"/>
      </w:pPr>
    </w:lvl>
    <w:lvl w:ilvl="2">
      <w:start w:val="1"/>
      <w:numFmt w:val="lowerRoman"/>
      <w:lvlText w:val="%3."/>
      <w:lvlJc w:val="right"/>
      <w:pPr>
        <w:tabs>
          <w:tab w:val="num" w:pos="0"/>
        </w:tabs>
        <w:ind w:left="2190" w:hanging="180"/>
      </w:pPr>
    </w:lvl>
    <w:lvl w:ilvl="3">
      <w:start w:val="1"/>
      <w:numFmt w:val="decimal"/>
      <w:lvlText w:val="%4."/>
      <w:lvlJc w:val="left"/>
      <w:pPr>
        <w:tabs>
          <w:tab w:val="num" w:pos="0"/>
        </w:tabs>
        <w:ind w:left="2910" w:hanging="360"/>
      </w:pPr>
    </w:lvl>
    <w:lvl w:ilvl="4">
      <w:start w:val="1"/>
      <w:numFmt w:val="lowerLetter"/>
      <w:lvlText w:val="%5."/>
      <w:lvlJc w:val="left"/>
      <w:pPr>
        <w:tabs>
          <w:tab w:val="num" w:pos="0"/>
        </w:tabs>
        <w:ind w:left="3630" w:hanging="360"/>
      </w:pPr>
    </w:lvl>
    <w:lvl w:ilvl="5">
      <w:start w:val="1"/>
      <w:numFmt w:val="lowerRoman"/>
      <w:lvlText w:val="%6."/>
      <w:lvlJc w:val="right"/>
      <w:pPr>
        <w:tabs>
          <w:tab w:val="num" w:pos="0"/>
        </w:tabs>
        <w:ind w:left="4350" w:hanging="180"/>
      </w:pPr>
    </w:lvl>
    <w:lvl w:ilvl="6">
      <w:start w:val="1"/>
      <w:numFmt w:val="decimal"/>
      <w:lvlText w:val="%7."/>
      <w:lvlJc w:val="left"/>
      <w:pPr>
        <w:tabs>
          <w:tab w:val="num" w:pos="0"/>
        </w:tabs>
        <w:ind w:left="5070" w:hanging="360"/>
      </w:pPr>
    </w:lvl>
    <w:lvl w:ilvl="7">
      <w:start w:val="1"/>
      <w:numFmt w:val="lowerLetter"/>
      <w:lvlText w:val="%8."/>
      <w:lvlJc w:val="left"/>
      <w:pPr>
        <w:tabs>
          <w:tab w:val="num" w:pos="0"/>
        </w:tabs>
        <w:ind w:left="5790" w:hanging="360"/>
      </w:pPr>
    </w:lvl>
    <w:lvl w:ilvl="8">
      <w:start w:val="1"/>
      <w:numFmt w:val="lowerRoman"/>
      <w:lvlText w:val="%9."/>
      <w:lvlJc w:val="right"/>
      <w:pPr>
        <w:tabs>
          <w:tab w:val="num" w:pos="0"/>
        </w:tabs>
        <w:ind w:left="6510" w:hanging="180"/>
      </w:p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es-ES" w:eastAsia="es-E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47" w:before="0" w:after="107"/>
      <w:ind w:left="10" w:right="11" w:hanging="10"/>
      <w:jc w:val="both"/>
    </w:pPr>
    <w:rPr>
      <w:rFonts w:ascii="Calibri" w:hAnsi="Calibri" w:eastAsia="Calibri" w:cs="Calibri"/>
      <w:color w:val="000000"/>
      <w:kern w:val="0"/>
      <w:sz w:val="24"/>
      <w:szCs w:val="22"/>
      <w:lang w:val="es-ES" w:eastAsia="es-ES" w:bidi="ar-SA"/>
    </w:rPr>
  </w:style>
  <w:style w:type="paragraph" w:styleId="Ttulo1">
    <w:name w:val="Heading 1"/>
    <w:next w:val="Normal"/>
    <w:link w:val="Ttulo1Car"/>
    <w:uiPriority w:val="9"/>
    <w:qFormat/>
    <w:pPr>
      <w:keepNext w:val="true"/>
      <w:keepLines/>
      <w:widowControl/>
      <w:bidi w:val="0"/>
      <w:spacing w:lineRule="auto" w:line="264" w:before="0" w:after="3"/>
      <w:ind w:left="174" w:hanging="10"/>
      <w:jc w:val="left"/>
      <w:outlineLvl w:val="0"/>
    </w:pPr>
    <w:rPr>
      <w:rFonts w:ascii="Calibri" w:hAnsi="Calibri" w:eastAsia="Calibri" w:cs="Calibri"/>
      <w:b/>
      <w:color w:val="000000"/>
      <w:kern w:val="0"/>
      <w:sz w:val="24"/>
      <w:szCs w:val="22"/>
      <w:lang w:val="es-ES" w:eastAsia="es-ES" w:bidi="ar-SA"/>
    </w:rPr>
  </w:style>
  <w:style w:type="paragraph" w:styleId="Ttulo2">
    <w:name w:val="Heading 2"/>
    <w:next w:val="Normal"/>
    <w:link w:val="Ttulo2Car"/>
    <w:uiPriority w:val="9"/>
    <w:unhideWhenUsed/>
    <w:qFormat/>
    <w:pPr>
      <w:keepNext w:val="true"/>
      <w:keepLines/>
      <w:widowControl/>
      <w:bidi w:val="0"/>
      <w:spacing w:lineRule="auto" w:line="264" w:before="0" w:after="3"/>
      <w:ind w:left="174" w:hanging="10"/>
      <w:jc w:val="left"/>
      <w:outlineLvl w:val="1"/>
    </w:pPr>
    <w:rPr>
      <w:rFonts w:ascii="Calibri" w:hAnsi="Calibri" w:eastAsia="Calibri" w:cs="Calibri"/>
      <w:b/>
      <w:color w:val="000000"/>
      <w:kern w:val="0"/>
      <w:sz w:val="24"/>
      <w:szCs w:val="22"/>
      <w:lang w:val="es-ES" w:eastAsia="es-ES" w:bidi="ar-SA"/>
    </w:rPr>
  </w:style>
  <w:style w:type="character" w:styleId="DefaultParagraphFont" w:default="1">
    <w:name w:val="Default Paragraph Font"/>
    <w:uiPriority w:val="1"/>
    <w:semiHidden/>
    <w:unhideWhenUsed/>
    <w:qFormat/>
    <w:rPr/>
  </w:style>
  <w:style w:type="character" w:styleId="FootnotedescriptionChar" w:customStyle="1">
    <w:name w:val="footnote description Char"/>
    <w:link w:val="footnotedescription"/>
    <w:qFormat/>
    <w:rPr>
      <w:rFonts w:ascii="Calibri" w:hAnsi="Calibri" w:eastAsia="Calibri" w:cs="Calibri"/>
      <w:color w:val="000000"/>
      <w:sz w:val="20"/>
    </w:rPr>
  </w:style>
  <w:style w:type="character" w:styleId="Ttulo1Car" w:customStyle="1">
    <w:name w:val="Título 1 Car"/>
    <w:link w:val="Ttulo1"/>
    <w:qFormat/>
    <w:rPr>
      <w:rFonts w:ascii="Calibri" w:hAnsi="Calibri" w:eastAsia="Calibri" w:cs="Calibri"/>
      <w:b/>
      <w:color w:val="000000"/>
      <w:sz w:val="24"/>
    </w:rPr>
  </w:style>
  <w:style w:type="character" w:styleId="Ttulo2Car" w:customStyle="1">
    <w:name w:val="Título 2 Car"/>
    <w:link w:val="Ttulo2"/>
    <w:qFormat/>
    <w:rPr>
      <w:rFonts w:ascii="Calibri" w:hAnsi="Calibri" w:eastAsia="Calibri" w:cs="Calibri"/>
      <w:b/>
      <w:color w:val="000000"/>
      <w:sz w:val="24"/>
    </w:rPr>
  </w:style>
  <w:style w:type="character" w:styleId="Footnotemark" w:customStyle="1">
    <w:name w:val="footnote mark"/>
    <w:qFormat/>
    <w:rPr>
      <w:rFonts w:ascii="Calibri" w:hAnsi="Calibri" w:eastAsia="Calibri" w:cs="Calibri"/>
      <w:color w:val="000000"/>
      <w:sz w:val="18"/>
      <w:vertAlign w:val="superscript"/>
    </w:rPr>
  </w:style>
  <w:style w:type="character" w:styleId="TextodegloboCar" w:customStyle="1">
    <w:name w:val="Texto de globo Car"/>
    <w:basedOn w:val="DefaultParagraphFont"/>
    <w:link w:val="Textodeglobo"/>
    <w:uiPriority w:val="99"/>
    <w:semiHidden/>
    <w:qFormat/>
    <w:rsid w:val="00fe3efa"/>
    <w:rPr>
      <w:rFonts w:ascii="Tahoma" w:hAnsi="Tahoma" w:eastAsia="Calibri" w:cs="Tahoma"/>
      <w:color w:val="000000"/>
      <w:sz w:val="16"/>
      <w:szCs w:val="16"/>
    </w:rPr>
  </w:style>
  <w:style w:type="character" w:styleId="Markedcontent" w:customStyle="1">
    <w:name w:val="markedcontent"/>
    <w:basedOn w:val="DefaultParagraphFont"/>
    <w:qFormat/>
    <w:rsid w:val="005c3133"/>
    <w:rPr/>
  </w:style>
  <w:style w:type="character" w:styleId="Tablacelda" w:customStyle="1">
    <w:name w:val="tabla-celda"/>
    <w:basedOn w:val="DefaultParagraphFont"/>
    <w:qFormat/>
    <w:rsid w:val="001a740b"/>
    <w:rPr/>
  </w:style>
  <w:style w:type="character" w:styleId="Caracteresdenotaalpie">
    <w:name w:val="Caracteres de nota al pie"/>
    <w:qFormat/>
    <w:rPr/>
  </w:style>
  <w:style w:type="paragraph" w:styleId="Ttulo">
    <w:name w:val="Título"/>
    <w:basedOn w:val="Normal"/>
    <w:next w:val="Cuerpodetexto"/>
    <w:qFormat/>
    <w:pPr>
      <w:keepNext w:val="true"/>
      <w:spacing w:before="240" w:after="120"/>
    </w:pPr>
    <w:rPr>
      <w:rFonts w:ascii="Liberation Sans" w:hAnsi="Liberation Sans" w:eastAsia="Microsoft YaHei" w:cs="Mang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Footnotedescription" w:customStyle="1">
    <w:name w:val="footnote description"/>
    <w:next w:val="Normal"/>
    <w:link w:val="footnotedescriptionChar"/>
    <w:qFormat/>
    <w:pPr>
      <w:widowControl/>
      <w:bidi w:val="0"/>
      <w:spacing w:lineRule="auto" w:line="259" w:before="0" w:after="0"/>
      <w:jc w:val="left"/>
    </w:pPr>
    <w:rPr>
      <w:rFonts w:ascii="Calibri" w:hAnsi="Calibri" w:eastAsia="Calibri" w:cs="Calibri"/>
      <w:color w:val="000000"/>
      <w:kern w:val="0"/>
      <w:sz w:val="20"/>
      <w:szCs w:val="22"/>
      <w:lang w:val="es-ES" w:eastAsia="es-ES" w:bidi="ar-SA"/>
    </w:rPr>
  </w:style>
  <w:style w:type="paragraph" w:styleId="BalloonText">
    <w:name w:val="Balloon Text"/>
    <w:basedOn w:val="Normal"/>
    <w:link w:val="TextodegloboCar"/>
    <w:uiPriority w:val="99"/>
    <w:semiHidden/>
    <w:unhideWhenUsed/>
    <w:qFormat/>
    <w:rsid w:val="00fe3efa"/>
    <w:pPr>
      <w:spacing w:lineRule="auto" w:line="240" w:before="0" w:after="0"/>
    </w:pPr>
    <w:rPr>
      <w:rFonts w:ascii="Tahoma" w:hAnsi="Tahoma" w:cs="Tahoma"/>
      <w:sz w:val="16"/>
      <w:szCs w:val="16"/>
    </w:rPr>
  </w:style>
  <w:style w:type="paragraph" w:styleId="ListParagraph">
    <w:name w:val="List Paragraph"/>
    <w:basedOn w:val="Normal"/>
    <w:uiPriority w:val="34"/>
    <w:qFormat/>
    <w:rsid w:val="00a14718"/>
    <w:pPr>
      <w:spacing w:before="0" w:after="107"/>
      <w:ind w:left="720" w:right="11" w:hanging="10"/>
      <w:contextualSpacing/>
    </w:pPr>
    <w:rPr/>
  </w:style>
  <w:style w:type="paragraph" w:styleId="Cabeceraypie">
    <w:name w:val="Cabecera y pie"/>
    <w:basedOn w:val="Normal"/>
    <w:qFormat/>
    <w:pPr/>
    <w:rPr/>
  </w:style>
  <w:style w:type="paragraph" w:styleId="Cabecera">
    <w:name w:val="Header"/>
    <w:basedOn w:val="Cabeceraypie"/>
    <w:pPr/>
    <w:rPr/>
  </w:style>
  <w:style w:type="paragraph" w:styleId="Piedepgina">
    <w:name w:val="Footer"/>
    <w:basedOn w:val="Cabeceraypie"/>
    <w:pPr/>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customStyle="1" w:styleId="TableGrid">
    <w:name w:val="TableGrid"/>
    <w:pPr>
      <w:spacing w:after="0" w:line="240" w:lineRule="auto"/>
    </w:p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633</TotalTime>
  <Application>LibreOffice/7.1.4.2$Windows_X86_64 LibreOffice_project/a529a4fab45b75fefc5b6226684193eb000654f6</Application>
  <AppVersion>15.0000</AppVersion>
  <Pages>5</Pages>
  <Words>1417</Words>
  <Characters>7717</Characters>
  <CharactersWithSpaces>9068</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2023-05-02T09:10:00Z</dcterms:created>
  <dc:creator>Cormoran</dc:creator>
  <dc:description/>
  <dc:language>es-ES</dc:language>
  <cp:lastModifiedBy/>
  <dcterms:modified xsi:type="dcterms:W3CDTF">2023-05-22T10:28:34Z</dcterms:modified>
  <cp:revision>19</cp:revision>
  <dc:subject/>
  <dc:title>Destinatario</dc:title>
</cp:coreProperties>
</file>

<file path=docProps/custom.xml><?xml version="1.0" encoding="utf-8"?>
<Properties xmlns="http://schemas.openxmlformats.org/officeDocument/2006/custom-properties" xmlns:vt="http://schemas.openxmlformats.org/officeDocument/2006/docPropsVTypes"/>
</file>