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tblLayout w:type="fixed"/>
        <w:tblLook w:val="0000" w:firstRow="0" w:lastRow="0" w:firstColumn="0" w:lastColumn="0" w:noHBand="0" w:noVBand="0"/>
      </w:tblPr>
      <w:tblGrid>
        <w:gridCol w:w="4894"/>
        <w:gridCol w:w="176"/>
        <w:gridCol w:w="4716"/>
      </w:tblGrid>
      <w:tr w:rsidR="000A107F" w:rsidRPr="008350AE" w:rsidTr="006A321C">
        <w:tc>
          <w:tcPr>
            <w:tcW w:w="5070" w:type="dxa"/>
            <w:gridSpan w:val="2"/>
          </w:tcPr>
          <w:p w:rsidR="000A107F" w:rsidRPr="008350AE" w:rsidRDefault="000A107F" w:rsidP="006A321C">
            <w:pPr>
              <w:keepNext/>
              <w:spacing w:before="240" w:after="60"/>
              <w:jc w:val="both"/>
              <w:outlineLvl w:val="0"/>
              <w:rPr>
                <w:rFonts w:ascii="Garamond" w:hAnsi="Garamond"/>
                <w:b/>
                <w:kern w:val="28"/>
                <w:sz w:val="24"/>
                <w:szCs w:val="24"/>
                <w:lang w:val="eu-ES"/>
              </w:rPr>
            </w:pPr>
            <w:r w:rsidRPr="008350AE">
              <w:rPr>
                <w:rFonts w:ascii="Garamond" w:hAnsi="Garamond"/>
                <w:b/>
                <w:kern w:val="28"/>
                <w:sz w:val="24"/>
                <w:szCs w:val="24"/>
                <w:lang w:val="es-ES_tradnl"/>
              </w:rPr>
              <w:t xml:space="preserve">7.1. </w:t>
            </w:r>
            <w:r w:rsidRPr="008350AE">
              <w:rPr>
                <w:rFonts w:ascii="Garamond" w:hAnsi="Garamond"/>
                <w:b/>
                <w:kern w:val="28"/>
                <w:sz w:val="24"/>
                <w:szCs w:val="24"/>
                <w:lang w:val="eu-ES"/>
              </w:rPr>
              <w:t>OINARRIAK, ERREGULATZEN DUTENAK DIRU-LAGUNTZA EMATEA TALDEEI, ELKARTEEI ETA ENTITATEI INGURUMEN JARDUERAK EGITEKO.</w:t>
            </w:r>
          </w:p>
        </w:tc>
        <w:tc>
          <w:tcPr>
            <w:tcW w:w="4716" w:type="dxa"/>
          </w:tcPr>
          <w:p w:rsidR="000A107F" w:rsidRPr="008350AE" w:rsidRDefault="000A107F" w:rsidP="006A321C">
            <w:pPr>
              <w:keepNext/>
              <w:spacing w:before="240" w:after="60"/>
              <w:jc w:val="both"/>
              <w:outlineLvl w:val="0"/>
              <w:rPr>
                <w:rFonts w:ascii="Garamond" w:hAnsi="Garamond"/>
                <w:b/>
                <w:kern w:val="28"/>
                <w:sz w:val="24"/>
                <w:szCs w:val="24"/>
                <w:lang w:val="es-ES_tradnl"/>
              </w:rPr>
            </w:pPr>
            <w:r w:rsidRPr="008350AE">
              <w:rPr>
                <w:rFonts w:ascii="Garamond" w:hAnsi="Garamond"/>
                <w:b/>
                <w:kern w:val="28"/>
                <w:sz w:val="24"/>
                <w:szCs w:val="24"/>
                <w:lang w:val="es-ES_tradnl"/>
              </w:rPr>
              <w:t>7.1. BASES REGULADORAS DE LA CONCESION DE SUBVENCIONES A GRUPOS, ASOCIACIONES Y ENTIDADES PARA EL DESARROLLO DE ACTIVIDADES DE CARACTER MEDIO AMBIENTAL.</w:t>
            </w:r>
          </w:p>
        </w:tc>
      </w:tr>
      <w:tr w:rsidR="000A107F" w:rsidRPr="008350AE" w:rsidTr="006A321C">
        <w:tblPrEx>
          <w:jc w:val="center"/>
        </w:tblPrEx>
        <w:trPr>
          <w:trHeight w:hRule="exact" w:val="510"/>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1. xedea</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1. Objeto</w:t>
            </w:r>
          </w:p>
        </w:tc>
      </w:tr>
      <w:tr w:rsidR="000A107F" w:rsidRPr="008350AE" w:rsidTr="006A321C">
        <w:tblPrEx>
          <w:jc w:val="center"/>
        </w:tblPrEx>
        <w:trPr>
          <w:trHeight w:hRule="exact" w:val="1503"/>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Oinarri-arau hauen xedea da deialdia erregulatzea diru-laguntzak emateko, Arrasateko udalerriaren eremuan ingurumen izaerako jarduerak egite aldera.</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El objeto de las presentes bases es regular la convocatoria para la concesión de subvenciones destinadas a la realización de actividades de carácter medio ambiental en el ámbito del municipio de Arrasate.</w:t>
            </w:r>
          </w:p>
        </w:tc>
      </w:tr>
      <w:tr w:rsidR="000A107F" w:rsidRPr="008350AE" w:rsidTr="006A321C">
        <w:tblPrEx>
          <w:jc w:val="center"/>
        </w:tblPrEx>
        <w:trPr>
          <w:trHeight w:hRule="exact" w:val="1503"/>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jasoko d</w:t>
            </w:r>
            <w:r>
              <w:rPr>
                <w:rFonts w:ascii="Garamond" w:hAnsi="Garamond"/>
                <w:sz w:val="24"/>
                <w:szCs w:val="24"/>
                <w:lang w:val="eu-ES" w:eastAsia="eu-ES"/>
              </w:rPr>
              <w:t>ute, Arrasateko udalerrian 2023</w:t>
            </w:r>
            <w:r w:rsidRPr="008350AE">
              <w:rPr>
                <w:rFonts w:ascii="Garamond" w:hAnsi="Garamond"/>
                <w:sz w:val="24"/>
                <w:szCs w:val="24"/>
                <w:lang w:val="eu-ES" w:eastAsia="eu-ES"/>
              </w:rPr>
              <w:t>ko urtean taldeek edo elkarteek eta erakundeen egindako ingurumen izaerako ekintzek.</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Serán objeto de subvención aquellas actividades de carácter medio ambiental realizadas por grupos o asociaciones y e</w:t>
            </w:r>
            <w:r>
              <w:rPr>
                <w:rFonts w:ascii="Garamond" w:hAnsi="Garamond"/>
                <w:sz w:val="24"/>
                <w:szCs w:val="24"/>
                <w:lang w:val="es-ES_tradnl" w:eastAsia="eu-ES"/>
              </w:rPr>
              <w:t>ntidades a lo largo del año 2023</w:t>
            </w:r>
            <w:r w:rsidRPr="008350AE">
              <w:rPr>
                <w:rFonts w:ascii="Garamond" w:hAnsi="Garamond"/>
                <w:sz w:val="24"/>
                <w:szCs w:val="24"/>
                <w:lang w:val="es-ES_tradnl" w:eastAsia="eu-ES"/>
              </w:rPr>
              <w:t xml:space="preserve"> en el término municipal de Arrasate.</w:t>
            </w:r>
          </w:p>
        </w:tc>
      </w:tr>
      <w:tr w:rsidR="000A107F" w:rsidRPr="008350AE" w:rsidTr="006A321C">
        <w:tblPrEx>
          <w:jc w:val="center"/>
        </w:tblPrEx>
        <w:trPr>
          <w:trHeight w:hRule="exact" w:val="510"/>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2. Onuradunak</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 xml:space="preserve">2. Personas beneficiarias </w:t>
            </w:r>
          </w:p>
        </w:tc>
      </w:tr>
      <w:tr w:rsidR="000A107F" w:rsidRPr="008350AE" w:rsidTr="006A321C">
        <w:tblPrEx>
          <w:jc w:val="center"/>
        </w:tblPrEx>
        <w:trPr>
          <w:trHeight w:hRule="exact" w:val="3402"/>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Laguntza jaso ahal izango dute, batez ere, Arrasaten egoitza eta jardun eremua daukaten pertsonek eta elkarteek edo entitateek, eta, salbuespenez, nahiz eta ez izan egoitza eta jardun eremua Arrasaten, Udalak interesgarritzat jotzen dituen ekintzak edo proiektuak garatzen dituzten beste entitate batzuk, eta horien helburuen artean badaude ingurumenaren kontserbazioa, errekuperazioa, defentsa, zabaltzea, sentsibilizazioa, babesa eta abar.</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Podrán optar a estas ayudas, principalmente, aquellas personas y asociaciones o entidades que tengan su sede y ámbito de actuación en Arrasate y, excepcionalmente, aquellas otras entidades que aún no teniendo su sede o ámbito de actuación en Arrasate, desarrollen actividades o proyectos considerados de interés por parte del Ayuntamiento y entre cuyos objetivos  se encuentren los de conservación, recuperación, defensa, divulgación, sensibilización, protección, etc. del medio ambiente.</w:t>
            </w:r>
          </w:p>
        </w:tc>
      </w:tr>
      <w:tr w:rsidR="000A107F" w:rsidRPr="008350AE" w:rsidTr="006A321C">
        <w:tblPrEx>
          <w:jc w:val="center"/>
        </w:tblPrEx>
        <w:trPr>
          <w:trHeight w:hRule="exact" w:val="1510"/>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Elkarte onuradunek baldintzak bete beharko dituzte, deialdi honetako arau orokorretako 4. artikuluan eskatzen direnak, erregistro publikoan izena emateko betebeharrari dagokionez.</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Las personas beneficiarias deberán reunir las condiciones exigidas en el artículo 4 de las bases generales de la presente convocatoria en cuanto a la obligatoriedad de inscripción en el correspondiente registro público se refiere.</w:t>
            </w:r>
          </w:p>
        </w:tc>
      </w:tr>
      <w:tr w:rsidR="000A107F" w:rsidRPr="008350AE" w:rsidTr="006A321C">
        <w:tblPrEx>
          <w:jc w:val="center"/>
        </w:tblPrEx>
        <w:trPr>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s-ES_tradnl" w:eastAsia="eu-ES"/>
              </w:rPr>
              <w:t xml:space="preserve">3. </w:t>
            </w:r>
            <w:r w:rsidRPr="008350AE">
              <w:rPr>
                <w:rFonts w:ascii="Garamond" w:hAnsi="Garamond" w:cs="Arial"/>
                <w:b/>
                <w:bCs/>
                <w:sz w:val="24"/>
                <w:szCs w:val="24"/>
                <w:lang w:val="eu-ES" w:eastAsia="eu-ES"/>
              </w:rPr>
              <w:t>Administrazio atala, izapidetzeaz arduratzen dena</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3. Unidad administrativa encargada de la tramitación</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Eskaerak izapidetuko ditu Ingurumeneko administrazio unitateak.</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Las solicitudes serán tramitadas por la unidad administrativa de Medio Ambiente.</w:t>
            </w:r>
          </w:p>
        </w:tc>
      </w:tr>
      <w:tr w:rsidR="000A107F" w:rsidRPr="008350AE" w:rsidTr="006A321C">
        <w:tblPrEx>
          <w:jc w:val="center"/>
        </w:tblPrEx>
        <w:trPr>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lastRenderedPageBreak/>
              <w:t>4. Eskaerak baloratzeko irizpideak</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4. Criterios de valoración de las solicitudes</w:t>
            </w:r>
          </w:p>
        </w:tc>
      </w:tr>
      <w:tr w:rsidR="000A107F" w:rsidRPr="008350AE" w:rsidTr="006A321C">
        <w:tblPrEx>
          <w:jc w:val="center"/>
        </w:tblPrEx>
        <w:trPr>
          <w:trHeight w:val="687"/>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Oinarri-arau hauetan arautzen diren laguntzak kalkulatzeko, izizpide hauek aplikatuko dira, atal bakoitzak jasotzen duen puntuazioarekin:</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Para el cálculo de las ayudas reguladas en las presentes bases se aplicarán los siguientes criterios, con la puntuación que a continuación se recoge por cada apartado:</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a) Entitatearen ezagutzak eta esperientzia ingurumen jarduerak egiten, eta proiektuari atxikitako lantaldea. Gehienez ere 20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a) Conocimientos y experiencia de la entidad en el desarrollo de actividades ambientales, así como el equipo humano asociado al proyecto. Hasta un máximo de 20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b) Proiektua zein biztanleriarentzat den,  honi lotutako atxikipen formaletan neurtuta- Formazio ekintzetan baloratuko da txostengileen gaitasuna, oinarri dokumentala, instalazioen egokitzapena eta abar. Gehienez ere 14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u-ES" w:eastAsia="eu-ES"/>
              </w:rPr>
              <w:t xml:space="preserve">b) Población a la que va dirigida el proyecto, medido desde las adhesiones formales al mismo. En caso de  actividades formativas se valorará la calidad de los ponentes, soporte documental, adecuación instalaciones…etc. Hasta un máximo de 14 puntos  </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c) Jardueraren berritasun maila, gehienez ere 14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u-ES" w:eastAsia="eu-ES"/>
              </w:rPr>
              <w:t>c) Grado de innovación de la actividad, hasta un máximo de 14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 Proiektuaren garapenaren ondorioz ingurumen hobekuntza eta baita ingurunea ezagutzan, (hobekuntza adierazleen neurtuta, ahal bada). eta Udalak inplementatzeko aukera, esperientziaren ondorioz, gehienez ere 14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d) Mejora ambiental, y en el  propio conocimiento del medio, derivada de la ejecución del proyecto (a ser posible cuantificable mediante indicadores de mejora), y posibilidades de implementación por parte del Ayuntamiento, derivada de la experiencia, hasta un máximo de 14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 Ingurumena ezagutzen eta kontserbatzen hobetzea, ahal bada CO2 emisioen murrizketarekin erlazionatuta, gehienez ere 14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e) Mejora en el conocimiento y conservación del Medio Ambiente, a ser posible relacionado con la reducción de emisiones de CO2, hasta un máximo de 14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eastAsia="eu-ES"/>
              </w:rPr>
              <w:t>f</w:t>
            </w:r>
            <w:r w:rsidRPr="008350AE">
              <w:rPr>
                <w:rFonts w:ascii="Garamond" w:hAnsi="Garamond"/>
                <w:sz w:val="24"/>
                <w:szCs w:val="24"/>
                <w:lang w:val="eu-ES" w:eastAsia="eu-ES"/>
              </w:rPr>
              <w:t>) Energia berriztagarrien berri jakitea – erabiltzea sustatu, gehienez ere 10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u-ES" w:eastAsia="eu-ES"/>
              </w:rPr>
              <w:t>f</w:t>
            </w:r>
            <w:r w:rsidRPr="008350AE">
              <w:rPr>
                <w:rFonts w:ascii="Garamond" w:hAnsi="Garamond"/>
                <w:sz w:val="24"/>
                <w:szCs w:val="24"/>
                <w:lang w:val="es-ES_tradnl" w:eastAsia="eu-ES"/>
              </w:rPr>
              <w:t>) Fomento en el conocimiento - utilización de las energías renovables, hasta un máximo de 10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g) Hainbat ekosistema gizarteari ematen dioten zerbitzua eta horren balorearen ezagutza sustatzea (uraren, aireare, lurzoruaren kalitaearekin, biodibertsitatearekin erlazionatuta) eta gizakiaren esku-hartzearen eragina hauetako bakoitzean. Gehienez jota 14 puntu arte.</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eastAsia="eu-ES"/>
              </w:rPr>
            </w:pPr>
            <w:r w:rsidRPr="008350AE">
              <w:rPr>
                <w:rFonts w:ascii="Garamond" w:hAnsi="Garamond"/>
                <w:sz w:val="24"/>
                <w:szCs w:val="24"/>
                <w:lang w:val="eu-ES" w:eastAsia="eu-ES"/>
              </w:rPr>
              <w:t xml:space="preserve">g) </w:t>
            </w:r>
            <w:r w:rsidRPr="008350AE">
              <w:rPr>
                <w:rFonts w:ascii="Garamond" w:hAnsi="Garamond"/>
                <w:sz w:val="24"/>
                <w:szCs w:val="24"/>
                <w:lang w:eastAsia="eu-ES"/>
              </w:rPr>
              <w:t>Fomento en el  conocimiento del valor y el servicio que diferentes ecosistemas proporcionan a la sociedad (en relación con la calidad del agua, del aire, del suelo, la biodiversidad  etc…) y la influencia de la intervención humana en cada uno de ellos hasta un máximo de 14 puntos.</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lastRenderedPageBreak/>
              <w:t>Edozelan ere, programa honetan aurreikusten diren laguntzak lortzeko, gutxienez 50 puntu lortu behar dute aurkezten diren proiektuek.</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En todo caso, para la obtención de las ayudas previstas en el presente programa los proyectos presentados deberán obtener una puntuación mínima de 50 puntos.</w:t>
            </w:r>
          </w:p>
        </w:tc>
      </w:tr>
      <w:tr w:rsidR="000A107F" w:rsidRPr="008350AE" w:rsidTr="006A321C">
        <w:tblPrEx>
          <w:jc w:val="center"/>
        </w:tblPrEx>
        <w:trPr>
          <w:trHeight w:hRule="exact" w:val="1463"/>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Gastuak diruz lagundu ahal izango dira, baldin eta, argi eta garbi, erantzuten badiote diruz lagundutako jardueraren izaerari eta beharrezkoak badira helburuak lortzeko.</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Solamente serán subvencionables los gastos que, de manera inequívoca, respondan a la naturaleza de la actividad subvencionada .y resulten estrictamente necesarios para su consecución. </w:t>
            </w:r>
          </w:p>
        </w:tc>
      </w:tr>
      <w:tr w:rsidR="000A107F" w:rsidRPr="008350AE" w:rsidTr="006A321C">
        <w:tblPrEx>
          <w:jc w:val="center"/>
        </w:tblPrEx>
        <w:trPr>
          <w:trHeight w:hRule="exact" w:val="964"/>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Pertsonal gastuak ezingo dira izan diruz lagundu daitezkeen gastuen % 50 baino handiagoak.</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Los gastos de personal no podrán superar el 50% de los gastos  subvencionables. </w:t>
            </w:r>
          </w:p>
        </w:tc>
      </w:tr>
      <w:tr w:rsidR="000A107F" w:rsidRPr="008350AE" w:rsidTr="006A321C">
        <w:tblPrEx>
          <w:jc w:val="center"/>
        </w:tblPrEx>
        <w:trPr>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5. Justifikaziorako arauak</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 xml:space="preserve">5. Normas para la justificación </w:t>
            </w:r>
          </w:p>
        </w:tc>
      </w:tr>
      <w:tr w:rsidR="000A107F" w:rsidRPr="001E5AD7" w:rsidTr="006A321C">
        <w:tblPrEx>
          <w:jc w:val="center"/>
        </w:tblPrEx>
        <w:trPr>
          <w:jc w:val="center"/>
        </w:trPr>
        <w:tc>
          <w:tcPr>
            <w:tcW w:w="4894" w:type="dxa"/>
          </w:tcPr>
          <w:p w:rsidR="000A107F" w:rsidRPr="001E5AD7" w:rsidRDefault="000A107F"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Justifikazioa egiteko ez dira kontuan hartuko oinarri orokorretako 23.c artikuluan ezarritako irizpideak. </w:t>
            </w:r>
          </w:p>
          <w:p w:rsidR="000A107F" w:rsidRPr="001E5AD7" w:rsidRDefault="000A107F"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Aurkeztutako likidazioa hasierako gastu aurrekontua baino txikiagoa bada, ez da dirulaguntza gutxituk, beti ere gainfinantzaketarik ez badago.</w:t>
            </w:r>
          </w:p>
        </w:tc>
        <w:tc>
          <w:tcPr>
            <w:tcW w:w="4892" w:type="dxa"/>
            <w:gridSpan w:val="2"/>
          </w:tcPr>
          <w:p w:rsidR="000A107F" w:rsidRPr="001E5AD7" w:rsidRDefault="000A107F"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Para realizar la justificación no se tendrán en cuenta los criterios establecidos en el artículo 23.c de las bases generales.   </w:t>
            </w:r>
          </w:p>
          <w:p w:rsidR="000A107F" w:rsidRPr="001E5AD7" w:rsidRDefault="000A107F"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En el supuesto de que la liquidación presentada fuera por importe inferior al presupuesto de gastos inicialmente presentado, no se producirá minoración de la subvención siempre y cuando no exista sobrefinanciación.</w:t>
            </w:r>
          </w:p>
        </w:tc>
      </w:tr>
      <w:tr w:rsidR="000A107F" w:rsidRPr="008350AE" w:rsidTr="006A321C">
        <w:tblPrEx>
          <w:jc w:val="center"/>
        </w:tblPrEx>
        <w:trPr>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6. Aurrekontua</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6. Presupuesto</w:t>
            </w:r>
          </w:p>
        </w:tc>
      </w:tr>
      <w:tr w:rsidR="000A107F" w:rsidRPr="008350AE" w:rsidTr="006A321C">
        <w:tblPrEx>
          <w:jc w:val="center"/>
        </w:tblPrEx>
        <w:trPr>
          <w:trHeight w:val="1445"/>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Programa honen bidez deitutako dirulaguntzen zenbatekoa 5.000</w:t>
            </w:r>
            <w:r w:rsidRPr="008350AE">
              <w:rPr>
                <w:rFonts w:ascii="Garamond" w:hAnsi="Garamond"/>
                <w:sz w:val="24"/>
                <w:szCs w:val="24"/>
                <w:lang w:val="ca-ES" w:eastAsia="eu-ES"/>
              </w:rPr>
              <w:t xml:space="preserve"> </w:t>
            </w:r>
            <w:r w:rsidRPr="008350AE">
              <w:rPr>
                <w:rFonts w:ascii="Garamond" w:hAnsi="Garamond"/>
                <w:sz w:val="24"/>
                <w:szCs w:val="24"/>
                <w:lang w:val="eu-ES" w:eastAsia="eu-ES"/>
              </w:rPr>
              <w:t>€-koa da, eta finantzatuko da“1.05.10.480.172.00.00” – Ingurumen Taldeentzako diru-laguntzak” kontu sailaren kontura.</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El importe de las ayudas convocadas a través del presente programa asciende a la cantidad de 5.000 €, y será financiado con cargo a la partida presupuestaria “1.05.10.480.172.00.00” - Subvención Entidades Medio Ambiente”.</w:t>
            </w:r>
          </w:p>
        </w:tc>
      </w:tr>
      <w:tr w:rsidR="000A107F" w:rsidRPr="008350AE" w:rsidTr="006A321C">
        <w:tblPrEx>
          <w:jc w:val="center"/>
        </w:tblPrEx>
        <w:trPr>
          <w:jc w:val="center"/>
        </w:trPr>
        <w:tc>
          <w:tcPr>
            <w:tcW w:w="4894" w:type="dxa"/>
          </w:tcPr>
          <w:p w:rsidR="000A107F" w:rsidRPr="008350AE" w:rsidRDefault="000A107F" w:rsidP="006A321C">
            <w:pPr>
              <w:keepNext/>
              <w:spacing w:before="240" w:after="60"/>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7. Klausula gehigarria</w:t>
            </w:r>
          </w:p>
        </w:tc>
        <w:tc>
          <w:tcPr>
            <w:tcW w:w="4892" w:type="dxa"/>
            <w:gridSpan w:val="2"/>
          </w:tcPr>
          <w:p w:rsidR="000A107F" w:rsidRPr="008350AE" w:rsidRDefault="000A107F" w:rsidP="006A321C">
            <w:pPr>
              <w:keepNext/>
              <w:spacing w:before="240" w:after="60"/>
              <w:outlineLvl w:val="2"/>
              <w:rPr>
                <w:rFonts w:ascii="Garamond" w:hAnsi="Garamond" w:cs="Arial"/>
                <w:b/>
                <w:bCs/>
                <w:sz w:val="24"/>
                <w:szCs w:val="24"/>
                <w:lang w:val="es-ES_tradnl" w:eastAsia="eu-ES"/>
              </w:rPr>
            </w:pPr>
            <w:r w:rsidRPr="008350AE">
              <w:rPr>
                <w:rFonts w:ascii="Garamond" w:hAnsi="Garamond" w:cs="Arial"/>
                <w:b/>
                <w:bCs/>
                <w:sz w:val="24"/>
                <w:szCs w:val="24"/>
                <w:lang w:val="es-ES_tradnl" w:eastAsia="eu-ES"/>
              </w:rPr>
              <w:t>7. Cláusula adicional</w:t>
            </w:r>
          </w:p>
        </w:tc>
      </w:tr>
      <w:tr w:rsidR="000A107F" w:rsidRPr="008350AE" w:rsidTr="006A321C">
        <w:tblPrEx>
          <w:jc w:val="center"/>
        </w:tblPrEx>
        <w:trPr>
          <w:trHeight w:val="1122"/>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Oinarri espezifiko hauetan jasotzen ez diren gai guztietan oinarri orokorretan ezarritakoa izango da aplikagarria. </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En todo lo no recogido expresamente en las presentes bases específicas, se estará a lo dispuesto en las bases generales de la convocatoria.</w:t>
            </w:r>
          </w:p>
        </w:tc>
      </w:tr>
      <w:tr w:rsidR="000A107F" w:rsidRPr="008350AE" w:rsidTr="006A321C">
        <w:tblPrEx>
          <w:jc w:val="center"/>
        </w:tblPrEx>
        <w:trPr>
          <w:jc w:val="center"/>
        </w:trPr>
        <w:tc>
          <w:tcPr>
            <w:tcW w:w="4894" w:type="dxa"/>
          </w:tcPr>
          <w:p w:rsidR="000A107F" w:rsidRPr="008350AE" w:rsidRDefault="000A107F"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Halaber, Dirulaguntzei buruzko Udal Ordenantzan eta 38/2003 Dirulaguntzen Lege Orokorrean eta bat datozen gainontzeko lege arauetan ezarritakoari atxikiko zaio. </w:t>
            </w:r>
          </w:p>
        </w:tc>
        <w:tc>
          <w:tcPr>
            <w:tcW w:w="4892" w:type="dxa"/>
            <w:gridSpan w:val="2"/>
          </w:tcPr>
          <w:p w:rsidR="000A107F" w:rsidRPr="008350AE" w:rsidRDefault="000A107F" w:rsidP="006A321C">
            <w:pPr>
              <w:spacing w:before="120" w:after="120"/>
              <w:ind w:left="113" w:right="113"/>
              <w:jc w:val="both"/>
              <w:rPr>
                <w:rFonts w:ascii="Garamond" w:hAnsi="Garamond"/>
                <w:sz w:val="24"/>
                <w:szCs w:val="24"/>
                <w:lang w:val="es-ES_tradnl" w:eastAsia="eu-ES"/>
              </w:rPr>
            </w:pPr>
            <w:r w:rsidRPr="008350AE">
              <w:rPr>
                <w:rFonts w:ascii="Garamond" w:hAnsi="Garamond"/>
                <w:sz w:val="24"/>
                <w:szCs w:val="24"/>
                <w:lang w:val="es-ES_tradnl" w:eastAsia="eu-ES"/>
              </w:rPr>
              <w:t xml:space="preserve">Asimismo, regirán </w:t>
            </w:r>
            <w:smartTag w:uri="urn:schemas-microsoft-com:office:smarttags" w:element="PersonName">
              <w:smartTagPr>
                <w:attr w:name="ProductID" w:val="la Ordenanza Municipal"/>
              </w:smartTagPr>
              <w:r w:rsidRPr="008350AE">
                <w:rPr>
                  <w:rFonts w:ascii="Garamond" w:hAnsi="Garamond"/>
                  <w:sz w:val="24"/>
                  <w:szCs w:val="24"/>
                  <w:lang w:val="es-ES_tradnl" w:eastAsia="eu-ES"/>
                </w:rPr>
                <w:t>la Ordenanza Municipal</w:t>
              </w:r>
            </w:smartTag>
            <w:r w:rsidRPr="008350AE">
              <w:rPr>
                <w:rFonts w:ascii="Garamond" w:hAnsi="Garamond"/>
                <w:sz w:val="24"/>
                <w:szCs w:val="24"/>
                <w:lang w:val="es-ES_tradnl" w:eastAsia="eu-ES"/>
              </w:rPr>
              <w:t xml:space="preserve"> de Subvenciones y la Ley 38/2003, General de Subvenciones y demás disposiciones legales concordantes.</w:t>
            </w:r>
          </w:p>
        </w:tc>
      </w:tr>
    </w:tbl>
    <w:p w:rsidR="00462319" w:rsidRPr="00395935" w:rsidRDefault="00462319" w:rsidP="00395935">
      <w:bookmarkStart w:id="0" w:name="_GoBack"/>
      <w:bookmarkEnd w:id="0"/>
    </w:p>
    <w:sectPr w:rsidR="00462319" w:rsidRPr="00395935">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0A107F">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0A107F">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3">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0A107F"/>
    <w:rsid w:val="00395935"/>
    <w:rsid w:val="00462319"/>
    <w:rsid w:val="004F19D0"/>
    <w:rsid w:val="00566CE7"/>
    <w:rsid w:val="0061761C"/>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3</Pages>
  <Words>1192</Words>
  <Characters>6799</Characters>
  <Application>Microsoft Office Word</Application>
  <DocSecurity>0</DocSecurity>
  <Lines>56</Lines>
  <Paragraphs>15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