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00" w:type="dxa"/>
        <w:tblLayout w:type="fixed"/>
        <w:tblLook w:val="0000" w:firstRow="0" w:lastRow="0" w:firstColumn="0" w:lastColumn="0" w:noHBand="0" w:noVBand="0"/>
      </w:tblPr>
      <w:tblGrid>
        <w:gridCol w:w="5070"/>
        <w:gridCol w:w="5030"/>
      </w:tblGrid>
      <w:tr w:rsidR="0061761C" w:rsidRPr="002B4633" w:rsidTr="006A321C">
        <w:tc>
          <w:tcPr>
            <w:tcW w:w="5070" w:type="dxa"/>
          </w:tcPr>
          <w:p w:rsidR="0061761C" w:rsidRPr="002B4633" w:rsidRDefault="0061761C" w:rsidP="0061761C">
            <w:pPr>
              <w:keepNext/>
              <w:numPr>
                <w:ilvl w:val="0"/>
                <w:numId w:val="3"/>
              </w:numPr>
              <w:suppressAutoHyphens/>
              <w:spacing w:before="120" w:after="120"/>
              <w:ind w:left="113" w:right="113"/>
              <w:jc w:val="both"/>
              <w:outlineLvl w:val="0"/>
              <w:rPr>
                <w:rFonts w:ascii="Univers" w:hAnsi="Univers"/>
                <w:b/>
                <w:kern w:val="28"/>
                <w:sz w:val="28"/>
                <w:lang w:val="eu-ES"/>
              </w:rPr>
            </w:pPr>
            <w:r w:rsidRPr="002B4633">
              <w:rPr>
                <w:rFonts w:ascii="Garamond" w:hAnsi="Garamond" w:cs="Garamond"/>
                <w:b/>
                <w:kern w:val="28"/>
                <w:sz w:val="24"/>
                <w:szCs w:val="24"/>
                <w:lang w:val="eu-ES"/>
              </w:rPr>
              <w:t>6.1. URTEKO PROGRAMAK EGITEKO GAZTE ELKARTEEI ZUZENTZEN ZAIZKIEN DIRU LAGUNTZAK EMATEA ARAUTZEN DUTEN OINARRI ESPEZIFIKOAK</w:t>
            </w:r>
          </w:p>
        </w:tc>
        <w:tc>
          <w:tcPr>
            <w:tcW w:w="5030" w:type="dxa"/>
          </w:tcPr>
          <w:p w:rsidR="0061761C" w:rsidRPr="002B4633" w:rsidRDefault="0061761C" w:rsidP="0061761C">
            <w:pPr>
              <w:keepNext/>
              <w:numPr>
                <w:ilvl w:val="0"/>
                <w:numId w:val="3"/>
              </w:numPr>
              <w:suppressAutoHyphens/>
              <w:spacing w:before="120" w:after="120"/>
              <w:ind w:left="113" w:right="113"/>
              <w:jc w:val="both"/>
              <w:outlineLvl w:val="0"/>
              <w:rPr>
                <w:rFonts w:ascii="Univers" w:hAnsi="Univers"/>
                <w:b/>
                <w:kern w:val="28"/>
                <w:sz w:val="28"/>
              </w:rPr>
            </w:pPr>
            <w:r w:rsidRPr="002B4633">
              <w:rPr>
                <w:rFonts w:ascii="Garamond" w:hAnsi="Garamond" w:cs="Garamond"/>
                <w:b/>
                <w:kern w:val="28"/>
                <w:sz w:val="24"/>
                <w:szCs w:val="24"/>
              </w:rPr>
              <w:t>6.1. BASES ESPECÍFICAS REGULADORAS DE LA CONCESIÓN DE SUBVENCIONES DIRIGIDAS A ASOCIACIONES JUVENILES PARA LA REALIZACIÓN DE LOS PROGRAMAS ANUALES</w:t>
            </w:r>
          </w:p>
        </w:tc>
      </w:tr>
      <w:tr w:rsidR="0061761C" w:rsidRPr="002B4633" w:rsidTr="006A321C">
        <w:tc>
          <w:tcPr>
            <w:tcW w:w="5070" w:type="dxa"/>
          </w:tcPr>
          <w:p w:rsidR="0061761C" w:rsidRPr="002B4633" w:rsidRDefault="0061761C" w:rsidP="0061761C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2B4633">
              <w:rPr>
                <w:rFonts w:ascii="Garamond" w:hAnsi="Garamond" w:cs="Garamond"/>
                <w:b/>
                <w:bCs/>
                <w:sz w:val="24"/>
                <w:szCs w:val="24"/>
                <w:lang w:val="eu-ES" w:eastAsia="eu-ES"/>
              </w:rPr>
              <w:t>1. Xedea.</w:t>
            </w:r>
          </w:p>
        </w:tc>
        <w:tc>
          <w:tcPr>
            <w:tcW w:w="5030" w:type="dxa"/>
          </w:tcPr>
          <w:p w:rsidR="0061761C" w:rsidRPr="002B4633" w:rsidRDefault="0061761C" w:rsidP="0061761C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2B4633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>1. Objeto.</w:t>
            </w:r>
          </w:p>
        </w:tc>
      </w:tr>
      <w:tr w:rsidR="0061761C" w:rsidRPr="002B4633" w:rsidTr="006A321C">
        <w:tc>
          <w:tcPr>
            <w:tcW w:w="5070" w:type="dxa"/>
          </w:tcPr>
          <w:p w:rsidR="0061761C" w:rsidRPr="002B4633" w:rsidRDefault="0061761C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t>Oinarri hauen xedea hauxe da: Arrasateko udalerrian gazteen elkartegintza sustatzea helburu duten diru laguntzak arautzea.</w:t>
            </w:r>
          </w:p>
        </w:tc>
        <w:tc>
          <w:tcPr>
            <w:tcW w:w="5030" w:type="dxa"/>
          </w:tcPr>
          <w:p w:rsidR="0061761C" w:rsidRPr="002B4633" w:rsidRDefault="0061761C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eastAsia="eu-ES"/>
              </w:rPr>
              <w:t>El objeto de las presentes bases es regular la convocatoria para la concesión de subvenciones destinadas a la promoción del asociacionismo juvenil en el municipio de Arrasate.</w:t>
            </w:r>
          </w:p>
        </w:tc>
      </w:tr>
      <w:tr w:rsidR="0061761C" w:rsidRPr="002B4633" w:rsidTr="006A321C">
        <w:tc>
          <w:tcPr>
            <w:tcW w:w="5070" w:type="dxa"/>
          </w:tcPr>
          <w:p w:rsidR="0061761C" w:rsidRPr="002B4633" w:rsidRDefault="0061761C" w:rsidP="0061761C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2B4633">
              <w:rPr>
                <w:rFonts w:ascii="Garamond" w:hAnsi="Garamond" w:cs="Garamond"/>
                <w:b/>
                <w:bCs/>
                <w:sz w:val="24"/>
                <w:szCs w:val="24"/>
                <w:lang w:val="eu-ES" w:eastAsia="eu-ES"/>
              </w:rPr>
              <w:t>2. Onuradunak.</w:t>
            </w:r>
          </w:p>
        </w:tc>
        <w:tc>
          <w:tcPr>
            <w:tcW w:w="5030" w:type="dxa"/>
          </w:tcPr>
          <w:p w:rsidR="0061761C" w:rsidRPr="002B4633" w:rsidRDefault="0061761C" w:rsidP="0061761C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2B4633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>2. Entidades beneficiarias.</w:t>
            </w:r>
          </w:p>
        </w:tc>
      </w:tr>
      <w:tr w:rsidR="0061761C" w:rsidRPr="002B4633" w:rsidTr="006A321C">
        <w:tc>
          <w:tcPr>
            <w:tcW w:w="5070" w:type="dxa"/>
          </w:tcPr>
          <w:p w:rsidR="0061761C" w:rsidRPr="002B4633" w:rsidRDefault="0061761C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t>Laguntza hauek jaso ditzakete, batetik, gazteria helburu duten herriko elkarteek eta, bestetik, herriko elkarteetako gazte sailek.</w:t>
            </w:r>
          </w:p>
        </w:tc>
        <w:tc>
          <w:tcPr>
            <w:tcW w:w="5030" w:type="dxa"/>
          </w:tcPr>
          <w:p w:rsidR="0061761C" w:rsidRPr="002B4633" w:rsidRDefault="0061761C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eastAsia="eu-ES"/>
              </w:rPr>
              <w:t>Podrán optar a estas ayudas tanto las asociaciones locales cuyo objeto sea la juventud, como los departamentos juveniles de las diferentes asociaciones locales.</w:t>
            </w:r>
          </w:p>
        </w:tc>
      </w:tr>
      <w:tr w:rsidR="0061761C" w:rsidRPr="002B4633" w:rsidTr="006A321C">
        <w:tc>
          <w:tcPr>
            <w:tcW w:w="5070" w:type="dxa"/>
          </w:tcPr>
          <w:p w:rsidR="0061761C" w:rsidRPr="002B4633" w:rsidRDefault="0061761C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t>Dagokion erregistro publikoan izena emateko betebeharrari dagokionez, onuradunek deialdi honen oinarri arau orokorretako 4. artikuluan eskatutako baldintzak bete beharko dituzte.</w:t>
            </w:r>
          </w:p>
        </w:tc>
        <w:tc>
          <w:tcPr>
            <w:tcW w:w="5030" w:type="dxa"/>
          </w:tcPr>
          <w:p w:rsidR="0061761C" w:rsidRPr="002B4633" w:rsidRDefault="0061761C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eastAsia="eu-ES"/>
              </w:rPr>
              <w:t>Las entidades beneficiarias deberán reunir las condiciones exigidas en el artículo 4 de las bases generales de la presente convocatoria en cuanto a la obligatoriedad de inscripción en el correspondiente registro público se refiere.</w:t>
            </w:r>
          </w:p>
        </w:tc>
      </w:tr>
      <w:tr w:rsidR="0061761C" w:rsidRPr="002B4633" w:rsidTr="006A321C">
        <w:tc>
          <w:tcPr>
            <w:tcW w:w="5070" w:type="dxa"/>
          </w:tcPr>
          <w:p w:rsidR="0061761C" w:rsidRPr="001E5AD7" w:rsidRDefault="0061761C" w:rsidP="0061761C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1E5AD7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>3. Aurkeztu behar den dokumentazioa.</w:t>
            </w:r>
          </w:p>
        </w:tc>
        <w:tc>
          <w:tcPr>
            <w:tcW w:w="5030" w:type="dxa"/>
          </w:tcPr>
          <w:p w:rsidR="0061761C" w:rsidRPr="001E5AD7" w:rsidRDefault="0061761C" w:rsidP="0061761C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1E5AD7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>3. Documentación a presentar.</w:t>
            </w:r>
          </w:p>
        </w:tc>
      </w:tr>
      <w:tr w:rsidR="0061761C" w:rsidRPr="002B4633" w:rsidTr="006A321C">
        <w:tc>
          <w:tcPr>
            <w:tcW w:w="5070" w:type="dxa"/>
          </w:tcPr>
          <w:p w:rsidR="0061761C" w:rsidRPr="001E5AD7" w:rsidRDefault="0061761C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1E5AD7">
              <w:rPr>
                <w:rFonts w:ascii="Garamond" w:hAnsi="Garamond"/>
                <w:sz w:val="24"/>
                <w:szCs w:val="24"/>
                <w:lang w:val="eu-ES" w:eastAsia="eu-ES"/>
              </w:rPr>
              <w:t>Interesa duten entitateek, 2023ko deialdiaren oinarri arau orokorretako 7. artikuluan eskatutako dokumentazioaz gain, agiri hauek aurkeztu beharko dituzte:</w:t>
            </w:r>
          </w:p>
        </w:tc>
        <w:tc>
          <w:tcPr>
            <w:tcW w:w="5030" w:type="dxa"/>
          </w:tcPr>
          <w:p w:rsidR="0061761C" w:rsidRPr="001E5AD7" w:rsidRDefault="0061761C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1E5AD7">
              <w:rPr>
                <w:rFonts w:ascii="Garamond" w:hAnsi="Garamond"/>
                <w:sz w:val="24"/>
                <w:szCs w:val="24"/>
                <w:lang w:eastAsia="eu-ES"/>
              </w:rPr>
              <w:t xml:space="preserve">Las entidades interesadas deberán presentar, además de la documentación solicitada en el artículo 7 de las bases generales de la convocatoria del 2023, la siguiente documentación: </w:t>
            </w:r>
          </w:p>
        </w:tc>
      </w:tr>
      <w:tr w:rsidR="0061761C" w:rsidRPr="002B4633" w:rsidTr="006A321C">
        <w:tc>
          <w:tcPr>
            <w:tcW w:w="5070" w:type="dxa"/>
          </w:tcPr>
          <w:p w:rsidR="0061761C" w:rsidRPr="002B4633" w:rsidRDefault="0061761C" w:rsidP="006A321C">
            <w:pPr>
              <w:spacing w:before="120" w:after="120"/>
              <w:ind w:left="113" w:right="113" w:firstLine="227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t>- Elkartearen helburuak, arduradunen datuak, bazkide kopurua, jarduera nagusiak.</w:t>
            </w:r>
          </w:p>
        </w:tc>
        <w:tc>
          <w:tcPr>
            <w:tcW w:w="5030" w:type="dxa"/>
          </w:tcPr>
          <w:p w:rsidR="0061761C" w:rsidRPr="002B4633" w:rsidRDefault="0061761C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eastAsia="eu-ES"/>
              </w:rPr>
              <w:t>- Objetivos de la asociación, datos de las personas responsables, número de personas asociadas, actividades principales</w:t>
            </w:r>
          </w:p>
        </w:tc>
      </w:tr>
      <w:tr w:rsidR="0061761C" w:rsidRPr="002B4633" w:rsidTr="006A321C">
        <w:tc>
          <w:tcPr>
            <w:tcW w:w="5070" w:type="dxa"/>
          </w:tcPr>
          <w:p w:rsidR="0061761C" w:rsidRPr="002B4633" w:rsidRDefault="0061761C" w:rsidP="006A321C">
            <w:pPr>
              <w:spacing w:before="120" w:after="120"/>
              <w:ind w:left="113" w:right="113" w:firstLine="227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t>- Elkarte berria bada, helburua jasotzen duen aurkezpen idatzia, jardute eremua, helburuak, bazkide kopurua, baliabideak eta abar.</w:t>
            </w:r>
          </w:p>
        </w:tc>
        <w:tc>
          <w:tcPr>
            <w:tcW w:w="5030" w:type="dxa"/>
          </w:tcPr>
          <w:p w:rsidR="0061761C" w:rsidRPr="002B4633" w:rsidRDefault="0061761C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eastAsia="eu-ES"/>
              </w:rPr>
              <w:t xml:space="preserve">- En el supuesto de nuevas asociaciones, escrito de presentación que recoja su ámbito de actuación, objetivos, número de personas asociadas, recursos, etc.  </w:t>
            </w:r>
          </w:p>
        </w:tc>
      </w:tr>
      <w:tr w:rsidR="0061761C" w:rsidRPr="002B4633" w:rsidTr="006A321C">
        <w:tc>
          <w:tcPr>
            <w:tcW w:w="5070" w:type="dxa"/>
          </w:tcPr>
          <w:p w:rsidR="0061761C" w:rsidRPr="002B4633" w:rsidRDefault="0061761C" w:rsidP="0061761C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2B4633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lastRenderedPageBreak/>
              <w:t xml:space="preserve">4. </w:t>
            </w:r>
            <w:r w:rsidRPr="00770612">
              <w:rPr>
                <w:rFonts w:ascii="Garamond" w:hAnsi="Garamond" w:cs="Garamond"/>
                <w:b/>
                <w:bCs/>
                <w:sz w:val="24"/>
                <w:szCs w:val="24"/>
                <w:lang w:val="eu-ES" w:eastAsia="eu-ES"/>
              </w:rPr>
              <w:t>Izapidetzeaz arduratzen den administrazio unitatea.</w:t>
            </w:r>
          </w:p>
        </w:tc>
        <w:tc>
          <w:tcPr>
            <w:tcW w:w="5030" w:type="dxa"/>
          </w:tcPr>
          <w:p w:rsidR="0061761C" w:rsidRPr="002B4633" w:rsidRDefault="0061761C" w:rsidP="0061761C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2B4633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>4. Unidad administrativa encargada de la tramitación.</w:t>
            </w:r>
          </w:p>
        </w:tc>
      </w:tr>
      <w:tr w:rsidR="0061761C" w:rsidRPr="002B4633" w:rsidTr="006A321C">
        <w:tc>
          <w:tcPr>
            <w:tcW w:w="5070" w:type="dxa"/>
          </w:tcPr>
          <w:p w:rsidR="0061761C" w:rsidRPr="002B4633" w:rsidRDefault="0061761C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t>Gazteriaren administrazio unitateak izapidetuko ditu eskabideak.</w:t>
            </w:r>
          </w:p>
        </w:tc>
        <w:tc>
          <w:tcPr>
            <w:tcW w:w="5030" w:type="dxa"/>
          </w:tcPr>
          <w:p w:rsidR="0061761C" w:rsidRPr="002B4633" w:rsidRDefault="0061761C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eastAsia="eu-ES"/>
              </w:rPr>
              <w:t>Las solicitudes serán tramitadas por la unidad administrativa de Juventud.</w:t>
            </w:r>
          </w:p>
        </w:tc>
      </w:tr>
      <w:tr w:rsidR="0061761C" w:rsidRPr="002B4633" w:rsidTr="006A321C">
        <w:tc>
          <w:tcPr>
            <w:tcW w:w="5070" w:type="dxa"/>
          </w:tcPr>
          <w:p w:rsidR="0061761C" w:rsidRPr="002B4633" w:rsidRDefault="0061761C" w:rsidP="0061761C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2B4633">
              <w:rPr>
                <w:rFonts w:ascii="Garamond" w:hAnsi="Garamond" w:cs="Garamond"/>
                <w:b/>
                <w:bCs/>
                <w:sz w:val="24"/>
                <w:szCs w:val="24"/>
                <w:lang w:val="eu-ES" w:eastAsia="eu-ES"/>
              </w:rPr>
              <w:t>5. Eskabideak baloratzeko irizpideak.</w:t>
            </w:r>
          </w:p>
        </w:tc>
        <w:tc>
          <w:tcPr>
            <w:tcW w:w="5030" w:type="dxa"/>
          </w:tcPr>
          <w:p w:rsidR="0061761C" w:rsidRPr="002B4633" w:rsidRDefault="0061761C" w:rsidP="0061761C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2B4633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 xml:space="preserve">5. Criterios de valoración de las solicitudes. </w:t>
            </w:r>
          </w:p>
        </w:tc>
      </w:tr>
      <w:tr w:rsidR="0061761C" w:rsidRPr="002B4633" w:rsidTr="006A321C">
        <w:tc>
          <w:tcPr>
            <w:tcW w:w="5070" w:type="dxa"/>
          </w:tcPr>
          <w:p w:rsidR="0061761C" w:rsidRPr="002B4633" w:rsidRDefault="0061761C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t>Oinarri hauetan arautzen diren laguntzak kalkulatzeko, irizpide hauek aplikatuko dira, atal bakoitzeko hemen jasotzen diren puntuazioekin:</w:t>
            </w:r>
          </w:p>
        </w:tc>
        <w:tc>
          <w:tcPr>
            <w:tcW w:w="5030" w:type="dxa"/>
          </w:tcPr>
          <w:p w:rsidR="0061761C" w:rsidRPr="002B4633" w:rsidRDefault="0061761C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eastAsia="eu-ES"/>
              </w:rPr>
              <w:t>Para el cálculo de las ayudas reguladas en las presentes bases se aplicarán los siguientes criterios, con la puntuación que a continuación se recoge por cada apartado:</w:t>
            </w:r>
          </w:p>
        </w:tc>
      </w:tr>
      <w:tr w:rsidR="0061761C" w:rsidRPr="002B4633" w:rsidTr="006A321C">
        <w:tc>
          <w:tcPr>
            <w:tcW w:w="5070" w:type="dxa"/>
          </w:tcPr>
          <w:p w:rsidR="0061761C" w:rsidRPr="002B4633" w:rsidRDefault="0061761C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t>1. Elkartearen proiekzio soziala, beste gizarte eta kultur entitate eta dinamizatzaile batzuekin duen inplikazio maila. Gehienez ere 25 puntu.</w:t>
            </w:r>
          </w:p>
        </w:tc>
        <w:tc>
          <w:tcPr>
            <w:tcW w:w="5030" w:type="dxa"/>
          </w:tcPr>
          <w:p w:rsidR="0061761C" w:rsidRPr="002B4633" w:rsidRDefault="0061761C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eastAsia="eu-ES"/>
              </w:rPr>
              <w:t>1. Proyección social de la asociación, nivel de implicación con otras entidades sociales y culturales. Hasta un máximo de 25 puntos.</w:t>
            </w:r>
          </w:p>
        </w:tc>
      </w:tr>
      <w:tr w:rsidR="0061761C" w:rsidRPr="002B4633" w:rsidTr="006A321C">
        <w:tc>
          <w:tcPr>
            <w:tcW w:w="5070" w:type="dxa"/>
          </w:tcPr>
          <w:p w:rsidR="0061761C" w:rsidRPr="002B4633" w:rsidRDefault="0061761C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t>2. Aurkeztutako proiektuaren kalitate teknikoa (diseinua, metodologia, baliabideen antolaketa, izaera berritzailea eta abar) eta egokitasuna. Gehienez ere 25 puntu.</w:t>
            </w:r>
          </w:p>
        </w:tc>
        <w:tc>
          <w:tcPr>
            <w:tcW w:w="5030" w:type="dxa"/>
          </w:tcPr>
          <w:p w:rsidR="0061761C" w:rsidRPr="002B4633" w:rsidRDefault="0061761C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eastAsia="eu-ES"/>
              </w:rPr>
              <w:t>2. Calidad técnica del proyecto presentado (diseño, metodología, organización de recursos, carácter innovador, etc.) y oportunidad del mismo. Hasta un máximo de 25 puntos.</w:t>
            </w:r>
          </w:p>
        </w:tc>
      </w:tr>
      <w:tr w:rsidR="0061761C" w:rsidRPr="002B4633" w:rsidTr="006A321C">
        <w:trPr>
          <w:trHeight w:hRule="exact" w:val="1247"/>
        </w:trPr>
        <w:tc>
          <w:tcPr>
            <w:tcW w:w="5070" w:type="dxa"/>
          </w:tcPr>
          <w:p w:rsidR="0061761C" w:rsidRPr="002B4633" w:rsidRDefault="0061761C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t>3. Herrian programak edo jarduerek izan dezaketen eragina eta ekarpena gazteria, kultura eta gizarte sailetan. Gehienez ere 25 puntu.</w:t>
            </w:r>
          </w:p>
        </w:tc>
        <w:tc>
          <w:tcPr>
            <w:tcW w:w="5030" w:type="dxa"/>
          </w:tcPr>
          <w:p w:rsidR="0061761C" w:rsidRPr="002B4633" w:rsidRDefault="0061761C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eastAsia="eu-ES"/>
              </w:rPr>
              <w:t>3. Incidencia y aportación del programa o actividades a nivel local en las áreas de juventud, cultura y sociedad. Hasta un máximo de 25 puntos.</w:t>
            </w:r>
          </w:p>
        </w:tc>
      </w:tr>
      <w:tr w:rsidR="0061761C" w:rsidRPr="002B4633" w:rsidTr="006A321C">
        <w:tc>
          <w:tcPr>
            <w:tcW w:w="5070" w:type="dxa"/>
          </w:tcPr>
          <w:p w:rsidR="0061761C" w:rsidRPr="002B4633" w:rsidRDefault="0061761C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t>4. Antolaketa arloan nahiz autofinantziazioan elkarteak egindako ahalegina. Gehienez ere 15 puntu.</w:t>
            </w:r>
          </w:p>
        </w:tc>
        <w:tc>
          <w:tcPr>
            <w:tcW w:w="5030" w:type="dxa"/>
          </w:tcPr>
          <w:p w:rsidR="0061761C" w:rsidRPr="002B4633" w:rsidRDefault="0061761C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eastAsia="eu-ES"/>
              </w:rPr>
              <w:t>4. Esfuerzo realizado por la asociación tanto a nivel de organización como de autofinanciación. Hasta un máximo de 15 puntos.</w:t>
            </w:r>
          </w:p>
        </w:tc>
      </w:tr>
      <w:tr w:rsidR="0061761C" w:rsidRPr="002B4633" w:rsidTr="006A321C">
        <w:tc>
          <w:tcPr>
            <w:tcW w:w="5070" w:type="dxa"/>
          </w:tcPr>
          <w:p w:rsidR="0061761C" w:rsidRPr="002B4633" w:rsidRDefault="0061761C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t>5. Euskara sustatzearen aldeko jarrera. Gehienez ere 10 puntu.</w:t>
            </w:r>
          </w:p>
        </w:tc>
        <w:tc>
          <w:tcPr>
            <w:tcW w:w="5030" w:type="dxa"/>
          </w:tcPr>
          <w:p w:rsidR="0061761C" w:rsidRPr="002B4633" w:rsidRDefault="0061761C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eastAsia="eu-ES"/>
              </w:rPr>
              <w:t>5. Promoción del euskara. Hasta un máximo de 10 puntos.</w:t>
            </w:r>
          </w:p>
        </w:tc>
      </w:tr>
      <w:tr w:rsidR="0061761C" w:rsidRPr="002B4633" w:rsidTr="006A321C">
        <w:tc>
          <w:tcPr>
            <w:tcW w:w="5070" w:type="dxa"/>
          </w:tcPr>
          <w:p w:rsidR="0061761C" w:rsidRPr="002B4633" w:rsidRDefault="0061761C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t>Horietaz gain, honako ezaugarri hauek lehenetsi eta positiboki baloratuko dira:</w:t>
            </w:r>
          </w:p>
        </w:tc>
        <w:tc>
          <w:tcPr>
            <w:tcW w:w="5030" w:type="dxa"/>
          </w:tcPr>
          <w:p w:rsidR="0061761C" w:rsidRPr="002B4633" w:rsidRDefault="0061761C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eastAsia="eu-ES"/>
              </w:rPr>
              <w:t>Además de estos, se dará preferencia y se valorarán positivamente las siguientes características:</w:t>
            </w:r>
          </w:p>
        </w:tc>
      </w:tr>
      <w:tr w:rsidR="0061761C" w:rsidRPr="00770612" w:rsidTr="006A321C">
        <w:tc>
          <w:tcPr>
            <w:tcW w:w="5070" w:type="dxa"/>
          </w:tcPr>
          <w:p w:rsidR="0061761C" w:rsidRPr="002B4633" w:rsidRDefault="0061761C" w:rsidP="0061761C">
            <w:pPr>
              <w:numPr>
                <w:ilvl w:val="0"/>
                <w:numId w:val="4"/>
              </w:numPr>
              <w:tabs>
                <w:tab w:val="left" w:pos="426"/>
              </w:tabs>
              <w:suppressAutoHyphens/>
              <w:spacing w:before="120" w:after="120"/>
              <w:ind w:left="426" w:right="113" w:hanging="284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t>Berdintasunaren irizpidea kontuan hartzea, emakumeen eta gizonen arteko berdintasuna bultzatuz eta sustatuz, eta, bereziki, emakumeen eskubideak bermatuz.</w:t>
            </w:r>
          </w:p>
        </w:tc>
        <w:tc>
          <w:tcPr>
            <w:tcW w:w="5030" w:type="dxa"/>
          </w:tcPr>
          <w:p w:rsidR="0061761C" w:rsidRPr="00770612" w:rsidRDefault="0061761C" w:rsidP="0061761C">
            <w:pPr>
              <w:numPr>
                <w:ilvl w:val="0"/>
                <w:numId w:val="4"/>
              </w:numPr>
              <w:tabs>
                <w:tab w:val="left" w:pos="426"/>
              </w:tabs>
              <w:suppressAutoHyphens/>
              <w:spacing w:before="120" w:after="120"/>
              <w:ind w:left="426" w:right="113" w:hanging="284"/>
              <w:jc w:val="both"/>
              <w:rPr>
                <w:rFonts w:ascii="Garamond" w:hAnsi="Garamond"/>
                <w:lang w:eastAsia="eu-ES"/>
              </w:rPr>
            </w:pPr>
            <w:r w:rsidRPr="00770612">
              <w:rPr>
                <w:rFonts w:ascii="Garamond" w:hAnsi="Garamond"/>
                <w:sz w:val="24"/>
                <w:szCs w:val="24"/>
                <w:lang w:eastAsia="eu-ES"/>
              </w:rPr>
              <w:t>Considerar el criterio de igualdad, impulsando y promoviendo la igualdad entre hombres y mujeres y, especialmente, garantizando los derechos de las mujeres.</w:t>
            </w:r>
          </w:p>
        </w:tc>
      </w:tr>
      <w:tr w:rsidR="0061761C" w:rsidRPr="00770612" w:rsidTr="006A321C">
        <w:tc>
          <w:tcPr>
            <w:tcW w:w="5070" w:type="dxa"/>
          </w:tcPr>
          <w:p w:rsidR="0061761C" w:rsidRPr="002B4633" w:rsidRDefault="0061761C" w:rsidP="0061761C">
            <w:pPr>
              <w:numPr>
                <w:ilvl w:val="0"/>
                <w:numId w:val="4"/>
              </w:numPr>
              <w:tabs>
                <w:tab w:val="left" w:pos="426"/>
              </w:tabs>
              <w:suppressAutoHyphens/>
              <w:spacing w:before="120" w:after="120"/>
              <w:ind w:left="426" w:right="113" w:hanging="284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t xml:space="preserve">Belaunaldien arteko ibilbidea eta transmisioa bermatzea eta elkartearen biziraupena ziurtatzea, bereziki beren lana herrian zabaltzen eta hedatzen dutenena </w:t>
            </w: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lastRenderedPageBreak/>
              <w:t>(sozializazioa, jende berriaren inplikazioa…).</w:t>
            </w:r>
          </w:p>
        </w:tc>
        <w:tc>
          <w:tcPr>
            <w:tcW w:w="5030" w:type="dxa"/>
          </w:tcPr>
          <w:p w:rsidR="0061761C" w:rsidRPr="00770612" w:rsidRDefault="0061761C" w:rsidP="0061761C">
            <w:pPr>
              <w:numPr>
                <w:ilvl w:val="0"/>
                <w:numId w:val="4"/>
              </w:numPr>
              <w:tabs>
                <w:tab w:val="left" w:pos="426"/>
              </w:tabs>
              <w:suppressAutoHyphens/>
              <w:spacing w:before="120" w:after="120"/>
              <w:ind w:left="426" w:right="113" w:hanging="284"/>
              <w:jc w:val="both"/>
              <w:rPr>
                <w:rFonts w:ascii="Garamond" w:hAnsi="Garamond"/>
                <w:lang w:eastAsia="eu-ES"/>
              </w:rPr>
            </w:pPr>
            <w:r w:rsidRPr="00770612">
              <w:rPr>
                <w:rFonts w:ascii="Garamond" w:hAnsi="Garamond"/>
                <w:sz w:val="24"/>
                <w:szCs w:val="24"/>
                <w:lang w:eastAsia="eu-ES"/>
              </w:rPr>
              <w:lastRenderedPageBreak/>
              <w:t xml:space="preserve">Garantizar la trayectoria y transmisión intergeneracional y asegurar la continuidad de la asociación, especialmente la de aquellas que desarrollan su trabajo en el municipio </w:t>
            </w:r>
            <w:r w:rsidRPr="00770612">
              <w:rPr>
                <w:rFonts w:ascii="Garamond" w:hAnsi="Garamond"/>
                <w:sz w:val="24"/>
                <w:szCs w:val="24"/>
                <w:lang w:eastAsia="eu-ES"/>
              </w:rPr>
              <w:lastRenderedPageBreak/>
              <w:t>(socialización, implicación de nuevas personas</w:t>
            </w:r>
            <w:proofErr w:type="gramStart"/>
            <w:r w:rsidRPr="00770612">
              <w:rPr>
                <w:rFonts w:ascii="Garamond" w:hAnsi="Garamond"/>
                <w:sz w:val="24"/>
                <w:szCs w:val="24"/>
                <w:lang w:eastAsia="eu-ES"/>
              </w:rPr>
              <w:t>, …</w:t>
            </w:r>
            <w:proofErr w:type="gramEnd"/>
            <w:r w:rsidRPr="00770612">
              <w:rPr>
                <w:rFonts w:ascii="Garamond" w:hAnsi="Garamond"/>
                <w:sz w:val="24"/>
                <w:szCs w:val="24"/>
                <w:lang w:eastAsia="eu-ES"/>
              </w:rPr>
              <w:t>).</w:t>
            </w:r>
          </w:p>
        </w:tc>
      </w:tr>
      <w:tr w:rsidR="0061761C" w:rsidRPr="00770612" w:rsidTr="006A321C">
        <w:tc>
          <w:tcPr>
            <w:tcW w:w="5070" w:type="dxa"/>
          </w:tcPr>
          <w:p w:rsidR="0061761C" w:rsidRPr="002B4633" w:rsidRDefault="0061761C" w:rsidP="0061761C">
            <w:pPr>
              <w:numPr>
                <w:ilvl w:val="0"/>
                <w:numId w:val="4"/>
              </w:numPr>
              <w:tabs>
                <w:tab w:val="left" w:pos="426"/>
              </w:tabs>
              <w:suppressAutoHyphens/>
              <w:spacing w:before="120" w:after="120"/>
              <w:ind w:left="426" w:right="113" w:hanging="284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lastRenderedPageBreak/>
              <w:t>Ingurumen ikuspegia bereziki baloratuko zaie baliabide, bitarteko eta egitasmoetan berrerabilera eta birziklatze irizpidea kontuan hartzen duten entitateei (kartelak, ekitaldiak…).</w:t>
            </w:r>
          </w:p>
        </w:tc>
        <w:tc>
          <w:tcPr>
            <w:tcW w:w="5030" w:type="dxa"/>
          </w:tcPr>
          <w:p w:rsidR="0061761C" w:rsidRPr="00770612" w:rsidRDefault="0061761C" w:rsidP="0061761C">
            <w:pPr>
              <w:numPr>
                <w:ilvl w:val="0"/>
                <w:numId w:val="4"/>
              </w:numPr>
              <w:tabs>
                <w:tab w:val="left" w:pos="426"/>
              </w:tabs>
              <w:suppressAutoHyphens/>
              <w:spacing w:before="120" w:after="120"/>
              <w:ind w:left="426" w:right="113" w:hanging="284"/>
              <w:jc w:val="both"/>
              <w:rPr>
                <w:rFonts w:ascii="Garamond" w:hAnsi="Garamond"/>
                <w:lang w:eastAsia="eu-ES"/>
              </w:rPr>
            </w:pPr>
            <w:r w:rsidRPr="00770612">
              <w:rPr>
                <w:rFonts w:ascii="Garamond" w:hAnsi="Garamond"/>
                <w:sz w:val="24"/>
                <w:szCs w:val="24"/>
                <w:lang w:eastAsia="eu-ES"/>
              </w:rPr>
              <w:t>Se valorará especialmente la perspectiva medioambiental a aquellas entidades que tengan presente el criterio de reutilización y reciclaje en sus recursos, medios y proyectos (carteles, actividades</w:t>
            </w:r>
            <w:proofErr w:type="gramStart"/>
            <w:r w:rsidRPr="00770612">
              <w:rPr>
                <w:rFonts w:ascii="Garamond" w:hAnsi="Garamond"/>
                <w:sz w:val="24"/>
                <w:szCs w:val="24"/>
                <w:lang w:eastAsia="eu-ES"/>
              </w:rPr>
              <w:t>, …</w:t>
            </w:r>
            <w:proofErr w:type="gramEnd"/>
            <w:r w:rsidRPr="00770612">
              <w:rPr>
                <w:rFonts w:ascii="Garamond" w:hAnsi="Garamond"/>
                <w:sz w:val="24"/>
                <w:szCs w:val="24"/>
                <w:lang w:eastAsia="eu-ES"/>
              </w:rPr>
              <w:t xml:space="preserve">). </w:t>
            </w:r>
          </w:p>
        </w:tc>
      </w:tr>
      <w:tr w:rsidR="0061761C" w:rsidRPr="002B4633" w:rsidTr="006A321C">
        <w:tc>
          <w:tcPr>
            <w:tcW w:w="5070" w:type="dxa"/>
          </w:tcPr>
          <w:p w:rsidR="0061761C" w:rsidRPr="002B4633" w:rsidRDefault="0061761C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t>Edozelan ere, programa honetan jasotako diru laguntzak eskuratu ahal izateko, aurkeztutako proiektuek gutxienez 50 puntu lortu beharko dituzte.</w:t>
            </w:r>
          </w:p>
        </w:tc>
        <w:tc>
          <w:tcPr>
            <w:tcW w:w="5030" w:type="dxa"/>
          </w:tcPr>
          <w:p w:rsidR="0061761C" w:rsidRPr="002B4633" w:rsidRDefault="0061761C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eastAsia="eu-ES"/>
              </w:rPr>
              <w:t>En todo caso, las propuestas deberán obtener un mínimo de 50 puntos para poder conseguir las subvenciones recogidas en el presente programa.</w:t>
            </w:r>
          </w:p>
        </w:tc>
      </w:tr>
      <w:tr w:rsidR="0061761C" w:rsidRPr="002B4633" w:rsidTr="006A321C">
        <w:tc>
          <w:tcPr>
            <w:tcW w:w="5070" w:type="dxa"/>
          </w:tcPr>
          <w:p w:rsidR="0061761C" w:rsidRPr="002B4633" w:rsidRDefault="0061761C" w:rsidP="0061761C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2B4633">
              <w:rPr>
                <w:rFonts w:ascii="Garamond" w:hAnsi="Garamond" w:cs="Garamond"/>
                <w:b/>
                <w:bCs/>
                <w:sz w:val="24"/>
                <w:szCs w:val="24"/>
                <w:lang w:val="eu-ES" w:eastAsia="eu-ES"/>
              </w:rPr>
              <w:t>6. Aurrekontua.</w:t>
            </w:r>
          </w:p>
        </w:tc>
        <w:tc>
          <w:tcPr>
            <w:tcW w:w="5030" w:type="dxa"/>
          </w:tcPr>
          <w:p w:rsidR="0061761C" w:rsidRPr="002B4633" w:rsidRDefault="0061761C" w:rsidP="0061761C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2B4633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>6. Presupuesto.</w:t>
            </w:r>
          </w:p>
        </w:tc>
      </w:tr>
      <w:tr w:rsidR="0061761C" w:rsidRPr="002B4633" w:rsidTr="006A321C">
        <w:tc>
          <w:tcPr>
            <w:tcW w:w="5070" w:type="dxa"/>
          </w:tcPr>
          <w:p w:rsidR="0061761C" w:rsidRPr="002B4633" w:rsidRDefault="0061761C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t>Programa honen bidez deitutako diru laguntzen zenbatekoa 5</w:t>
            </w:r>
            <w:r w:rsidRPr="002B4633">
              <w:rPr>
                <w:rFonts w:ascii="Garamond" w:hAnsi="Garamond"/>
                <w:sz w:val="24"/>
                <w:szCs w:val="24"/>
                <w:lang w:val="pt-PT" w:eastAsia="eu-ES"/>
              </w:rPr>
              <w:t xml:space="preserve">.500 </w:t>
            </w: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t>€-koa da, eta “</w:t>
            </w:r>
            <w:r w:rsidRPr="002B4633">
              <w:rPr>
                <w:rFonts w:ascii="Garamond" w:hAnsi="Garamond"/>
                <w:sz w:val="24"/>
                <w:szCs w:val="24"/>
                <w:lang w:eastAsia="eu-ES"/>
              </w:rPr>
              <w:t>1.04.10.</w:t>
            </w:r>
            <w:r>
              <w:rPr>
                <w:rFonts w:ascii="Garamond" w:hAnsi="Garamond"/>
                <w:sz w:val="24"/>
                <w:szCs w:val="24"/>
                <w:lang w:eastAsia="eu-ES"/>
              </w:rPr>
              <w:t>481</w:t>
            </w:r>
            <w:r w:rsidRPr="002B4633">
              <w:rPr>
                <w:rFonts w:ascii="Garamond" w:hAnsi="Garamond"/>
                <w:sz w:val="24"/>
                <w:szCs w:val="24"/>
                <w:lang w:eastAsia="eu-ES"/>
              </w:rPr>
              <w:t>.337.20.00</w:t>
            </w: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t xml:space="preserve"> Gazteriako dirulaguntzak” kontu sailaren kontura finantzatuko da.</w:t>
            </w:r>
          </w:p>
        </w:tc>
        <w:tc>
          <w:tcPr>
            <w:tcW w:w="5030" w:type="dxa"/>
          </w:tcPr>
          <w:p w:rsidR="0061761C" w:rsidRPr="002B4633" w:rsidRDefault="0061761C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eastAsia="eu-ES"/>
              </w:rPr>
              <w:t>El importe de las ayudas convocadas a través del presente programa asciende a la cantidad de 5.500 €, y será financiado con cargo a la partida presupuestaria “1.04.10.</w:t>
            </w:r>
            <w:r>
              <w:rPr>
                <w:rFonts w:ascii="Garamond" w:hAnsi="Garamond"/>
                <w:sz w:val="24"/>
                <w:szCs w:val="24"/>
                <w:lang w:eastAsia="eu-ES"/>
              </w:rPr>
              <w:t>481</w:t>
            </w:r>
            <w:r w:rsidRPr="002B4633">
              <w:rPr>
                <w:rFonts w:ascii="Garamond" w:hAnsi="Garamond"/>
                <w:sz w:val="24"/>
                <w:szCs w:val="24"/>
                <w:lang w:eastAsia="eu-ES"/>
              </w:rPr>
              <w:t>.337.20.00 Subvenciones Juventud”.</w:t>
            </w:r>
            <w:r>
              <w:rPr>
                <w:rFonts w:ascii="Garamond" w:hAnsi="Garamond"/>
                <w:sz w:val="24"/>
                <w:szCs w:val="24"/>
                <w:lang w:eastAsia="eu-ES"/>
              </w:rPr>
              <w:t xml:space="preserve"> </w:t>
            </w:r>
          </w:p>
        </w:tc>
      </w:tr>
      <w:tr w:rsidR="0061761C" w:rsidRPr="002B4633" w:rsidTr="006A321C">
        <w:tc>
          <w:tcPr>
            <w:tcW w:w="5070" w:type="dxa"/>
          </w:tcPr>
          <w:p w:rsidR="0061761C" w:rsidRPr="002B4633" w:rsidRDefault="0061761C" w:rsidP="0061761C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2B4633">
              <w:rPr>
                <w:rFonts w:ascii="Garamond" w:hAnsi="Garamond" w:cs="Garamond"/>
                <w:b/>
                <w:bCs/>
                <w:sz w:val="24"/>
                <w:szCs w:val="24"/>
                <w:lang w:val="eu-ES" w:eastAsia="eu-ES"/>
              </w:rPr>
              <w:t>7. Klausula gehigarria.</w:t>
            </w:r>
          </w:p>
        </w:tc>
        <w:tc>
          <w:tcPr>
            <w:tcW w:w="5030" w:type="dxa"/>
          </w:tcPr>
          <w:p w:rsidR="0061761C" w:rsidRPr="002B4633" w:rsidRDefault="0061761C" w:rsidP="0061761C">
            <w:pPr>
              <w:keepNext/>
              <w:numPr>
                <w:ilvl w:val="2"/>
                <w:numId w:val="3"/>
              </w:numPr>
              <w:suppressAutoHyphens/>
              <w:spacing w:before="120" w:after="120"/>
              <w:ind w:left="113" w:right="113"/>
              <w:outlineLvl w:val="2"/>
              <w:rPr>
                <w:rFonts w:ascii="Arial" w:hAnsi="Arial" w:cs="Arial"/>
                <w:b/>
                <w:bCs/>
                <w:sz w:val="26"/>
                <w:szCs w:val="26"/>
                <w:lang w:eastAsia="eu-ES"/>
              </w:rPr>
            </w:pPr>
            <w:r w:rsidRPr="002B4633">
              <w:rPr>
                <w:rFonts w:ascii="Garamond" w:hAnsi="Garamond" w:cs="Garamond"/>
                <w:b/>
                <w:bCs/>
                <w:sz w:val="24"/>
                <w:szCs w:val="24"/>
                <w:lang w:eastAsia="eu-ES"/>
              </w:rPr>
              <w:t>7. Cláusula adicional.</w:t>
            </w:r>
          </w:p>
        </w:tc>
      </w:tr>
      <w:tr w:rsidR="0061761C" w:rsidRPr="002B4633" w:rsidTr="006A321C">
        <w:tc>
          <w:tcPr>
            <w:tcW w:w="5070" w:type="dxa"/>
          </w:tcPr>
          <w:p w:rsidR="0061761C" w:rsidRPr="002B4633" w:rsidRDefault="0061761C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t xml:space="preserve">Oinarri arau espezifiko hauetan berariaz jasotzen ez diren gai guztietan, deialdiaren oinarri arau orokorretan xedatutakoari jarraituko zaio. </w:t>
            </w:r>
          </w:p>
        </w:tc>
        <w:tc>
          <w:tcPr>
            <w:tcW w:w="5030" w:type="dxa"/>
          </w:tcPr>
          <w:p w:rsidR="0061761C" w:rsidRPr="002B4633" w:rsidRDefault="0061761C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eastAsia="eu-ES"/>
              </w:rPr>
              <w:t>En todo lo no recogido expresamente en las presentes bases específicas, se estará a lo dispuesto en las bases generales de la convocatoria.</w:t>
            </w:r>
          </w:p>
        </w:tc>
      </w:tr>
      <w:tr w:rsidR="0061761C" w:rsidRPr="002B4633" w:rsidTr="006A321C">
        <w:tc>
          <w:tcPr>
            <w:tcW w:w="5070" w:type="dxa"/>
          </w:tcPr>
          <w:p w:rsidR="0061761C" w:rsidRPr="002B4633" w:rsidRDefault="0061761C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val="eu-ES" w:eastAsia="eu-ES"/>
              </w:rPr>
              <w:t>Halaber, Diru laguntzei buruzko Udal Ordenantzari, Diru laguntzen 38/2003 Lege Orokorrari eta bat datozen gainontzeko lege xedapenei jarraituko zaie.</w:t>
            </w:r>
          </w:p>
        </w:tc>
        <w:tc>
          <w:tcPr>
            <w:tcW w:w="5030" w:type="dxa"/>
          </w:tcPr>
          <w:p w:rsidR="0061761C" w:rsidRPr="002B4633" w:rsidRDefault="0061761C" w:rsidP="006A321C">
            <w:pPr>
              <w:spacing w:before="120" w:after="120"/>
              <w:ind w:left="113" w:right="113"/>
              <w:jc w:val="both"/>
              <w:rPr>
                <w:rFonts w:ascii="Garamond" w:hAnsi="Garamond"/>
                <w:lang w:val="eu-ES" w:eastAsia="eu-ES"/>
              </w:rPr>
            </w:pPr>
            <w:r w:rsidRPr="002B4633">
              <w:rPr>
                <w:rFonts w:ascii="Garamond" w:hAnsi="Garamond"/>
                <w:sz w:val="24"/>
                <w:szCs w:val="24"/>
                <w:lang w:eastAsia="eu-ES"/>
              </w:rPr>
              <w:t>Asimismo, regirán la Ordenanza Municipal de Subvenciones y la Ley 38/2003, General de Subvenciones y demás disposiciones legales concordantes.</w:t>
            </w:r>
          </w:p>
        </w:tc>
      </w:tr>
    </w:tbl>
    <w:p w:rsidR="0061761C" w:rsidRDefault="0061761C" w:rsidP="0061761C">
      <w:pPr>
        <w:rPr>
          <w:rFonts w:ascii="Garamond" w:hAnsi="Garamond"/>
          <w:sz w:val="24"/>
          <w:szCs w:val="24"/>
          <w:lang w:val="eu-ES"/>
        </w:rPr>
      </w:pPr>
    </w:p>
    <w:p w:rsidR="0061761C" w:rsidRDefault="0061761C" w:rsidP="0061761C">
      <w:pPr>
        <w:rPr>
          <w:rFonts w:ascii="Garamond" w:hAnsi="Garamond"/>
          <w:sz w:val="24"/>
          <w:szCs w:val="24"/>
          <w:lang w:val="eu-ES"/>
        </w:rPr>
      </w:pPr>
    </w:p>
    <w:p w:rsidR="00462319" w:rsidRPr="0061761C" w:rsidRDefault="00462319" w:rsidP="00D57D79">
      <w:pPr>
        <w:rPr>
          <w:lang w:val="eu-ES"/>
        </w:rPr>
      </w:pPr>
      <w:bookmarkStart w:id="0" w:name="_GoBack"/>
      <w:bookmarkEnd w:id="0"/>
    </w:p>
    <w:sectPr w:rsidR="00462319" w:rsidRPr="0061761C">
      <w:headerReference w:type="default" r:id="rId8"/>
      <w:type w:val="continuous"/>
      <w:pgSz w:w="11906" w:h="16838" w:code="9"/>
      <w:pgMar w:top="567" w:right="991" w:bottom="1134" w:left="993" w:header="0" w:footer="0" w:gutter="0"/>
      <w:cols w:space="5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988" w:rsidRDefault="004F19D0">
      <w:r>
        <w:separator/>
      </w:r>
    </w:p>
  </w:endnote>
  <w:endnote w:type="continuationSeparator" w:id="0">
    <w:p w:rsidR="00F43988" w:rsidRDefault="004F1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-Narrow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Univers Condensed">
    <w:charset w:val="00"/>
    <w:family w:val="swiss"/>
    <w:pitch w:val="variable"/>
    <w:sig w:usb0="80000287" w:usb1="00000000" w:usb2="00000000" w:usb3="00000000" w:csb0="0000000F" w:csb1="00000000"/>
  </w:font>
  <w:font w:name="Garmond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988" w:rsidRDefault="004F19D0">
      <w:r>
        <w:separator/>
      </w:r>
    </w:p>
  </w:footnote>
  <w:footnote w:type="continuationSeparator" w:id="0">
    <w:p w:rsidR="00F43988" w:rsidRDefault="004F19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319" w:rsidRDefault="00462319">
    <w:pPr>
      <w:pStyle w:val="Oin-oharrarentestua"/>
    </w:pPr>
  </w:p>
  <w:p w:rsidR="00462319" w:rsidRDefault="00462319"/>
  <w:p w:rsidR="00462319" w:rsidRDefault="00462319"/>
  <w:tbl>
    <w:tblPr>
      <w:tblW w:w="0" w:type="auto"/>
      <w:tblInd w:w="-21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4"/>
      <w:gridCol w:w="4536"/>
      <w:gridCol w:w="5387"/>
    </w:tblGrid>
    <w:tr w:rsidR="00C90C56">
      <w:trPr>
        <w:trHeight w:val="1442"/>
      </w:trPr>
      <w:tc>
        <w:tcPr>
          <w:tcW w:w="4820" w:type="dxa"/>
          <w:gridSpan w:val="2"/>
        </w:tcPr>
        <w:p w:rsidR="00462319" w:rsidRDefault="0061761C">
          <w:pPr>
            <w:pStyle w:val="Goiburua"/>
          </w:pPr>
          <w:r>
            <w:rPr>
              <w:rFonts w:ascii="Garamond" w:hAnsi="Garamon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64.25pt;height:78pt" fillcolor="window">
                <v:imagedata r:id="rId1" o:title="MARKA3ZB"/>
              </v:shape>
            </w:pict>
          </w:r>
        </w:p>
      </w:tc>
      <w:tc>
        <w:tcPr>
          <w:tcW w:w="5387" w:type="dxa"/>
        </w:tcPr>
        <w:p w:rsidR="00462319" w:rsidRDefault="00462319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</w:p>
        <w:p w:rsidR="00462319" w:rsidRDefault="00462319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</w:p>
        <w:p w:rsidR="00462319" w:rsidRDefault="00462319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</w:p>
        <w:p w:rsidR="00462319" w:rsidRDefault="004F19D0" w:rsidP="00462319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  <w:r>
            <w:rPr>
              <w:rFonts w:ascii="Univers" w:hAnsi="Univers"/>
              <w:b/>
              <w:noProof/>
            </w:rPr>
            <w:t>Kontuhartzailetza</w:t>
          </w:r>
          <w:r>
            <w:rPr>
              <w:rFonts w:ascii="Univers" w:hAnsi="Univers"/>
              <w:b/>
            </w:rPr>
            <w:t xml:space="preserve"> </w:t>
          </w:r>
          <w:r w:rsidR="0061761C">
            <w:rPr>
              <w:rFonts w:ascii="Univers" w:hAnsi="Univers"/>
              <w:b/>
            </w:rPr>
            <w:pict>
              <v:shape id="_x0000_i1026" type="#_x0000_t75" style="width:6.75pt;height:6.75pt" fillcolor="window">
                <v:imagedata r:id="rId2" o:title="koadrotxoa"/>
              </v:shape>
            </w:pict>
          </w:r>
        </w:p>
      </w:tc>
    </w:tr>
    <w:tr w:rsidR="00C90C56">
      <w:trPr>
        <w:gridBefore w:val="1"/>
        <w:wBefore w:w="284" w:type="dxa"/>
        <w:trHeight w:val="598"/>
      </w:trPr>
      <w:tc>
        <w:tcPr>
          <w:tcW w:w="4536" w:type="dxa"/>
          <w:tcBorders>
            <w:top w:val="dotted" w:sz="4" w:space="0" w:color="auto"/>
            <w:bottom w:val="double" w:sz="4" w:space="0" w:color="auto"/>
          </w:tcBorders>
          <w:vAlign w:val="center"/>
        </w:tcPr>
        <w:p w:rsidR="00462319" w:rsidRDefault="004F19D0">
          <w:pPr>
            <w:pStyle w:val="Goiburua"/>
            <w:rPr>
              <w:rFonts w:ascii="Univers" w:hAnsi="Univers"/>
              <w:sz w:val="22"/>
            </w:rPr>
          </w:pPr>
          <w:r>
            <w:rPr>
              <w:rFonts w:ascii="Univers" w:hAnsi="Univers"/>
              <w:b/>
              <w:sz w:val="22"/>
            </w:rPr>
            <w:t xml:space="preserve">Esp. kodea: </w:t>
          </w:r>
          <w:r w:rsidR="00566CE7">
            <w:rPr>
              <w:rFonts w:ascii="Univers" w:hAnsi="Univers"/>
              <w:noProof/>
              <w:sz w:val="22"/>
            </w:rPr>
            <w:t>2023</w:t>
          </w:r>
          <w:r>
            <w:rPr>
              <w:rFonts w:ascii="Univers" w:hAnsi="Univers"/>
              <w:noProof/>
              <w:sz w:val="22"/>
            </w:rPr>
            <w:t>RBAR0001</w:t>
          </w:r>
        </w:p>
        <w:p w:rsidR="00462319" w:rsidRDefault="004F19D0">
          <w:pPr>
            <w:pStyle w:val="Goiburua"/>
            <w:rPr>
              <w:rFonts w:ascii="Univers" w:hAnsi="Univers"/>
              <w:sz w:val="22"/>
            </w:rPr>
          </w:pPr>
          <w:r w:rsidRPr="007C1DAA">
            <w:rPr>
              <w:rFonts w:ascii="Univers" w:hAnsi="Univers"/>
              <w:b/>
              <w:sz w:val="22"/>
            </w:rPr>
            <w:t xml:space="preserve">Titularra: </w:t>
          </w:r>
          <w:r>
            <w:rPr>
              <w:rFonts w:ascii="Univers" w:hAnsi="Univers"/>
              <w:noProof/>
              <w:sz w:val="22"/>
            </w:rPr>
            <w:t>OGASUN BATZORDEA</w:t>
          </w:r>
        </w:p>
      </w:tc>
      <w:tc>
        <w:tcPr>
          <w:tcW w:w="5387" w:type="dxa"/>
          <w:tcBorders>
            <w:top w:val="dotted" w:sz="4" w:space="0" w:color="auto"/>
            <w:bottom w:val="double" w:sz="4" w:space="0" w:color="auto"/>
          </w:tcBorders>
          <w:vAlign w:val="center"/>
        </w:tcPr>
        <w:p w:rsidR="00462319" w:rsidRPr="00AE77CA" w:rsidRDefault="004F19D0">
          <w:pPr>
            <w:pStyle w:val="Goiburua"/>
            <w:rPr>
              <w:rFonts w:ascii="Univers" w:hAnsi="Univers"/>
              <w:sz w:val="22"/>
              <w:lang w:val="pt-PT"/>
            </w:rPr>
          </w:pPr>
          <w:r w:rsidRPr="00AE77CA">
            <w:rPr>
              <w:rFonts w:ascii="Univers" w:hAnsi="Univers"/>
              <w:b/>
              <w:sz w:val="22"/>
              <w:lang w:val="pt-PT"/>
            </w:rPr>
            <w:t xml:space="preserve">Gaia: </w:t>
          </w:r>
          <w:r w:rsidR="00566CE7">
            <w:rPr>
              <w:rFonts w:ascii="Univers" w:hAnsi="Univers"/>
              <w:noProof/>
              <w:sz w:val="22"/>
              <w:lang w:val="pt-PT"/>
            </w:rPr>
            <w:t>2023</w:t>
          </w:r>
          <w:r w:rsidRPr="00AE77CA">
            <w:rPr>
              <w:rFonts w:ascii="Univers" w:hAnsi="Univers"/>
              <w:noProof/>
              <w:sz w:val="22"/>
              <w:lang w:val="pt-PT"/>
            </w:rPr>
            <w:t xml:space="preserve"> URTEKO DIRULAGUNTZA DEIALDIA</w:t>
          </w:r>
        </w:p>
        <w:p w:rsidR="00462319" w:rsidRPr="00AE77CA" w:rsidRDefault="004F19D0">
          <w:pPr>
            <w:pStyle w:val="Goiburua"/>
            <w:rPr>
              <w:rFonts w:ascii="Univers" w:hAnsi="Univers"/>
              <w:sz w:val="22"/>
              <w:lang w:val="pt-PT"/>
            </w:rPr>
          </w:pPr>
          <w:r w:rsidRPr="00AE77CA">
            <w:rPr>
              <w:rFonts w:ascii="Univers" w:hAnsi="Univers"/>
              <w:b/>
              <w:sz w:val="22"/>
              <w:lang w:val="pt-PT"/>
            </w:rPr>
            <w:t xml:space="preserve">Hasiera data: </w:t>
          </w:r>
          <w:r w:rsidR="00566CE7">
            <w:rPr>
              <w:rFonts w:ascii="Univers" w:hAnsi="Univers"/>
              <w:noProof/>
              <w:sz w:val="22"/>
              <w:lang w:val="pt-PT"/>
            </w:rPr>
            <w:t>2023</w:t>
          </w:r>
          <w:r w:rsidRPr="00AE77CA">
            <w:rPr>
              <w:rFonts w:ascii="Univers" w:hAnsi="Univers"/>
              <w:noProof/>
              <w:sz w:val="22"/>
              <w:lang w:val="pt-PT"/>
            </w:rPr>
            <w:t>/01/0</w:t>
          </w:r>
          <w:r w:rsidR="00566CE7">
            <w:rPr>
              <w:rFonts w:ascii="Univers" w:hAnsi="Univers"/>
              <w:noProof/>
              <w:sz w:val="22"/>
              <w:lang w:val="pt-PT"/>
            </w:rPr>
            <w:t>2</w:t>
          </w:r>
        </w:p>
      </w:tc>
    </w:tr>
  </w:tbl>
  <w:p w:rsidR="00462319" w:rsidRPr="00AE77CA" w:rsidRDefault="00462319">
    <w:pPr>
      <w:pStyle w:val="Goiburua"/>
      <w:rPr>
        <w:lang w:val="pt-PT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586"/>
        </w:tabs>
        <w:ind w:left="586" w:hanging="360"/>
      </w:pPr>
      <w:rPr>
        <w:rFonts w:ascii="Symbol" w:hAnsi="Symbol" w:cs="Helvetica-Narrow" w:hint="default"/>
        <w:color w:val="auto"/>
      </w:rPr>
    </w:lvl>
  </w:abstractNum>
  <w:abstractNum w:abstractNumId="2">
    <w:nsid w:val="4E974FA3"/>
    <w:multiLevelType w:val="hybridMultilevel"/>
    <w:tmpl w:val="4E44176E"/>
    <w:lvl w:ilvl="0" w:tplc="788E7FC6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0D2130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96C6B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9A77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EB89BB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79EF6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E2E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4A60D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B3E92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55715BE"/>
    <w:multiLevelType w:val="singleLevel"/>
    <w:tmpl w:val="6CB00504"/>
    <w:lvl w:ilvl="0">
      <w:numFmt w:val="none"/>
      <w:lvlText w:val=""/>
      <w:lvlJc w:val="left"/>
      <w:pPr>
        <w:tabs>
          <w:tab w:val="num" w:pos="2211"/>
        </w:tabs>
        <w:ind w:left="2211" w:hanging="453"/>
      </w:pPr>
      <w:rPr>
        <w:rFonts w:ascii="Monotype Sorts" w:hAnsi="Monotype Sort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37CE"/>
    <w:rsid w:val="00015887"/>
    <w:rsid w:val="00462319"/>
    <w:rsid w:val="004F19D0"/>
    <w:rsid w:val="00566CE7"/>
    <w:rsid w:val="0061761C"/>
    <w:rsid w:val="007037CE"/>
    <w:rsid w:val="007C1DAA"/>
    <w:rsid w:val="00AE77CA"/>
    <w:rsid w:val="00AF5727"/>
    <w:rsid w:val="00C310FF"/>
    <w:rsid w:val="00C90C56"/>
    <w:rsid w:val="00D57D79"/>
    <w:rsid w:val="00F43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a">
    <w:name w:val="Normal"/>
    <w:qFormat/>
  </w:style>
  <w:style w:type="paragraph" w:styleId="1izenburua">
    <w:name w:val="heading 1"/>
    <w:basedOn w:val="Normala"/>
    <w:next w:val="Normala"/>
    <w:qFormat/>
    <w:pPr>
      <w:keepNext/>
      <w:spacing w:before="240" w:after="60"/>
      <w:jc w:val="center"/>
      <w:outlineLvl w:val="0"/>
    </w:pPr>
    <w:rPr>
      <w:rFonts w:ascii="Univers" w:hAnsi="Univers"/>
      <w:b/>
      <w:kern w:val="28"/>
      <w:sz w:val="28"/>
    </w:rPr>
  </w:style>
  <w:style w:type="paragraph" w:styleId="2izenburua">
    <w:name w:val="heading 2"/>
    <w:basedOn w:val="Normala"/>
    <w:next w:val="Normala"/>
    <w:qFormat/>
    <w:pPr>
      <w:keepNext/>
      <w:ind w:left="-70"/>
      <w:outlineLvl w:val="1"/>
    </w:pPr>
    <w:rPr>
      <w:rFonts w:ascii="Garamond" w:hAnsi="Garamond"/>
      <w:sz w:val="24"/>
      <w:lang w:val="eu-ES"/>
    </w:rPr>
  </w:style>
  <w:style w:type="paragraph" w:styleId="5izenburua">
    <w:name w:val="heading 5"/>
    <w:basedOn w:val="Normala"/>
    <w:next w:val="Normala"/>
    <w:qFormat/>
    <w:pPr>
      <w:keepNext/>
      <w:jc w:val="center"/>
      <w:outlineLvl w:val="4"/>
    </w:pPr>
    <w:rPr>
      <w:b/>
      <w:sz w:val="24"/>
      <w:lang w:val="eu-ES"/>
    </w:rPr>
  </w:style>
  <w:style w:type="paragraph" w:styleId="6izenburua">
    <w:name w:val="heading 6"/>
    <w:basedOn w:val="Normala"/>
    <w:next w:val="Normala"/>
    <w:qFormat/>
    <w:pPr>
      <w:keepNext/>
      <w:jc w:val="center"/>
      <w:outlineLvl w:val="5"/>
    </w:pPr>
    <w:rPr>
      <w:u w:val="single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pPr>
      <w:tabs>
        <w:tab w:val="center" w:pos="4252"/>
        <w:tab w:val="right" w:pos="8504"/>
      </w:tabs>
    </w:pPr>
  </w:style>
  <w:style w:type="paragraph" w:customStyle="1" w:styleId="Testu-gorputza">
    <w:name w:val="Testu-gorputza"/>
    <w:basedOn w:val="Normala"/>
    <w:pPr>
      <w:spacing w:before="200"/>
      <w:ind w:firstLine="851"/>
      <w:jc w:val="both"/>
    </w:pPr>
    <w:rPr>
      <w:rFonts w:ascii="Garamond" w:hAnsi="Garamond"/>
      <w:sz w:val="24"/>
    </w:rPr>
  </w:style>
  <w:style w:type="paragraph" w:customStyle="1" w:styleId="2columnatestugorputza">
    <w:name w:val="2columnatestugorputza"/>
    <w:basedOn w:val="Testu-gorputza"/>
    <w:pPr>
      <w:ind w:firstLine="0"/>
    </w:pPr>
  </w:style>
  <w:style w:type="paragraph" w:styleId="Gorputz-testua">
    <w:name w:val="Body Text"/>
    <w:basedOn w:val="Normala"/>
    <w:pPr>
      <w:spacing w:after="120"/>
    </w:pPr>
    <w:rPr>
      <w:sz w:val="24"/>
      <w:lang w:val="es-ES_tradnl"/>
    </w:rPr>
  </w:style>
  <w:style w:type="paragraph" w:styleId="Orri-oina">
    <w:name w:val="footer"/>
    <w:basedOn w:val="Normala"/>
    <w:pPr>
      <w:tabs>
        <w:tab w:val="center" w:pos="4252"/>
        <w:tab w:val="right" w:pos="8504"/>
      </w:tabs>
    </w:pPr>
  </w:style>
  <w:style w:type="paragraph" w:styleId="Gorputz-testuarenkoska2">
    <w:name w:val="Body Text Indent 2"/>
    <w:basedOn w:val="Normala"/>
    <w:pPr>
      <w:ind w:firstLine="708"/>
      <w:jc w:val="both"/>
    </w:pPr>
  </w:style>
  <w:style w:type="paragraph" w:customStyle="1" w:styleId="Izenburua">
    <w:name w:val="Izenburua"/>
    <w:basedOn w:val="Testu-gorputza"/>
    <w:pPr>
      <w:jc w:val="center"/>
    </w:pPr>
    <w:rPr>
      <w:rFonts w:ascii="Univers" w:hAnsi="Univers"/>
      <w:b/>
      <w:u w:val="single"/>
    </w:rPr>
  </w:style>
  <w:style w:type="paragraph" w:customStyle="1" w:styleId="Izenburuaazpimarraketarikgabe">
    <w:name w:val="Izenburuaazpimarraketarikgabe"/>
    <w:basedOn w:val="Izenburua"/>
    <w:rPr>
      <w:u w:val="none"/>
    </w:rPr>
  </w:style>
  <w:style w:type="paragraph" w:customStyle="1" w:styleId="Testu-gorputzaSANGRIARIKGABE">
    <w:name w:val="Testu-gorputza SANGRIARIKGABE"/>
    <w:basedOn w:val="Normala"/>
    <w:pPr>
      <w:spacing w:before="200"/>
      <w:jc w:val="both"/>
    </w:pPr>
    <w:rPr>
      <w:rFonts w:ascii="Garamond" w:hAnsi="Garamond"/>
      <w:sz w:val="24"/>
    </w:rPr>
  </w:style>
  <w:style w:type="paragraph" w:customStyle="1" w:styleId="UNIVERSCONDENSED12">
    <w:name w:val="UNIVERSCONDENSED12"/>
    <w:basedOn w:val="Normala"/>
    <w:pPr>
      <w:pBdr>
        <w:bottom w:val="single" w:sz="4" w:space="1" w:color="auto"/>
      </w:pBdr>
      <w:jc w:val="both"/>
    </w:pPr>
    <w:rPr>
      <w:rFonts w:ascii="Univers Condensed" w:hAnsi="Univers Condensed"/>
      <w:b/>
      <w:sz w:val="24"/>
    </w:rPr>
  </w:style>
  <w:style w:type="paragraph" w:customStyle="1" w:styleId="testu-gorputza0">
    <w:name w:val="testu-gorputza"/>
    <w:basedOn w:val="Normala"/>
    <w:pPr>
      <w:ind w:firstLine="851"/>
      <w:jc w:val="both"/>
    </w:pPr>
    <w:rPr>
      <w:rFonts w:ascii="Garamond" w:hAnsi="Garamond"/>
      <w:sz w:val="24"/>
    </w:rPr>
  </w:style>
  <w:style w:type="paragraph" w:customStyle="1" w:styleId="TESTUGORPUTZACOLUMNA">
    <w:name w:val="TESTUGORPUTZA COLUMNA"/>
    <w:basedOn w:val="Testu-gorputzaSANGRIARIKGABE"/>
    <w:pPr>
      <w:ind w:right="142"/>
    </w:pPr>
    <w:rPr>
      <w:lang w:val="eu-ES"/>
    </w:rPr>
  </w:style>
  <w:style w:type="paragraph" w:customStyle="1" w:styleId="eskabideakzeldaletra">
    <w:name w:val="eskabideakzeldaletra"/>
    <w:basedOn w:val="Normala"/>
    <w:rPr>
      <w:rFonts w:ascii="Garamond" w:hAnsi="Garamond"/>
      <w:sz w:val="14"/>
    </w:rPr>
  </w:style>
  <w:style w:type="paragraph" w:styleId="Epigrafea">
    <w:name w:val="caption"/>
    <w:basedOn w:val="Normala"/>
    <w:next w:val="Normala"/>
    <w:qFormat/>
    <w:pPr>
      <w:pBdr>
        <w:top w:val="single" w:sz="24" w:space="1" w:color="auto"/>
        <w:left w:val="single" w:sz="24" w:space="1" w:color="auto"/>
        <w:bottom w:val="single" w:sz="24" w:space="1" w:color="auto"/>
        <w:right w:val="single" w:sz="24" w:space="31" w:color="auto"/>
      </w:pBdr>
      <w:jc w:val="center"/>
    </w:pPr>
    <w:rPr>
      <w:rFonts w:ascii="Garamond" w:hAnsi="Garamond"/>
      <w:b/>
      <w:color w:val="000000"/>
      <w:sz w:val="22"/>
      <w:lang w:val="eu-ES"/>
    </w:rPr>
  </w:style>
  <w:style w:type="paragraph" w:styleId="Gorputz-testua2">
    <w:name w:val="Body Text 2"/>
    <w:basedOn w:val="Normala"/>
    <w:rPr>
      <w:b/>
      <w:sz w:val="24"/>
      <w:lang w:val="eu-ES"/>
    </w:rPr>
  </w:style>
  <w:style w:type="paragraph" w:styleId="Gorputz-testua3">
    <w:name w:val="Body Text 3"/>
    <w:basedOn w:val="Normala"/>
    <w:rPr>
      <w:sz w:val="24"/>
      <w:lang w:val="eu-ES"/>
    </w:rPr>
  </w:style>
  <w:style w:type="paragraph" w:styleId="Oin-oharrarentestua">
    <w:name w:val="footnote text"/>
    <w:basedOn w:val="Normala"/>
    <w:semiHidden/>
  </w:style>
  <w:style w:type="character" w:styleId="Oin-oharrarenerreferentzia">
    <w:name w:val="footnote reference"/>
    <w:semiHidden/>
    <w:rPr>
      <w:vertAlign w:val="superscript"/>
    </w:rPr>
  </w:style>
  <w:style w:type="paragraph" w:customStyle="1" w:styleId="Jarrierdian">
    <w:name w:val="Jarri erdian"/>
    <w:basedOn w:val="Normala"/>
    <w:next w:val="Normala"/>
    <w:pPr>
      <w:spacing w:before="120" w:after="120"/>
      <w:jc w:val="center"/>
    </w:pPr>
    <w:rPr>
      <w:rFonts w:ascii="Garmond (W1)" w:hAnsi="Garmond (W1)"/>
      <w:sz w:val="24"/>
      <w:lang w:val="es-ES_tradnl"/>
    </w:rPr>
  </w:style>
  <w:style w:type="paragraph" w:customStyle="1" w:styleId="testu-gorputzaerdian">
    <w:name w:val="testu-gorputza erdian"/>
    <w:basedOn w:val="Testu-gorputza"/>
    <w:pPr>
      <w:ind w:firstLine="0"/>
      <w:jc w:val="center"/>
    </w:pPr>
  </w:style>
  <w:style w:type="paragraph" w:customStyle="1" w:styleId="titulozen">
    <w:name w:val="titulozen"/>
    <w:basedOn w:val="Normala"/>
    <w:next w:val="Normala"/>
    <w:pPr>
      <w:keepNext/>
      <w:widowControl w:val="0"/>
      <w:tabs>
        <w:tab w:val="left" w:pos="-720"/>
      </w:tabs>
      <w:suppressAutoHyphens/>
      <w:spacing w:after="240" w:line="288" w:lineRule="auto"/>
      <w:jc w:val="center"/>
    </w:pPr>
    <w:rPr>
      <w:rFonts w:ascii="Univers (W1)" w:hAnsi="Univers (W1)"/>
      <w:b/>
      <w:snapToGrid w:val="0"/>
      <w:spacing w:val="-3"/>
      <w:kern w:val="28"/>
      <w:sz w:val="24"/>
      <w:lang w:val="es-ES_tradnl"/>
    </w:rPr>
  </w:style>
  <w:style w:type="paragraph" w:customStyle="1" w:styleId="Testu">
    <w:name w:val="Testu"/>
    <w:basedOn w:val="Gorputz-testuarenkoska"/>
    <w:pPr>
      <w:suppressAutoHyphens/>
      <w:spacing w:after="240" w:line="288" w:lineRule="auto"/>
      <w:ind w:left="0" w:firstLine="720"/>
      <w:jc w:val="both"/>
    </w:pPr>
    <w:rPr>
      <w:rFonts w:ascii="Garamond" w:hAnsi="Garamond"/>
      <w:spacing w:val="-3"/>
      <w:sz w:val="24"/>
      <w:lang w:val="eu-ES"/>
    </w:rPr>
  </w:style>
  <w:style w:type="paragraph" w:customStyle="1" w:styleId="Koska1">
    <w:name w:val="Koska1"/>
    <w:basedOn w:val="Normala"/>
    <w:pPr>
      <w:suppressAutoHyphens/>
      <w:spacing w:after="120" w:line="288" w:lineRule="auto"/>
      <w:jc w:val="both"/>
    </w:pPr>
    <w:rPr>
      <w:rFonts w:ascii="Garamond" w:hAnsi="Garamond"/>
      <w:spacing w:val="-3"/>
      <w:sz w:val="24"/>
      <w:lang w:val="eu-ES"/>
    </w:rPr>
  </w:style>
  <w:style w:type="paragraph" w:customStyle="1" w:styleId="Izenburu1">
    <w:name w:val="Izenburu1"/>
    <w:basedOn w:val="Normala"/>
    <w:pPr>
      <w:spacing w:before="480" w:after="240"/>
      <w:jc w:val="both"/>
    </w:pPr>
    <w:rPr>
      <w:rFonts w:ascii="Univers" w:hAnsi="Univers"/>
      <w:b/>
      <w:spacing w:val="-3"/>
      <w:sz w:val="28"/>
      <w:lang w:val="es-ES_tradnl"/>
    </w:rPr>
  </w:style>
  <w:style w:type="paragraph" w:styleId="Gorputz-testuarenkoska">
    <w:name w:val="Body Text Indent"/>
    <w:basedOn w:val="Normala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u-ES" w:eastAsia="eu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vos%20de%20programa\Microsoft%20Office\Plantillas\orrizuria.dot" TargetMode="External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orrizuria.dot</Template>
  <TotalTime>48</TotalTime>
  <Pages>3</Pages>
  <Words>1008</Words>
  <Characters>5746</Characters>
  <Application>Microsoft Office Word</Application>
  <DocSecurity>0</DocSecurity>
  <Lines>47</Lines>
  <Paragraphs>13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Zuzendari anderea/jauna:</vt:lpstr>
      <vt:lpstr>Zuzendari anderea/jauna:</vt:lpstr>
    </vt:vector>
  </TitlesOfParts>
  <Company>Arrasateko Udala</Company>
  <LinksUpToDate>false</LinksUpToDate>
  <CharactersWithSpaces>6741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Zuzendari anderea/jauna:</dc:title>
  <dc:creator>Josefa .</dc:creator>
  <cp:lastModifiedBy>defautl</cp:lastModifiedBy>
  <cp:revision>71</cp:revision>
  <cp:lastPrinted>2008-01-07T11:28:00Z</cp:lastPrinted>
  <dcterms:created xsi:type="dcterms:W3CDTF">2002-10-15T14:15:00Z</dcterms:created>
  <dcterms:modified xsi:type="dcterms:W3CDTF">2023-05-09T10:52:00Z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ARRASATE\altube</vt:lpwstr>
  </property>
  <property fmtid="{D5CDD505-2E9C-101B-9397-08002B2CF9AE}" pid="3" name="cgsCodigoCatalogo">
    <vt:lpwstr> </vt:lpwstr>
  </property>
  <property fmtid="{D5CDD505-2E9C-101B-9397-08002B2CF9AE}" pid="4" name="cgsCodigoExpediente">
    <vt:lpwstr>2022RBAR0001</vt:lpwstr>
  </property>
  <property fmtid="{D5CDD505-2E9C-101B-9397-08002B2CF9AE}" pid="5" name="cgsGenerador">
    <vt:lpwstr>MUNIGEX</vt:lpwstr>
  </property>
  <property fmtid="{D5CDD505-2E9C-101B-9397-08002B2CF9AE}" pid="6" name="cgsIDGlobalDoc">
    <vt:lpwstr>841735</vt:lpwstr>
  </property>
  <property fmtid="{D5CDD505-2E9C-101B-9397-08002B2CF9AE}" pid="7" name="cgsIDIdiomaDoc">
    <vt:lpwstr>2</vt:lpwstr>
  </property>
  <property fmtid="{D5CDD505-2E9C-101B-9397-08002B2CF9AE}" pid="8" name="cgsIdioma">
    <vt:lpwstr>Euskara</vt:lpwstr>
  </property>
  <property fmtid="{D5CDD505-2E9C-101B-9397-08002B2CF9AE}" pid="9" name="cgsIDOrganismo">
    <vt:lpwstr>55</vt:lpwstr>
  </property>
  <property fmtid="{D5CDD505-2E9C-101B-9397-08002B2CF9AE}" pid="10" name="cgsNombreEntidad">
    <vt:lpwstr>Arrasateko Udala</vt:lpwstr>
  </property>
  <property fmtid="{D5CDD505-2E9C-101B-9397-08002B2CF9AE}" pid="11" name="cgsNumeroTramite">
    <vt:lpwstr>1172810</vt:lpwstr>
  </property>
  <property fmtid="{D5CDD505-2E9C-101B-9397-08002B2CF9AE}" pid="12" name="cgsPlantilla">
    <vt:lpwstr>Komodin</vt:lpwstr>
  </property>
  <property fmtid="{D5CDD505-2E9C-101B-9397-08002B2CF9AE}" pid="13" name="cgsPoblacion">
    <vt:lpwstr>ARRASATE/MONDRAGON</vt:lpwstr>
  </property>
  <property fmtid="{D5CDD505-2E9C-101B-9397-08002B2CF9AE}" pid="14" name="cgsVersionGenerador">
    <vt:lpwstr>7.32</vt:lpwstr>
  </property>
</Properties>
</file>