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5BF" w:rsidRDefault="001425BF" w:rsidP="001425BF">
      <w:pPr>
        <w:jc w:val="both"/>
        <w:rPr>
          <w:rFonts w:ascii="Verdana" w:eastAsia="Verdana" w:hAnsi="Verdana" w:cs="Verdana"/>
          <w:b/>
          <w:color w:val="000000"/>
          <w:sz w:val="22"/>
          <w:szCs w:val="22"/>
        </w:rPr>
      </w:pPr>
      <w:r>
        <w:rPr>
          <w:rFonts w:ascii="Verdana" w:eastAsia="Verdana" w:hAnsi="Verdana" w:cs="Verdana"/>
          <w:b/>
          <w:color w:val="000000"/>
          <w:sz w:val="22"/>
          <w:szCs w:val="22"/>
        </w:rPr>
        <w:t>CONVENIO DE COLABORACIÓN ENTRE EL GOBIERNO DE ARAGÓN Y LAS CÁMARAS OFICIALES DE COMERCIO, INDUSTRIA Y SERVICIOS DE HUESCA, TERUEL Y ZARAGOZA, PARA LA EJECUCIÓN DE LAS ACCIONES SOBRE LAS PYME DERIVADAS DEL PLAN CAMERAL DE COMPETITIVIDAD DE ARAGÓN</w:t>
      </w:r>
    </w:p>
    <w:p w:rsidR="001425BF" w:rsidRDefault="001425BF" w:rsidP="001425BF">
      <w:pPr>
        <w:jc w:val="both"/>
        <w:rPr>
          <w:rFonts w:ascii="Verdana" w:eastAsia="Verdana" w:hAnsi="Verdana" w:cs="Verdana"/>
          <w:color w:val="000000"/>
          <w:sz w:val="22"/>
          <w:szCs w:val="22"/>
        </w:rPr>
      </w:pPr>
    </w:p>
    <w:p w:rsidR="001425BF" w:rsidRDefault="001425BF" w:rsidP="001425BF">
      <w:pPr>
        <w:rPr>
          <w:rFonts w:ascii="Verdana" w:eastAsia="Verdana" w:hAnsi="Verdana" w:cs="Verdana"/>
          <w:color w:val="000000"/>
          <w:sz w:val="22"/>
          <w:szCs w:val="22"/>
        </w:rPr>
      </w:pPr>
    </w:p>
    <w:p w:rsidR="001425BF" w:rsidRDefault="001425BF" w:rsidP="001425BF">
      <w:pPr>
        <w:jc w:val="center"/>
        <w:rPr>
          <w:rFonts w:ascii="Verdana" w:eastAsia="Verdana" w:hAnsi="Verdana" w:cs="Verdana"/>
          <w:b/>
          <w:color w:val="000000"/>
          <w:sz w:val="22"/>
          <w:szCs w:val="22"/>
        </w:rPr>
      </w:pPr>
      <w:r>
        <w:rPr>
          <w:rFonts w:ascii="Verdana" w:eastAsia="Verdana" w:hAnsi="Verdana" w:cs="Verdana"/>
          <w:b/>
          <w:color w:val="000000"/>
          <w:sz w:val="22"/>
          <w:szCs w:val="22"/>
        </w:rPr>
        <w:t>REUNIDOS</w:t>
      </w:r>
    </w:p>
    <w:p w:rsidR="001425BF" w:rsidRDefault="001425BF" w:rsidP="001425BF">
      <w:pPr>
        <w:jc w:val="center"/>
        <w:rPr>
          <w:rFonts w:ascii="Verdana" w:eastAsia="Verdana" w:hAnsi="Verdana" w:cs="Verdana"/>
          <w:color w:val="000000"/>
          <w:sz w:val="22"/>
          <w:szCs w:val="22"/>
        </w:rPr>
      </w:pPr>
    </w:p>
    <w:p w:rsidR="001425BF" w:rsidRDefault="001425BF" w:rsidP="001425BF">
      <w:pPr>
        <w:jc w:val="center"/>
        <w:rPr>
          <w:rFonts w:ascii="Verdana" w:eastAsia="Verdana" w:hAnsi="Verdana" w:cs="Verdana"/>
          <w:color w:val="000000"/>
          <w:sz w:val="22"/>
          <w:szCs w:val="22"/>
        </w:rPr>
      </w:pPr>
    </w:p>
    <w:p w:rsidR="001425BF" w:rsidRDefault="001425BF" w:rsidP="001425BF">
      <w:pPr>
        <w:jc w:val="both"/>
        <w:rPr>
          <w:rFonts w:ascii="Verdana" w:eastAsia="Verdana" w:hAnsi="Verdana" w:cs="Verdana"/>
          <w:color w:val="000000"/>
          <w:sz w:val="22"/>
          <w:szCs w:val="22"/>
        </w:rPr>
      </w:pPr>
      <w:r>
        <w:rPr>
          <w:rFonts w:ascii="Verdana" w:eastAsia="Verdana" w:hAnsi="Verdana" w:cs="Verdana"/>
          <w:color w:val="000000"/>
          <w:sz w:val="22"/>
          <w:szCs w:val="22"/>
        </w:rPr>
        <w:t>De una parte:</w:t>
      </w:r>
    </w:p>
    <w:p w:rsidR="001425BF" w:rsidRDefault="001425BF" w:rsidP="001425BF">
      <w:pPr>
        <w:jc w:val="both"/>
        <w:rPr>
          <w:rFonts w:ascii="Verdana" w:eastAsia="Verdana" w:hAnsi="Verdana" w:cs="Verdana"/>
          <w:color w:val="000000"/>
          <w:sz w:val="22"/>
          <w:szCs w:val="22"/>
        </w:rPr>
      </w:pPr>
    </w:p>
    <w:p w:rsidR="001425BF" w:rsidRDefault="001425BF" w:rsidP="001425BF">
      <w:pPr>
        <w:jc w:val="both"/>
        <w:rPr>
          <w:rFonts w:ascii="Verdana" w:eastAsia="Verdana" w:hAnsi="Verdana" w:cs="Verdana"/>
          <w:color w:val="000000"/>
          <w:sz w:val="22"/>
          <w:szCs w:val="22"/>
        </w:rPr>
      </w:pPr>
      <w:r>
        <w:rPr>
          <w:rFonts w:ascii="Verdana" w:eastAsia="Verdana" w:hAnsi="Verdana" w:cs="Verdana"/>
          <w:color w:val="000000"/>
          <w:sz w:val="22"/>
          <w:szCs w:val="22"/>
        </w:rPr>
        <w:t xml:space="preserve">El Excmo. Sr. D. Arturo Aliaga López, Consejero de Industria, Competitividad y Desarrollo Empresarial, en virtud del Decreto de 5 de agosto de 2019, de la Presidencia del Gobierno de Aragón, por el que se dispone su nombramiento, y actuando en nombre y representación del Gobierno de Aragón, según Acuerdo de este órgano, de fecha </w:t>
      </w:r>
      <w:r w:rsidR="00EE658B">
        <w:rPr>
          <w:rFonts w:ascii="Verdana" w:eastAsia="Verdana" w:hAnsi="Verdana" w:cs="Verdana"/>
          <w:color w:val="000000"/>
          <w:sz w:val="22"/>
          <w:szCs w:val="22"/>
        </w:rPr>
        <w:t>05</w:t>
      </w:r>
      <w:r>
        <w:rPr>
          <w:rFonts w:ascii="Verdana" w:eastAsia="Verdana" w:hAnsi="Verdana" w:cs="Verdana"/>
          <w:color w:val="000000"/>
          <w:sz w:val="22"/>
          <w:szCs w:val="22"/>
        </w:rPr>
        <w:t xml:space="preserve"> de </w:t>
      </w:r>
      <w:r w:rsidR="00EE658B">
        <w:rPr>
          <w:rFonts w:ascii="Verdana" w:eastAsia="Verdana" w:hAnsi="Verdana" w:cs="Verdana"/>
          <w:color w:val="000000"/>
          <w:sz w:val="22"/>
          <w:szCs w:val="22"/>
        </w:rPr>
        <w:t>abril</w:t>
      </w:r>
      <w:r>
        <w:rPr>
          <w:rFonts w:ascii="Verdana" w:eastAsia="Verdana" w:hAnsi="Verdana" w:cs="Verdana"/>
          <w:color w:val="000000"/>
          <w:sz w:val="22"/>
          <w:szCs w:val="22"/>
        </w:rPr>
        <w:t xml:space="preserve"> de 2023.</w:t>
      </w:r>
    </w:p>
    <w:p w:rsidR="001425BF" w:rsidRDefault="001425BF" w:rsidP="001425BF">
      <w:pPr>
        <w:rPr>
          <w:rFonts w:ascii="Verdana" w:eastAsia="Verdana" w:hAnsi="Verdana" w:cs="Verdana"/>
          <w:color w:val="000000"/>
          <w:sz w:val="22"/>
          <w:szCs w:val="22"/>
        </w:rPr>
      </w:pPr>
    </w:p>
    <w:p w:rsidR="001425BF" w:rsidRDefault="001425BF" w:rsidP="001425BF">
      <w:pPr>
        <w:rPr>
          <w:rFonts w:ascii="Verdana" w:eastAsia="Verdana" w:hAnsi="Verdana" w:cs="Verdana"/>
          <w:color w:val="000000"/>
          <w:sz w:val="22"/>
          <w:szCs w:val="22"/>
        </w:rPr>
      </w:pPr>
    </w:p>
    <w:p w:rsidR="001425BF" w:rsidRDefault="001425BF" w:rsidP="001425BF">
      <w:pPr>
        <w:jc w:val="both"/>
        <w:rPr>
          <w:rFonts w:ascii="Verdana" w:eastAsia="Verdana" w:hAnsi="Verdana" w:cs="Verdana"/>
          <w:color w:val="000000"/>
          <w:sz w:val="22"/>
          <w:szCs w:val="22"/>
        </w:rPr>
      </w:pPr>
      <w:r>
        <w:rPr>
          <w:rFonts w:ascii="Verdana" w:eastAsia="Verdana" w:hAnsi="Verdana" w:cs="Verdana"/>
          <w:color w:val="000000"/>
          <w:sz w:val="22"/>
          <w:szCs w:val="22"/>
        </w:rPr>
        <w:t xml:space="preserve">Y de otra: </w:t>
      </w:r>
    </w:p>
    <w:p w:rsidR="001425BF" w:rsidRDefault="001425BF" w:rsidP="001425BF">
      <w:pPr>
        <w:jc w:val="both"/>
        <w:rPr>
          <w:rFonts w:ascii="Verdana" w:eastAsia="Verdana" w:hAnsi="Verdana" w:cs="Verdana"/>
          <w:color w:val="000000"/>
          <w:sz w:val="22"/>
          <w:szCs w:val="22"/>
        </w:rPr>
      </w:pPr>
    </w:p>
    <w:p w:rsidR="001425BF" w:rsidRDefault="001425BF" w:rsidP="001425BF">
      <w:pPr>
        <w:jc w:val="both"/>
        <w:rPr>
          <w:rFonts w:ascii="Verdana" w:eastAsia="Verdana" w:hAnsi="Verdana" w:cs="Verdana"/>
          <w:color w:val="000000"/>
          <w:sz w:val="22"/>
          <w:szCs w:val="22"/>
        </w:rPr>
      </w:pPr>
      <w:r>
        <w:rPr>
          <w:rFonts w:ascii="Verdana" w:eastAsia="Verdana" w:hAnsi="Verdana" w:cs="Verdana"/>
          <w:color w:val="000000"/>
          <w:sz w:val="22"/>
          <w:szCs w:val="22"/>
        </w:rPr>
        <w:t>El Presidente de la Cámara Oficial de Comercio, Industria y Servicios de Huesca, en representación de la misma, con CIF: Q2273001D, con domicilio en Huesca (22005), c/ Santo Ángel de la Guarda, nº 7.</w:t>
      </w:r>
    </w:p>
    <w:p w:rsidR="001425BF" w:rsidRDefault="001425BF" w:rsidP="001425BF">
      <w:pPr>
        <w:rPr>
          <w:rFonts w:ascii="Verdana" w:eastAsia="Verdana" w:hAnsi="Verdana" w:cs="Verdana"/>
          <w:color w:val="000000"/>
          <w:sz w:val="22"/>
          <w:szCs w:val="22"/>
        </w:rPr>
      </w:pPr>
    </w:p>
    <w:p w:rsidR="001425BF" w:rsidRDefault="001425BF" w:rsidP="001425BF">
      <w:pPr>
        <w:jc w:val="both"/>
        <w:rPr>
          <w:rFonts w:ascii="Verdana" w:eastAsia="Verdana" w:hAnsi="Verdana" w:cs="Verdana"/>
          <w:color w:val="000000"/>
          <w:sz w:val="22"/>
          <w:szCs w:val="22"/>
        </w:rPr>
      </w:pPr>
      <w:r>
        <w:rPr>
          <w:rFonts w:ascii="Verdana" w:eastAsia="Verdana" w:hAnsi="Verdana" w:cs="Verdana"/>
          <w:color w:val="000000"/>
          <w:sz w:val="22"/>
          <w:szCs w:val="22"/>
        </w:rPr>
        <w:t>El Presidente de la Cámara Oficial de Comercio, Industria y Servicios de Teruel, en representación de la misma, con CIF: Q4473002F, con domicilio en Teruel (44001), c/ Amantes, nº 17</w:t>
      </w:r>
    </w:p>
    <w:p w:rsidR="001425BF" w:rsidRDefault="001425BF" w:rsidP="001425BF">
      <w:pPr>
        <w:jc w:val="both"/>
        <w:rPr>
          <w:rFonts w:ascii="Verdana" w:eastAsia="Verdana" w:hAnsi="Verdana" w:cs="Verdana"/>
          <w:color w:val="000000"/>
          <w:sz w:val="22"/>
          <w:szCs w:val="22"/>
        </w:rPr>
      </w:pPr>
    </w:p>
    <w:p w:rsidR="001425BF" w:rsidRDefault="001425BF" w:rsidP="001425BF">
      <w:pPr>
        <w:jc w:val="both"/>
        <w:rPr>
          <w:rFonts w:ascii="Verdana" w:eastAsia="Verdana" w:hAnsi="Verdana" w:cs="Verdana"/>
          <w:color w:val="000000"/>
          <w:sz w:val="22"/>
          <w:szCs w:val="22"/>
        </w:rPr>
      </w:pPr>
      <w:r>
        <w:rPr>
          <w:rFonts w:ascii="Verdana" w:eastAsia="Verdana" w:hAnsi="Verdana" w:cs="Verdana"/>
          <w:color w:val="000000"/>
          <w:sz w:val="22"/>
          <w:szCs w:val="22"/>
        </w:rPr>
        <w:t>El Presidente de la Cámara Oficial de Comercio, Industria y Servicios de Zaragoza, en representación de la misma, con CIF: Q5073001I, con domicilio en Zaragoza (50009), paseo Isabel la Católica, nº 2.</w:t>
      </w:r>
    </w:p>
    <w:p w:rsidR="001425BF" w:rsidRDefault="001425BF" w:rsidP="001425BF">
      <w:pPr>
        <w:rPr>
          <w:rFonts w:ascii="Verdana" w:eastAsia="Verdana" w:hAnsi="Verdana" w:cs="Verdana"/>
          <w:color w:val="000000"/>
          <w:sz w:val="22"/>
          <w:szCs w:val="22"/>
        </w:rPr>
      </w:pPr>
    </w:p>
    <w:p w:rsidR="001425BF" w:rsidRDefault="001425BF" w:rsidP="001425BF">
      <w:pPr>
        <w:jc w:val="both"/>
        <w:rPr>
          <w:rFonts w:ascii="Verdana" w:eastAsia="Verdana" w:hAnsi="Verdana" w:cs="Verdana"/>
          <w:color w:val="000000"/>
          <w:sz w:val="22"/>
          <w:szCs w:val="22"/>
        </w:rPr>
      </w:pPr>
      <w:r>
        <w:rPr>
          <w:rFonts w:ascii="Verdana" w:eastAsia="Verdana" w:hAnsi="Verdana" w:cs="Verdana"/>
          <w:color w:val="000000"/>
          <w:sz w:val="22"/>
          <w:szCs w:val="22"/>
        </w:rPr>
        <w:t>Actuando todas las partes en el ejercicio de sus cargos y con la representación que ostentan, reconociéndose competentes para la suscripción del presente documento</w:t>
      </w:r>
    </w:p>
    <w:p w:rsidR="001425BF" w:rsidRDefault="001425BF" w:rsidP="001425BF">
      <w:pPr>
        <w:rPr>
          <w:rFonts w:ascii="Verdana" w:eastAsia="Verdana" w:hAnsi="Verdana" w:cs="Verdana"/>
          <w:color w:val="000000"/>
          <w:sz w:val="22"/>
          <w:szCs w:val="22"/>
        </w:rPr>
      </w:pPr>
    </w:p>
    <w:p w:rsidR="001425BF" w:rsidRDefault="001425BF" w:rsidP="001425BF">
      <w:pPr>
        <w:rPr>
          <w:rFonts w:ascii="Verdana" w:eastAsia="Verdana" w:hAnsi="Verdana" w:cs="Verdana"/>
          <w:color w:val="000000"/>
          <w:sz w:val="22"/>
          <w:szCs w:val="22"/>
        </w:rPr>
      </w:pPr>
    </w:p>
    <w:p w:rsidR="001425BF" w:rsidRDefault="001425BF" w:rsidP="001425BF">
      <w:pPr>
        <w:jc w:val="center"/>
        <w:rPr>
          <w:rFonts w:ascii="Verdana" w:eastAsia="Verdana" w:hAnsi="Verdana" w:cs="Verdana"/>
          <w:color w:val="000000"/>
          <w:sz w:val="22"/>
          <w:szCs w:val="22"/>
        </w:rPr>
      </w:pPr>
    </w:p>
    <w:p w:rsidR="001425BF" w:rsidRDefault="001425BF" w:rsidP="001425BF">
      <w:pPr>
        <w:jc w:val="center"/>
        <w:rPr>
          <w:rFonts w:ascii="Verdana" w:eastAsia="Verdana" w:hAnsi="Verdana" w:cs="Verdana"/>
          <w:b/>
          <w:color w:val="000000"/>
          <w:sz w:val="22"/>
          <w:szCs w:val="22"/>
        </w:rPr>
      </w:pPr>
      <w:r>
        <w:rPr>
          <w:rFonts w:ascii="Verdana" w:eastAsia="Verdana" w:hAnsi="Verdana" w:cs="Verdana"/>
          <w:b/>
          <w:color w:val="000000"/>
          <w:sz w:val="22"/>
          <w:szCs w:val="22"/>
        </w:rPr>
        <w:t>EXPONEN</w:t>
      </w:r>
    </w:p>
    <w:p w:rsidR="001425BF" w:rsidRDefault="001425BF" w:rsidP="001425BF">
      <w:pPr>
        <w:spacing w:after="120"/>
        <w:ind w:firstLine="709"/>
        <w:jc w:val="both"/>
        <w:rPr>
          <w:rFonts w:ascii="Verdana" w:eastAsia="Verdana" w:hAnsi="Verdana" w:cs="Verdana"/>
          <w:color w:val="000000"/>
          <w:sz w:val="22"/>
          <w:szCs w:val="22"/>
        </w:rPr>
      </w:pPr>
    </w:p>
    <w:p w:rsidR="001425BF" w:rsidRDefault="001425BF" w:rsidP="001425BF">
      <w:pPr>
        <w:spacing w:after="120"/>
        <w:ind w:firstLine="709"/>
        <w:jc w:val="both"/>
        <w:rPr>
          <w:rFonts w:ascii="Tahoma" w:eastAsia="Tahoma" w:hAnsi="Tahoma" w:cs="Tahoma"/>
          <w:color w:val="000000"/>
        </w:rPr>
      </w:pPr>
      <w:r>
        <w:rPr>
          <w:rFonts w:ascii="Verdana" w:eastAsia="Verdana" w:hAnsi="Verdana" w:cs="Verdana"/>
          <w:color w:val="000000"/>
          <w:sz w:val="22"/>
          <w:szCs w:val="22"/>
        </w:rPr>
        <w:t xml:space="preserve">El Estatuto de Autonomía de Aragón, según redacción dada por la Ley Orgánica 5/2007, de 20 de abril, en su artículo </w:t>
      </w:r>
      <w:proofErr w:type="gramStart"/>
      <w:r>
        <w:rPr>
          <w:rFonts w:ascii="Verdana" w:eastAsia="Verdana" w:hAnsi="Verdana" w:cs="Verdana"/>
          <w:color w:val="000000"/>
          <w:sz w:val="22"/>
          <w:szCs w:val="22"/>
        </w:rPr>
        <w:t>71.32ª</w:t>
      </w:r>
      <w:proofErr w:type="gramEnd"/>
      <w:r>
        <w:rPr>
          <w:rFonts w:ascii="Verdana" w:eastAsia="Verdana" w:hAnsi="Verdana" w:cs="Verdana"/>
          <w:color w:val="000000"/>
          <w:sz w:val="22"/>
          <w:szCs w:val="22"/>
        </w:rPr>
        <w:t xml:space="preserve"> reconoce la competencia para la planificación económica y el fomento del desarrollo de la Comunidad Autónoma, dentro de los objetivos marcados por la política económica nacional y en el artículo 71.48ª la competencia exclusiva en materia de industria, salvo las competencias del Estado por razones de seguridad, sanitarias o de interés de la defensa. A su vez, el artículo 79 del citado Estatuto afirma que, en las materias de su competencia, corresponde a la Comunidad Autónoma el ejercicio de la actividad de fomento, a cuyos efectos la Comunidad Autónoma podrá otorgar las subvenciones que considere, con cargo a los fondos propios.</w:t>
      </w:r>
    </w:p>
    <w:p w:rsidR="001425BF" w:rsidRDefault="001425BF" w:rsidP="001425BF">
      <w:pPr>
        <w:rPr>
          <w:rFonts w:ascii="Verdana" w:eastAsia="Verdana" w:hAnsi="Verdana" w:cs="Verdana"/>
          <w:color w:val="000000"/>
          <w:sz w:val="22"/>
          <w:szCs w:val="22"/>
        </w:rPr>
      </w:pPr>
    </w:p>
    <w:p w:rsidR="001425BF" w:rsidRDefault="001425BF" w:rsidP="001425BF">
      <w:pPr>
        <w:ind w:firstLine="708"/>
        <w:jc w:val="both"/>
        <w:rPr>
          <w:rFonts w:ascii="Verdana" w:eastAsia="Verdana" w:hAnsi="Verdana" w:cs="Verdana"/>
          <w:color w:val="000000"/>
          <w:sz w:val="22"/>
          <w:szCs w:val="22"/>
        </w:rPr>
      </w:pPr>
      <w:r>
        <w:rPr>
          <w:rFonts w:ascii="Verdana" w:eastAsia="Verdana" w:hAnsi="Verdana" w:cs="Verdana"/>
          <w:color w:val="000000"/>
          <w:sz w:val="22"/>
          <w:szCs w:val="22"/>
        </w:rPr>
        <w:t xml:space="preserve">El ejercicio de la competencia en materia de industria corresponde en la actualidad al Departamento de Industria, Competitividad y Desarrollo Empresarial, de conformidad con lo establecido en el Decreto 18/2020, de 26 de febrero, del Gobierno de Aragón, por el que se aprueba la estructura orgánica del Departamento de Industria, Competitividad y Desarrollo Empresarial. </w:t>
      </w:r>
    </w:p>
    <w:p w:rsidR="001425BF" w:rsidRDefault="001425BF" w:rsidP="001425BF">
      <w:pPr>
        <w:ind w:firstLine="708"/>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ind w:firstLine="708"/>
        <w:jc w:val="both"/>
        <w:rPr>
          <w:rFonts w:ascii="Verdana" w:eastAsia="Verdana" w:hAnsi="Verdana" w:cs="Verdana"/>
          <w:color w:val="000000"/>
          <w:sz w:val="22"/>
          <w:szCs w:val="22"/>
        </w:rPr>
      </w:pPr>
      <w:r>
        <w:rPr>
          <w:rFonts w:ascii="Verdana" w:eastAsia="Verdana" w:hAnsi="Verdana" w:cs="Verdana"/>
          <w:color w:val="000000"/>
          <w:sz w:val="22"/>
          <w:szCs w:val="22"/>
        </w:rPr>
        <w:t xml:space="preserve">La Ley 4/2014, de 1 de abril, Básica de las Cámaras Oficiales de Comercio, Industria, Servicios y Navegación las define como corporaciones de derecho público con personalidad jurídica y plena capacidad de obrar para el cumplimiento de sus fines, que se configuran como órganos consultivos y de colaboración con las Administraciones Públicas, sin menoscabo de los intereses privados que persiguen, y cuya finalidad es la representación, promoción y defensa de los intereses generales del comercio, la industria, los servicios y la navegación, así como la prestación de servicios a las empresas que ejerzan las indicadas actividades. </w:t>
      </w:r>
    </w:p>
    <w:p w:rsidR="001425BF" w:rsidRDefault="001425BF" w:rsidP="001425BF">
      <w:pPr>
        <w:pBdr>
          <w:top w:val="nil"/>
          <w:left w:val="nil"/>
          <w:bottom w:val="nil"/>
          <w:right w:val="nil"/>
          <w:between w:val="nil"/>
        </w:pBdr>
        <w:ind w:firstLine="708"/>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ind w:firstLine="708"/>
        <w:jc w:val="both"/>
        <w:rPr>
          <w:rFonts w:ascii="Verdana" w:eastAsia="Verdana" w:hAnsi="Verdana" w:cs="Verdana"/>
          <w:color w:val="000000"/>
          <w:sz w:val="22"/>
          <w:szCs w:val="22"/>
        </w:rPr>
      </w:pPr>
      <w:r>
        <w:rPr>
          <w:rFonts w:ascii="Verdana" w:eastAsia="Verdana" w:hAnsi="Verdana" w:cs="Verdana"/>
          <w:color w:val="000000"/>
          <w:sz w:val="22"/>
          <w:szCs w:val="22"/>
        </w:rPr>
        <w:t>La Ley 3/2015, de 25 de marzo, de Cámaras Oficiales de Comercio, Industria y Servicios de Aragón, destaca la importancia de estas corporaciones de derecho público para el apoyo a los sectores económicos de la Comunidad Autónoma, y en concreto, para el aumento de la competitividad de las empresas, y determina en el apartado primero del artículo 7 que para la ejecución de actuaciones de interés general en desarrollo de las funciones de las citadas Cámaras, podrá establecer uno o varios Planes Camerales Autonómicos en aquellas materias que sean de su competencia. El Gobierno de Aragón otorgará, en función de las disponibilidades presupuestarias, subvenciones de concesión directa para la ejecución de las actuaciones previstas en los Planes Camerales a las Cámaras Oficiales de Comercio, Industria y Servicios de Aragón, en función de la naturaleza de cada concreta actividad, para lo cual, una vez aprobado el Plan Cameral, se ha iniciado la tramitación del correspondiente convenio de colaboración para el año 2023.</w:t>
      </w:r>
    </w:p>
    <w:p w:rsidR="001425BF" w:rsidRDefault="001425BF" w:rsidP="001425BF">
      <w:pPr>
        <w:spacing w:before="280" w:after="280"/>
        <w:ind w:firstLine="708"/>
        <w:jc w:val="both"/>
        <w:rPr>
          <w:rFonts w:ascii="Verdana" w:eastAsia="Verdana" w:hAnsi="Verdana" w:cs="Verdana"/>
          <w:color w:val="000000"/>
          <w:sz w:val="22"/>
          <w:szCs w:val="22"/>
        </w:rPr>
      </w:pPr>
      <w:r>
        <w:rPr>
          <w:rFonts w:ascii="Verdana" w:eastAsia="Verdana" w:hAnsi="Verdana" w:cs="Verdana"/>
          <w:color w:val="000000"/>
          <w:sz w:val="22"/>
          <w:szCs w:val="22"/>
        </w:rPr>
        <w:t xml:space="preserve">Adicionalmente y dada la variedad de actuaciones previstas en el convenio, el proceso de acompañamiento y asesoramiento personalizado permite la orientación a la empresa hacia la actividad que técnicos expertos en la materia consideran más idónea para la PYME. Este asesoramiento no sólo dirige a la empresa a la realización de una de las actividades, sino que le propondrá la participación en las acciones previstas en el convenio que más le convengan en función de las especificidades de la PYME. </w:t>
      </w:r>
    </w:p>
    <w:p w:rsidR="001425BF" w:rsidRDefault="001425BF" w:rsidP="001425BF">
      <w:pPr>
        <w:spacing w:before="280" w:after="280"/>
        <w:ind w:firstLine="708"/>
        <w:jc w:val="both"/>
        <w:rPr>
          <w:rFonts w:ascii="Verdana" w:eastAsia="Verdana" w:hAnsi="Verdana" w:cs="Verdana"/>
          <w:color w:val="000000"/>
          <w:sz w:val="22"/>
          <w:szCs w:val="22"/>
        </w:rPr>
      </w:pPr>
      <w:r>
        <w:rPr>
          <w:rFonts w:ascii="Verdana" w:eastAsia="Verdana" w:hAnsi="Verdana" w:cs="Verdana"/>
          <w:color w:val="000000"/>
          <w:sz w:val="22"/>
          <w:szCs w:val="22"/>
        </w:rPr>
        <w:t>En consecuencia, 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Esto generaría una pérdida de conocimiento sobre la acción subvencionada que perjudicaría la evaluación del Programa ARIES. Por lo tanto, la ejecución de estas actividades a través de una ayuda directa a una entidad sometida al control de la Administración desde la fase de planificación de los programas de trabajo, de su ejecución y evaluación, es la manera en la que se puede garantizar la consecución de los fines de interés público buscados.</w:t>
      </w:r>
    </w:p>
    <w:p w:rsidR="001425BF" w:rsidRDefault="001425BF" w:rsidP="001425BF">
      <w:pPr>
        <w:spacing w:before="280" w:after="280"/>
        <w:ind w:firstLine="708"/>
        <w:jc w:val="both"/>
        <w:rPr>
          <w:rFonts w:ascii="Verdana" w:eastAsia="Verdana" w:hAnsi="Verdana" w:cs="Verdana"/>
          <w:color w:val="000000"/>
          <w:sz w:val="22"/>
          <w:szCs w:val="22"/>
        </w:rPr>
      </w:pPr>
      <w:r>
        <w:rPr>
          <w:rFonts w:ascii="Verdana" w:eastAsia="Verdana" w:hAnsi="Verdana" w:cs="Verdana"/>
          <w:color w:val="000000"/>
          <w:sz w:val="22"/>
          <w:szCs w:val="22"/>
        </w:rPr>
        <w:lastRenderedPageBreak/>
        <w:t>Tratándose de un conjunto de acciones de interés general que se ha de encauzar no a través de una convocatoria en concurrencia, sino que ha de ser liderada por una entidad especial, las Cámaras Oficiales de Comercio, Industria y Servicios son las únicas entidades que, por las razones que a continuación se apuntan, están facultadas para su ejecución dentro de su ámbito territorial.</w:t>
      </w:r>
    </w:p>
    <w:p w:rsidR="001425BF" w:rsidRDefault="001425BF" w:rsidP="001425BF">
      <w:pPr>
        <w:pBdr>
          <w:top w:val="nil"/>
          <w:left w:val="nil"/>
          <w:bottom w:val="nil"/>
          <w:right w:val="nil"/>
          <w:between w:val="nil"/>
        </w:pBdr>
        <w:ind w:firstLine="709"/>
        <w:jc w:val="both"/>
        <w:rPr>
          <w:rFonts w:ascii="Verdana" w:eastAsia="Verdana" w:hAnsi="Verdana" w:cs="Verdana"/>
          <w:color w:val="000000"/>
          <w:sz w:val="22"/>
          <w:szCs w:val="22"/>
        </w:rPr>
      </w:pPr>
      <w:r>
        <w:rPr>
          <w:rFonts w:ascii="Verdana" w:eastAsia="Verdana" w:hAnsi="Verdana" w:cs="Verdana"/>
          <w:color w:val="000000"/>
          <w:sz w:val="22"/>
          <w:szCs w:val="22"/>
        </w:rPr>
        <w:t xml:space="preserve">El Gobierno de Aragón ha venido colaborando con las </w:t>
      </w:r>
      <w:r w:rsidRPr="00383D8D">
        <w:rPr>
          <w:rFonts w:ascii="Verdana" w:eastAsia="Verdana" w:hAnsi="Verdana" w:cs="Verdana"/>
          <w:sz w:val="22"/>
          <w:szCs w:val="22"/>
        </w:rPr>
        <w:t>mencionadas</w:t>
      </w:r>
      <w:r>
        <w:rPr>
          <w:rFonts w:ascii="Verdana" w:eastAsia="Verdana" w:hAnsi="Verdana" w:cs="Verdana"/>
          <w:color w:val="000000"/>
          <w:sz w:val="22"/>
          <w:szCs w:val="22"/>
        </w:rPr>
        <w:t xml:space="preserve"> Cámaras durante estos últimos años al objeto de fortalecer la competitividad y consolidación de las empresas en el mercado actual, lo que ha permitido perfilar metodologías de trabajo específicas que se han plasmado en una diversidad de convenios de colaboración con cada una de ellas.</w:t>
      </w:r>
    </w:p>
    <w:p w:rsidR="001425BF" w:rsidRDefault="001425BF" w:rsidP="001425BF">
      <w:pPr>
        <w:pBdr>
          <w:top w:val="nil"/>
          <w:left w:val="nil"/>
          <w:bottom w:val="nil"/>
          <w:right w:val="nil"/>
          <w:between w:val="nil"/>
        </w:pBdr>
        <w:spacing w:before="120"/>
        <w:ind w:firstLine="567"/>
        <w:jc w:val="both"/>
        <w:rPr>
          <w:rFonts w:ascii="Verdana" w:eastAsia="Verdana" w:hAnsi="Verdana" w:cs="Verdana"/>
          <w:color w:val="000000"/>
          <w:sz w:val="22"/>
          <w:szCs w:val="22"/>
        </w:rPr>
      </w:pPr>
      <w:r>
        <w:rPr>
          <w:rFonts w:ascii="Verdana" w:eastAsia="Verdana" w:hAnsi="Verdana" w:cs="Verdana"/>
          <w:color w:val="000000"/>
          <w:sz w:val="22"/>
          <w:szCs w:val="22"/>
        </w:rPr>
        <w:t xml:space="preserve">Fruto de esta colaboración continua y del nuevo impulso que la legislación dispone para que las Cámaras Oficiales de Comercio, Industria y Servicios sean prestadoras de servicios a las empresas, el Gobierno de Aragón consideró necesario continuar con la línea de cooperación llevada hasta la fecha relativa al </w:t>
      </w:r>
      <w:r w:rsidRPr="00B401BB">
        <w:rPr>
          <w:rFonts w:ascii="Verdana" w:eastAsia="Verdana" w:hAnsi="Verdana" w:cs="Verdana"/>
          <w:sz w:val="22"/>
          <w:szCs w:val="22"/>
        </w:rPr>
        <w:t xml:space="preserve">entonces Programa de Atención Empresarial Directa (PAED), por lo que elaboró y aprobó en Consejo de Gobierno, en su reunión de 19 de abril de 2016, el Plan Cameral de Competitividad de Aragón que fue prorrogado y actualizado hasta el año 2019, </w:t>
      </w:r>
      <w:r>
        <w:rPr>
          <w:rFonts w:ascii="Verdana" w:eastAsia="Verdana" w:hAnsi="Verdana" w:cs="Verdana"/>
          <w:color w:val="000000"/>
          <w:sz w:val="22"/>
          <w:szCs w:val="22"/>
        </w:rPr>
        <w:t>cuyo objetivo básico fue dotar a las empresas de Aragón, en especial a las PYME industriales y al pequeño comercio, de herramientas y asistencia técnica necesaria para facilitarles una mejora continua en calidad y excelencia, para el logro de la satisfacción de sus clientes, el fortalecimiento de la competitividad, y su consolidación en el mercado, afianzando aquellos aspectos necesarios de reorientación o mejora para su adaptación a las condiciones cambiantes del mercado y del entorno en el que se insertan, y todo ello mediante un uso adecuado de sus recursos disponibles, debido al importante impacto que los mismos han ejercido sobre el sector empresarial de la Comunidad Autónoma de Aragón en los últimos años.</w:t>
      </w:r>
    </w:p>
    <w:p w:rsidR="001425BF" w:rsidRDefault="001425BF" w:rsidP="001425BF">
      <w:pPr>
        <w:pBdr>
          <w:top w:val="nil"/>
          <w:left w:val="nil"/>
          <w:bottom w:val="nil"/>
          <w:right w:val="nil"/>
          <w:between w:val="nil"/>
        </w:pBdr>
        <w:spacing w:before="120"/>
        <w:ind w:firstLine="567"/>
        <w:jc w:val="both"/>
        <w:rPr>
          <w:rFonts w:ascii="Verdana" w:eastAsia="Verdana" w:hAnsi="Verdana" w:cs="Verdana"/>
          <w:color w:val="000000"/>
          <w:sz w:val="22"/>
          <w:szCs w:val="22"/>
        </w:rPr>
      </w:pPr>
      <w:r>
        <w:rPr>
          <w:rFonts w:ascii="Verdana" w:eastAsia="Verdana" w:hAnsi="Verdana" w:cs="Verdana"/>
          <w:color w:val="000000"/>
          <w:sz w:val="22"/>
          <w:szCs w:val="22"/>
        </w:rPr>
        <w:t xml:space="preserve">Con las consideraciones expuestas, hace que se haya previsto de forma específica en el </w:t>
      </w:r>
      <w:r w:rsidRPr="006F028F">
        <w:rPr>
          <w:rFonts w:ascii="Verdana" w:eastAsia="Verdana" w:hAnsi="Verdana" w:cs="Verdana"/>
          <w:sz w:val="22"/>
          <w:szCs w:val="22"/>
        </w:rPr>
        <w:t>Plan Estratégico de Subvenciones para el periodo 2020-2023, aprobado por Orden de 15 de noviembre de 2019</w:t>
      </w:r>
      <w:r>
        <w:rPr>
          <w:rFonts w:ascii="Verdana" w:eastAsia="Verdana" w:hAnsi="Verdana" w:cs="Verdana"/>
          <w:color w:val="000000"/>
          <w:sz w:val="22"/>
          <w:szCs w:val="22"/>
        </w:rPr>
        <w:t>, del Consejero de Industria, Competitividad y Desarrollo Empresarial, y en el área de actuación relativa a las PYME, el Plan Cameral de Competitividad, planificando subvenciones nominativas para cada una de las Cámaras Oficiales de Comercio, Industria y Servicios de Huesca, Teruel y Zaragoza.</w:t>
      </w:r>
    </w:p>
    <w:p w:rsidR="001425BF" w:rsidRDefault="001425BF" w:rsidP="001425BF">
      <w:pPr>
        <w:pBdr>
          <w:top w:val="nil"/>
          <w:left w:val="nil"/>
          <w:bottom w:val="nil"/>
          <w:right w:val="nil"/>
          <w:between w:val="nil"/>
        </w:pBdr>
        <w:spacing w:before="120"/>
        <w:ind w:firstLine="567"/>
        <w:jc w:val="both"/>
        <w:rPr>
          <w:rFonts w:ascii="Verdana" w:eastAsia="Verdana" w:hAnsi="Verdana" w:cs="Verdana"/>
          <w:color w:val="000000"/>
          <w:sz w:val="22"/>
          <w:szCs w:val="22"/>
        </w:rPr>
      </w:pPr>
      <w:r>
        <w:rPr>
          <w:rFonts w:ascii="Verdana" w:eastAsia="Verdana" w:hAnsi="Verdana" w:cs="Verdana"/>
          <w:color w:val="000000"/>
          <w:sz w:val="22"/>
          <w:szCs w:val="22"/>
        </w:rPr>
        <w:t>Sobre esta base, con fecha 11 de marzo de 2020, el Gobierno de Aragón acordó aprobar un nuevo Plan Cameral de Competitividad de Aragón para el periodo 2020-2024, que es el resultado del proceso de evaluación estratégica de las necesidades de las empresas y de los resultados del Plan Cameral de Competitividad 2016-2019.</w:t>
      </w:r>
    </w:p>
    <w:p w:rsidR="001425BF" w:rsidRDefault="001425BF" w:rsidP="001425BF">
      <w:pPr>
        <w:pBdr>
          <w:top w:val="nil"/>
          <w:left w:val="nil"/>
          <w:bottom w:val="nil"/>
          <w:right w:val="nil"/>
          <w:between w:val="nil"/>
        </w:pBdr>
        <w:spacing w:before="120"/>
        <w:ind w:firstLine="567"/>
        <w:jc w:val="both"/>
        <w:rPr>
          <w:rFonts w:ascii="Verdana" w:eastAsia="Verdana" w:hAnsi="Verdana" w:cs="Verdana"/>
          <w:color w:val="000000"/>
          <w:sz w:val="22"/>
          <w:szCs w:val="22"/>
        </w:rPr>
      </w:pPr>
      <w:r>
        <w:rPr>
          <w:rFonts w:ascii="Verdana" w:eastAsia="Verdana" w:hAnsi="Verdana" w:cs="Verdana"/>
          <w:color w:val="000000"/>
          <w:sz w:val="22"/>
          <w:szCs w:val="22"/>
        </w:rPr>
        <w:t>Como consecuencia de la crisis generada por la COVID-19, y tras el análisis de lo acaecido en 2020, el Gobierno de Aragón acordó, con fecha 10 de marzo de 2021, aprobar un nuevo Plan para los ejercicios 2021-2024.</w:t>
      </w:r>
    </w:p>
    <w:p w:rsidR="001425BF" w:rsidRDefault="001425BF" w:rsidP="001425BF">
      <w:pPr>
        <w:pBdr>
          <w:top w:val="nil"/>
          <w:left w:val="nil"/>
          <w:bottom w:val="nil"/>
          <w:right w:val="nil"/>
          <w:between w:val="nil"/>
        </w:pBdr>
        <w:spacing w:before="120"/>
        <w:ind w:firstLine="567"/>
        <w:jc w:val="both"/>
        <w:rPr>
          <w:rFonts w:ascii="Verdana" w:eastAsia="Verdana" w:hAnsi="Verdana" w:cs="Verdana"/>
          <w:color w:val="000000"/>
          <w:sz w:val="22"/>
          <w:szCs w:val="22"/>
        </w:rPr>
      </w:pPr>
      <w:r w:rsidRPr="00B401BB">
        <w:rPr>
          <w:rFonts w:ascii="Verdana" w:eastAsia="Verdana" w:hAnsi="Verdana" w:cs="Verdana"/>
          <w:sz w:val="22"/>
          <w:szCs w:val="22"/>
        </w:rPr>
        <w:t xml:space="preserve">En las actuales condiciones se ve altamente conveniente facilitar el acompañamiento a las iniciativas empresariales mediante los servicios prestados por el programa Aragón, impulso de empresas (ARIES), anteriormente Programa de Atención Empresarial Directa (PAED), adaptando esos servicios a necesidades tan relevantes en estos momentos como la </w:t>
      </w:r>
      <w:r w:rsidRPr="00B51E15">
        <w:rPr>
          <w:rFonts w:ascii="Verdana" w:eastAsia="Verdana" w:hAnsi="Verdana" w:cs="Verdana"/>
          <w:sz w:val="22"/>
          <w:szCs w:val="22"/>
        </w:rPr>
        <w:t>financiación, la digitalización, la sostenibilidad</w:t>
      </w:r>
      <w:r>
        <w:rPr>
          <w:rFonts w:ascii="Verdana" w:eastAsia="Verdana" w:hAnsi="Verdana" w:cs="Verdana"/>
          <w:sz w:val="22"/>
          <w:szCs w:val="22"/>
        </w:rPr>
        <w:t>,</w:t>
      </w:r>
      <w:r w:rsidRPr="00B51E15">
        <w:rPr>
          <w:rFonts w:ascii="Verdana" w:eastAsia="Verdana" w:hAnsi="Verdana" w:cs="Verdana"/>
          <w:sz w:val="22"/>
          <w:szCs w:val="22"/>
        </w:rPr>
        <w:t xml:space="preserve"> el teletrabajo, las redes y plataformas colaborativas, la innovación de diseño de </w:t>
      </w:r>
      <w:r w:rsidRPr="00B51E15">
        <w:rPr>
          <w:rFonts w:ascii="Verdana" w:eastAsia="Verdana" w:hAnsi="Verdana" w:cs="Verdana"/>
          <w:sz w:val="22"/>
          <w:szCs w:val="22"/>
        </w:rPr>
        <w:lastRenderedPageBreak/>
        <w:t xml:space="preserve">productos y servicios (diseño industrial), la apertura de mercados, competencias directivas, análisis y estudios económicos. Éstas líneas se han de integrar </w:t>
      </w:r>
      <w:r>
        <w:rPr>
          <w:rFonts w:ascii="Verdana" w:eastAsia="Verdana" w:hAnsi="Verdana" w:cs="Verdana"/>
          <w:color w:val="000000"/>
          <w:sz w:val="22"/>
          <w:szCs w:val="22"/>
        </w:rPr>
        <w:t>con mecanismos de cooperación empresarial para mejor conocimiento y ayuda mutuas.</w:t>
      </w:r>
    </w:p>
    <w:p w:rsidR="001425BF" w:rsidRPr="00B401BB" w:rsidRDefault="001425BF" w:rsidP="001425BF">
      <w:pPr>
        <w:pBdr>
          <w:top w:val="nil"/>
          <w:left w:val="nil"/>
          <w:bottom w:val="nil"/>
          <w:right w:val="nil"/>
          <w:between w:val="nil"/>
        </w:pBdr>
        <w:spacing w:before="120"/>
        <w:ind w:firstLine="567"/>
        <w:jc w:val="both"/>
        <w:rPr>
          <w:rFonts w:ascii="Verdana" w:eastAsia="Verdana" w:hAnsi="Verdana" w:cs="Verdana"/>
          <w:sz w:val="22"/>
          <w:szCs w:val="22"/>
        </w:rPr>
      </w:pPr>
      <w:r>
        <w:rPr>
          <w:rFonts w:ascii="Verdana" w:eastAsia="Verdana" w:hAnsi="Verdana" w:cs="Verdana"/>
          <w:color w:val="000000"/>
          <w:sz w:val="22"/>
          <w:szCs w:val="22"/>
        </w:rPr>
        <w:t xml:space="preserve">Con las consideraciones expuestas, hace que se haya previsto de forma específica subvenciones nominativas para cada una de las Cámaras Oficiales de Comercio, Industria y Servicios de Huesca, Teruel y Zaragoza, en el presupuesto del </w:t>
      </w:r>
      <w:r w:rsidRPr="00B401BB">
        <w:rPr>
          <w:rFonts w:ascii="Verdana" w:eastAsia="Verdana" w:hAnsi="Verdana" w:cs="Verdana"/>
          <w:sz w:val="22"/>
          <w:szCs w:val="22"/>
        </w:rPr>
        <w:t xml:space="preserve">ejercicio 2023 de la Comunidad Autónoma de Aragón, aprobado por la Ley 8/2022, de 29 de diciembre. </w:t>
      </w:r>
    </w:p>
    <w:p w:rsidR="001425BF" w:rsidRPr="00B401BB" w:rsidRDefault="001425BF" w:rsidP="001425BF">
      <w:pPr>
        <w:pBdr>
          <w:top w:val="nil"/>
          <w:left w:val="nil"/>
          <w:bottom w:val="nil"/>
          <w:right w:val="nil"/>
          <w:between w:val="nil"/>
        </w:pBdr>
        <w:spacing w:before="120"/>
        <w:ind w:firstLine="567"/>
        <w:jc w:val="both"/>
        <w:rPr>
          <w:rFonts w:ascii="Verdana" w:eastAsia="Verdana" w:hAnsi="Verdana" w:cs="Verdana"/>
          <w:sz w:val="22"/>
          <w:szCs w:val="22"/>
        </w:rPr>
      </w:pPr>
      <w:r w:rsidRPr="00B401BB">
        <w:rPr>
          <w:rFonts w:ascii="Verdana" w:eastAsia="Verdana" w:hAnsi="Verdana" w:cs="Verdana"/>
          <w:sz w:val="22"/>
          <w:szCs w:val="22"/>
        </w:rPr>
        <w:t>En el anexo IV de la Ley 8/2022, de 29 de diciembre, de Presupuestos de la Comunidad Autónoma de Aragón para el ejercicio 2023, figuran las ayudas nominativas para la ejecución del Plan Cameral de Competitividad de Aragón para cada una de las Cámaras aragonesas. La concesión directa de dichas subvenciones nominativas previstas en la Ley de Presupuestos, se otorgan de acuerdo a lo dispuesto en el artículo 22.2.a) de la Ley 38/2003, de 17 de noviembre, General de Subvenciones y en el artículo 14.5 a) de la Ley 5/2015, de 25 de marzo de Subvenciones de Aragón.</w:t>
      </w:r>
    </w:p>
    <w:p w:rsidR="001425BF" w:rsidRDefault="001425BF" w:rsidP="001425BF">
      <w:pPr>
        <w:spacing w:before="120"/>
        <w:ind w:firstLine="709"/>
        <w:jc w:val="both"/>
        <w:rPr>
          <w:rFonts w:ascii="Verdana" w:eastAsia="Verdana" w:hAnsi="Verdana" w:cs="Verdana"/>
          <w:color w:val="000000"/>
          <w:sz w:val="22"/>
          <w:szCs w:val="22"/>
        </w:rPr>
      </w:pPr>
      <w:r w:rsidRPr="00B401BB">
        <w:rPr>
          <w:rFonts w:ascii="Verdana" w:eastAsia="Verdana" w:hAnsi="Verdana" w:cs="Verdana"/>
          <w:sz w:val="22"/>
          <w:szCs w:val="22"/>
        </w:rPr>
        <w:t>En vista de lo anteriormente expuesto, en ejecución de lo previsto en el Plan Cameral de Competitividad de Aragón, aprobado en el Consejo de Gobierno de Aragón de 10 de marzo de 2021, y su modificación, y en consonancia con lo dispuesto en la Ley 3/2015, de 25 de marzo, de Cámaras Oficiales de Comercio, Industria y Servicios de Aragón, lo dispuesto en Ley 8/2022, de 29 de diciembre, de Presupuestos de la Comunidad Autónoma de Aragón para el ejercicio 2023, el Gobierno de Aragón y las Cámaras Oficiales de Comercio, Industria y Servicios de Huesca</w:t>
      </w:r>
      <w:r>
        <w:rPr>
          <w:rFonts w:ascii="Verdana" w:eastAsia="Verdana" w:hAnsi="Verdana" w:cs="Verdana"/>
          <w:color w:val="000000"/>
          <w:sz w:val="22"/>
          <w:szCs w:val="22"/>
        </w:rPr>
        <w:t xml:space="preserve">, Teruel y Zaragoza, consideran necesario colaborar en la ejecución de las acciones en materia de apoyo empresarial, formalizando para ello, entre ambas partes, este convenio conforme a las siguientes </w:t>
      </w:r>
    </w:p>
    <w:p w:rsidR="001425BF" w:rsidRDefault="001425BF" w:rsidP="001425BF">
      <w:pPr>
        <w:ind w:firstLine="708"/>
        <w:jc w:val="both"/>
        <w:rPr>
          <w:rFonts w:ascii="Verdana" w:eastAsia="Verdana" w:hAnsi="Verdana" w:cs="Verdana"/>
          <w:color w:val="000000"/>
          <w:sz w:val="22"/>
          <w:szCs w:val="22"/>
        </w:rPr>
      </w:pPr>
    </w:p>
    <w:p w:rsidR="001425BF" w:rsidRDefault="001425BF" w:rsidP="001425BF">
      <w:pPr>
        <w:ind w:firstLine="708"/>
        <w:jc w:val="both"/>
        <w:rPr>
          <w:rFonts w:ascii="Verdana" w:eastAsia="Verdana" w:hAnsi="Verdana" w:cs="Verdana"/>
          <w:color w:val="000000"/>
          <w:sz w:val="22"/>
          <w:szCs w:val="22"/>
        </w:rPr>
      </w:pPr>
    </w:p>
    <w:p w:rsidR="001425BF" w:rsidRDefault="001425BF" w:rsidP="001425BF">
      <w:pPr>
        <w:ind w:firstLine="708"/>
        <w:jc w:val="both"/>
        <w:rPr>
          <w:rFonts w:ascii="Verdana" w:eastAsia="Verdana" w:hAnsi="Verdana" w:cs="Verdana"/>
          <w:color w:val="000000"/>
          <w:sz w:val="22"/>
          <w:szCs w:val="22"/>
        </w:rPr>
      </w:pPr>
    </w:p>
    <w:p w:rsidR="001425BF" w:rsidRDefault="001425BF" w:rsidP="001425BF">
      <w:pPr>
        <w:ind w:firstLine="708"/>
        <w:jc w:val="both"/>
        <w:rPr>
          <w:rFonts w:ascii="Verdana" w:eastAsia="Verdana" w:hAnsi="Verdana" w:cs="Verdana"/>
          <w:color w:val="000000"/>
          <w:sz w:val="22"/>
          <w:szCs w:val="22"/>
        </w:rPr>
      </w:pPr>
    </w:p>
    <w:p w:rsidR="001425BF" w:rsidRDefault="001425BF" w:rsidP="001425BF">
      <w:pPr>
        <w:ind w:firstLine="708"/>
        <w:jc w:val="both"/>
        <w:rPr>
          <w:rFonts w:ascii="Verdana" w:eastAsia="Verdana" w:hAnsi="Verdana" w:cs="Verdana"/>
          <w:color w:val="000000"/>
          <w:sz w:val="22"/>
          <w:szCs w:val="22"/>
        </w:rPr>
      </w:pPr>
    </w:p>
    <w:p w:rsidR="001425BF" w:rsidRDefault="001425BF" w:rsidP="001425BF">
      <w:pPr>
        <w:rPr>
          <w:rFonts w:ascii="Verdana" w:eastAsia="Verdana" w:hAnsi="Verdana" w:cs="Verdana"/>
          <w:b/>
          <w:color w:val="000000"/>
          <w:sz w:val="22"/>
          <w:szCs w:val="22"/>
        </w:rPr>
      </w:pPr>
      <w:r>
        <w:rPr>
          <w:rFonts w:ascii="Verdana" w:eastAsia="Verdana" w:hAnsi="Verdana" w:cs="Verdana"/>
          <w:b/>
          <w:color w:val="000000"/>
          <w:sz w:val="22"/>
          <w:szCs w:val="22"/>
        </w:rPr>
        <w:br w:type="page"/>
      </w:r>
    </w:p>
    <w:p w:rsidR="001425BF" w:rsidRDefault="001425BF" w:rsidP="001425BF">
      <w:pPr>
        <w:ind w:firstLine="708"/>
        <w:jc w:val="center"/>
        <w:rPr>
          <w:rFonts w:ascii="Verdana" w:eastAsia="Verdana" w:hAnsi="Verdana" w:cs="Verdana"/>
          <w:b/>
          <w:color w:val="000000"/>
          <w:sz w:val="22"/>
          <w:szCs w:val="22"/>
        </w:rPr>
      </w:pPr>
      <w:r>
        <w:rPr>
          <w:rFonts w:ascii="Verdana" w:eastAsia="Verdana" w:hAnsi="Verdana" w:cs="Verdana"/>
          <w:b/>
          <w:color w:val="000000"/>
          <w:sz w:val="22"/>
          <w:szCs w:val="22"/>
        </w:rPr>
        <w:lastRenderedPageBreak/>
        <w:t>CLAÚSULAS</w:t>
      </w:r>
    </w:p>
    <w:p w:rsidR="001425BF" w:rsidRDefault="001425BF" w:rsidP="001425BF">
      <w:pPr>
        <w:ind w:firstLine="708"/>
        <w:jc w:val="center"/>
        <w:rPr>
          <w:rFonts w:ascii="Verdana" w:eastAsia="Verdana" w:hAnsi="Verdana" w:cs="Verdana"/>
          <w:color w:val="000000"/>
          <w:sz w:val="22"/>
          <w:szCs w:val="22"/>
        </w:rPr>
      </w:pPr>
    </w:p>
    <w:p w:rsidR="001425BF" w:rsidRDefault="001425BF" w:rsidP="001425BF">
      <w:pPr>
        <w:rPr>
          <w:rFonts w:ascii="Verdana" w:eastAsia="Verdana" w:hAnsi="Verdana" w:cs="Verdana"/>
          <w:b/>
          <w:color w:val="000000"/>
          <w:sz w:val="22"/>
          <w:szCs w:val="22"/>
        </w:rPr>
      </w:pPr>
      <w:r>
        <w:rPr>
          <w:rFonts w:ascii="Verdana" w:eastAsia="Verdana" w:hAnsi="Verdana" w:cs="Verdana"/>
          <w:b/>
          <w:color w:val="000000"/>
          <w:sz w:val="22"/>
          <w:szCs w:val="22"/>
        </w:rPr>
        <w:t>PRIMERA. — Objeto.</w:t>
      </w:r>
    </w:p>
    <w:p w:rsidR="001425BF" w:rsidRDefault="001425BF" w:rsidP="001425BF">
      <w:pPr>
        <w:pBdr>
          <w:top w:val="nil"/>
          <w:left w:val="nil"/>
          <w:bottom w:val="nil"/>
          <w:right w:val="nil"/>
          <w:between w:val="nil"/>
        </w:pBd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Este convenio tiene por objeto instrumentar la colaboración entre el Gobierno de Aragón, a través del Departamento de Industria, Competitividad y Desarrollo Empresarial, y las Cámaras Oficiales de Comercio, Industria y Servicios de Huesca, Teruel y Zaragoza para la ejecución de las acciones sobre las PYME que en el Plan Cameral de Competitividad de Aragón se prevén en el programa Aragón, impulso de empresas (ARIES, anteriormente </w:t>
      </w:r>
      <w:r w:rsidRPr="00D7646A">
        <w:rPr>
          <w:rFonts w:ascii="Verdana" w:eastAsia="Verdana" w:hAnsi="Verdana" w:cs="Verdana"/>
          <w:color w:val="000000"/>
          <w:sz w:val="22"/>
          <w:szCs w:val="22"/>
        </w:rPr>
        <w:t>Programa de Apoyo Empresarial Directo</w:t>
      </w:r>
      <w:r>
        <w:rPr>
          <w:rFonts w:ascii="Verdana" w:eastAsia="Verdana" w:hAnsi="Verdana" w:cs="Verdana"/>
          <w:color w:val="000000"/>
          <w:sz w:val="22"/>
          <w:szCs w:val="22"/>
        </w:rPr>
        <w:t>, PAED).</w:t>
      </w:r>
    </w:p>
    <w:p w:rsidR="001425BF" w:rsidRDefault="001425BF" w:rsidP="001425BF">
      <w:pPr>
        <w:jc w:val="both"/>
        <w:rPr>
          <w:rFonts w:ascii="Verdana" w:eastAsia="Verdana" w:hAnsi="Verdana" w:cs="Verdana"/>
          <w:color w:val="000000"/>
          <w:sz w:val="22"/>
          <w:szCs w:val="22"/>
        </w:rPr>
      </w:pPr>
    </w:p>
    <w:p w:rsidR="001425BF" w:rsidRDefault="001425BF" w:rsidP="001425BF">
      <w:pPr>
        <w:jc w:val="both"/>
        <w:rPr>
          <w:rFonts w:ascii="Verdana" w:eastAsia="Verdana" w:hAnsi="Verdana" w:cs="Verdana"/>
          <w:b/>
          <w:color w:val="000000"/>
          <w:sz w:val="22"/>
          <w:szCs w:val="22"/>
        </w:rPr>
      </w:pPr>
      <w:r>
        <w:rPr>
          <w:rFonts w:ascii="Verdana" w:eastAsia="Verdana" w:hAnsi="Verdana" w:cs="Verdana"/>
          <w:b/>
          <w:color w:val="000000"/>
          <w:sz w:val="22"/>
          <w:szCs w:val="22"/>
        </w:rPr>
        <w:t>SEGUNDA. - Actuaciones e indicadores.</w:t>
      </w:r>
    </w:p>
    <w:p w:rsidR="001425BF" w:rsidRDefault="001425BF" w:rsidP="001425BF">
      <w:pPr>
        <w:numPr>
          <w:ilvl w:val="0"/>
          <w:numId w:val="2"/>
        </w:numPr>
        <w:spacing w:before="120"/>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Las acciones objeto de colaboración, que se desarrollarán durante 2023, que se concretan y están incluidas en el Plan Cameral de Competitividad de Aragón, son, conforme a este convenio, las siguientes:</w:t>
      </w:r>
    </w:p>
    <w:p w:rsidR="001425BF" w:rsidRDefault="001425BF" w:rsidP="001425BF">
      <w:pPr>
        <w:pBdr>
          <w:top w:val="nil"/>
          <w:left w:val="nil"/>
          <w:bottom w:val="nil"/>
          <w:right w:val="nil"/>
          <w:between w:val="nil"/>
        </w:pBdr>
        <w:spacing w:before="120"/>
        <w:ind w:left="567" w:firstLine="283"/>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spacing w:before="120"/>
        <w:ind w:left="708"/>
        <w:jc w:val="both"/>
        <w:rPr>
          <w:rFonts w:ascii="Verdana" w:eastAsia="Verdana" w:hAnsi="Verdana" w:cs="Verdana"/>
          <w:color w:val="000000"/>
          <w:sz w:val="22"/>
          <w:szCs w:val="22"/>
        </w:rPr>
      </w:pPr>
      <w:r>
        <w:rPr>
          <w:rFonts w:ascii="Verdana" w:eastAsia="Verdana" w:hAnsi="Verdana" w:cs="Verdana"/>
          <w:color w:val="000000"/>
          <w:sz w:val="22"/>
          <w:szCs w:val="22"/>
        </w:rPr>
        <w:t>Programa Aragón, impulso de empresas (ARIES):</w:t>
      </w:r>
    </w:p>
    <w:p w:rsidR="001425BF" w:rsidRDefault="001425BF" w:rsidP="001425BF">
      <w:pPr>
        <w:pBdr>
          <w:top w:val="nil"/>
          <w:left w:val="nil"/>
          <w:bottom w:val="nil"/>
          <w:right w:val="nil"/>
          <w:between w:val="nil"/>
        </w:pBdr>
        <w:spacing w:before="120"/>
        <w:ind w:left="567" w:firstLine="283"/>
        <w:jc w:val="both"/>
        <w:rPr>
          <w:rFonts w:ascii="Verdana" w:eastAsia="Verdana" w:hAnsi="Verdana" w:cs="Verdana"/>
          <w:color w:val="000000"/>
          <w:sz w:val="22"/>
          <w:szCs w:val="22"/>
          <w:u w:val="single"/>
        </w:rPr>
      </w:pPr>
    </w:p>
    <w:p w:rsidR="001425BF" w:rsidRDefault="001425BF" w:rsidP="001425BF">
      <w:pPr>
        <w:pBdr>
          <w:top w:val="nil"/>
          <w:left w:val="nil"/>
          <w:bottom w:val="nil"/>
          <w:right w:val="nil"/>
          <w:between w:val="nil"/>
        </w:pBdr>
        <w:ind w:left="709" w:firstLine="142"/>
        <w:jc w:val="both"/>
        <w:rPr>
          <w:rFonts w:ascii="Verdana" w:eastAsia="Verdana" w:hAnsi="Verdana" w:cs="Verdana"/>
          <w:b/>
          <w:color w:val="000000"/>
          <w:sz w:val="22"/>
          <w:szCs w:val="22"/>
        </w:rPr>
      </w:pPr>
      <w:bookmarkStart w:id="0" w:name="_heading=h.gjdgxs" w:colFirst="0" w:colLast="0"/>
      <w:bookmarkEnd w:id="0"/>
      <w:r>
        <w:rPr>
          <w:rFonts w:ascii="Verdana" w:eastAsia="Verdana" w:hAnsi="Verdana" w:cs="Verdana"/>
          <w:color w:val="000000"/>
          <w:sz w:val="22"/>
          <w:szCs w:val="22"/>
        </w:rPr>
        <w:t xml:space="preserve">El programa está dirigido prioritariamente a las PYME (según la definición de empresa y PYME de la Unión Europea), tanto de nueva creación como a las iniciativas de las ya establecidas que redunden en su consolidación, crecimiento y competitividad. El foco del programa se centra en las actividades industriales y conexas, en los servicios avanzados y en los proyectos empresariales con capacidad innovadora o de crecimiento. Las grandes empresas podrán ser objeto de atención por parte del programa cuando se trate de proyectos colaborativos con las PYME radicadas en Aragón o tengan un amplio y demostrado efecto inducido sobre éstas. </w:t>
      </w:r>
    </w:p>
    <w:p w:rsidR="001425BF" w:rsidRDefault="001425BF" w:rsidP="001425BF">
      <w:pPr>
        <w:pBdr>
          <w:top w:val="nil"/>
          <w:left w:val="nil"/>
          <w:bottom w:val="nil"/>
          <w:right w:val="nil"/>
          <w:between w:val="nil"/>
        </w:pBdr>
        <w:ind w:left="709" w:firstLine="142"/>
        <w:jc w:val="both"/>
        <w:rPr>
          <w:rFonts w:ascii="Verdana" w:eastAsia="Verdana" w:hAnsi="Verdana" w:cs="Verdana"/>
          <w:b/>
          <w:color w:val="000000"/>
          <w:sz w:val="22"/>
          <w:szCs w:val="22"/>
        </w:rPr>
      </w:pP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r>
        <w:rPr>
          <w:rFonts w:ascii="Verdana" w:eastAsia="Verdana" w:hAnsi="Verdana" w:cs="Verdana"/>
          <w:color w:val="000000"/>
          <w:sz w:val="22"/>
          <w:szCs w:val="22"/>
        </w:rPr>
        <w:t>Durante el año 2023, se compatibilizarán las acciones telemáticas y presenciales, en función de las posibilidades para su correcta prestación.</w:t>
      </w: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p>
    <w:p w:rsidR="001425BF" w:rsidRPr="00B401B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B401BB">
        <w:rPr>
          <w:rFonts w:ascii="Verdana" w:eastAsia="Verdana" w:hAnsi="Verdana" w:cs="Verdana"/>
          <w:sz w:val="22"/>
          <w:szCs w:val="22"/>
        </w:rPr>
        <w:t xml:space="preserve">La cobertura del programa ARIES incluye todo el territorio ocupado por las 3 provincias de Aragón, si bien para el eje 1 y la ciudad de Zaragoza se incluyen únicamente empresas industriales y de servicios conexos a la industria. </w:t>
      </w: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r>
        <w:rPr>
          <w:rFonts w:ascii="Verdana" w:eastAsia="Verdana" w:hAnsi="Verdana" w:cs="Verdana"/>
          <w:color w:val="000000"/>
          <w:sz w:val="22"/>
          <w:szCs w:val="22"/>
        </w:rPr>
        <w:t>El nuevo programa contará con cuatro ejes, que se describen a continuación:</w:t>
      </w:r>
    </w:p>
    <w:p w:rsidR="001425BF" w:rsidRDefault="001425BF" w:rsidP="001425BF">
      <w:pPr>
        <w:pBdr>
          <w:top w:val="nil"/>
          <w:left w:val="nil"/>
          <w:bottom w:val="nil"/>
          <w:right w:val="nil"/>
          <w:between w:val="nil"/>
        </w:pBdr>
        <w:ind w:left="709" w:firstLine="142"/>
        <w:jc w:val="both"/>
        <w:rPr>
          <w:rFonts w:ascii="Verdana" w:eastAsia="Verdana" w:hAnsi="Verdana" w:cs="Verdana"/>
          <w:b/>
          <w:color w:val="000000"/>
          <w:sz w:val="22"/>
          <w:szCs w:val="22"/>
        </w:rPr>
      </w:pPr>
    </w:p>
    <w:p w:rsidR="001425BF" w:rsidRDefault="001425BF" w:rsidP="001425BF">
      <w:pPr>
        <w:numPr>
          <w:ilvl w:val="0"/>
          <w:numId w:val="5"/>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Eje 1: Creación y ampliación de empresas</w:t>
      </w:r>
    </w:p>
    <w:p w:rsidR="001425BF" w:rsidRDefault="001425BF" w:rsidP="001425BF">
      <w:pPr>
        <w:numPr>
          <w:ilvl w:val="0"/>
          <w:numId w:val="5"/>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Eje 2: Mejora competitiva</w:t>
      </w:r>
    </w:p>
    <w:p w:rsidR="001425BF" w:rsidRDefault="001425BF" w:rsidP="001425BF">
      <w:pPr>
        <w:numPr>
          <w:ilvl w:val="0"/>
          <w:numId w:val="5"/>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Eje 3: Red de empresas ARIES</w:t>
      </w:r>
    </w:p>
    <w:p w:rsidR="001425BF" w:rsidRDefault="001425BF" w:rsidP="001425BF">
      <w:pPr>
        <w:numPr>
          <w:ilvl w:val="0"/>
          <w:numId w:val="5"/>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Eje 4: Financiación de las PYME</w:t>
      </w:r>
    </w:p>
    <w:p w:rsidR="001425BF" w:rsidRDefault="001425BF" w:rsidP="001425BF">
      <w:pPr>
        <w:pBdr>
          <w:top w:val="nil"/>
          <w:left w:val="nil"/>
          <w:bottom w:val="nil"/>
          <w:right w:val="nil"/>
          <w:between w:val="nil"/>
        </w:pBdr>
        <w:jc w:val="both"/>
        <w:rPr>
          <w:rFonts w:ascii="Verdana" w:eastAsia="Verdana" w:hAnsi="Verdana" w:cs="Verdana"/>
          <w:sz w:val="22"/>
          <w:szCs w:val="22"/>
        </w:rPr>
      </w:pPr>
    </w:p>
    <w:p w:rsidR="001425BF" w:rsidRDefault="001425BF" w:rsidP="001425BF">
      <w:pPr>
        <w:pBdr>
          <w:top w:val="nil"/>
          <w:left w:val="nil"/>
          <w:bottom w:val="nil"/>
          <w:right w:val="nil"/>
          <w:between w:val="nil"/>
        </w:pBdr>
        <w:jc w:val="both"/>
        <w:rPr>
          <w:rFonts w:ascii="Verdana" w:eastAsia="Verdana" w:hAnsi="Verdana" w:cs="Verdana"/>
          <w:sz w:val="22"/>
          <w:szCs w:val="22"/>
        </w:rPr>
      </w:pPr>
    </w:p>
    <w:p w:rsidR="001425BF" w:rsidRDefault="001425BF" w:rsidP="001425BF">
      <w:pPr>
        <w:ind w:left="709" w:firstLine="142"/>
        <w:rPr>
          <w:rFonts w:ascii="Verdana" w:eastAsia="Verdana" w:hAnsi="Verdana" w:cs="Verdana"/>
          <w:i/>
          <w:color w:val="000000"/>
          <w:sz w:val="22"/>
          <w:szCs w:val="22"/>
        </w:rPr>
      </w:pPr>
      <w:r>
        <w:rPr>
          <w:rFonts w:ascii="Verdana" w:eastAsia="Verdana" w:hAnsi="Verdana" w:cs="Verdana"/>
          <w:color w:val="000000"/>
          <w:sz w:val="22"/>
          <w:szCs w:val="22"/>
        </w:rPr>
        <w:t xml:space="preserve">· </w:t>
      </w:r>
      <w:r>
        <w:rPr>
          <w:rFonts w:ascii="Verdana" w:eastAsia="Verdana" w:hAnsi="Verdana" w:cs="Verdana"/>
          <w:i/>
          <w:color w:val="000000"/>
          <w:sz w:val="22"/>
          <w:szCs w:val="22"/>
        </w:rPr>
        <w:t>Eje 1. Creación y ampliación de empresas.</w:t>
      </w:r>
    </w:p>
    <w:p w:rsidR="001425BF" w:rsidRDefault="001425BF" w:rsidP="001425BF">
      <w:pPr>
        <w:ind w:left="709" w:firstLine="142"/>
        <w:rPr>
          <w:rFonts w:ascii="Verdana" w:eastAsia="Verdana" w:hAnsi="Verdana" w:cs="Verdana"/>
          <w:b/>
          <w:color w:val="000000"/>
          <w:sz w:val="22"/>
          <w:szCs w:val="22"/>
        </w:rPr>
      </w:pPr>
    </w:p>
    <w:p w:rsidR="001425BF" w:rsidRPr="00D44224" w:rsidRDefault="001425BF" w:rsidP="001425BF">
      <w:pPr>
        <w:pBdr>
          <w:top w:val="nil"/>
          <w:left w:val="nil"/>
          <w:bottom w:val="nil"/>
          <w:right w:val="nil"/>
          <w:between w:val="nil"/>
        </w:pBdr>
        <w:ind w:left="709" w:firstLine="142"/>
        <w:jc w:val="both"/>
        <w:rPr>
          <w:rFonts w:ascii="Verdana" w:eastAsia="Verdana" w:hAnsi="Verdana" w:cs="Verdana"/>
          <w:sz w:val="22"/>
          <w:szCs w:val="22"/>
        </w:rPr>
      </w:pPr>
      <w:r>
        <w:rPr>
          <w:rFonts w:ascii="Verdana" w:eastAsia="Verdana" w:hAnsi="Verdana" w:cs="Verdana"/>
          <w:color w:val="000000"/>
          <w:sz w:val="22"/>
          <w:szCs w:val="22"/>
        </w:rPr>
        <w:t xml:space="preserve">Este eje tiene como labor principal asesorar a las PYME en el proceso de abordar un nuevo proyecto donde cabe destacar el análisis de la viabilidad </w:t>
      </w:r>
      <w:r>
        <w:rPr>
          <w:rFonts w:ascii="Verdana" w:eastAsia="Verdana" w:hAnsi="Verdana" w:cs="Verdana"/>
          <w:color w:val="000000"/>
          <w:sz w:val="22"/>
          <w:szCs w:val="22"/>
        </w:rPr>
        <w:lastRenderedPageBreak/>
        <w:t xml:space="preserve">técnica, económica y </w:t>
      </w:r>
      <w:r w:rsidRPr="00D44224">
        <w:rPr>
          <w:rFonts w:ascii="Verdana" w:eastAsia="Verdana" w:hAnsi="Verdana" w:cs="Verdana"/>
          <w:sz w:val="22"/>
          <w:szCs w:val="22"/>
        </w:rPr>
        <w:t xml:space="preserve">financiera de los proyectos, que hace que los planes de viabilidad del </w:t>
      </w:r>
      <w:r>
        <w:rPr>
          <w:rFonts w:ascii="Verdana" w:eastAsia="Verdana" w:hAnsi="Verdana" w:cs="Verdana"/>
          <w:sz w:val="22"/>
          <w:szCs w:val="22"/>
        </w:rPr>
        <w:t>ARIES</w:t>
      </w:r>
      <w:r w:rsidRPr="00D44224">
        <w:rPr>
          <w:rFonts w:ascii="Verdana" w:eastAsia="Verdana" w:hAnsi="Verdana" w:cs="Verdana"/>
          <w:sz w:val="22"/>
          <w:szCs w:val="22"/>
        </w:rPr>
        <w:t xml:space="preserve"> sean aceptados (y exigidos en algunos casos) por las principales líneas de ayuda y entidades financieras para la valoración de los proyectos. </w:t>
      </w:r>
    </w:p>
    <w:p w:rsidR="001425BF" w:rsidRPr="00D44224"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D44224">
        <w:rPr>
          <w:rFonts w:ascii="Verdana" w:eastAsia="Verdana" w:hAnsi="Verdana" w:cs="Verdana"/>
          <w:sz w:val="22"/>
          <w:szCs w:val="22"/>
        </w:rPr>
        <w:t>El estudio de viabilidad recogerá los tres apartados (técnico, económico y financiero). Se entregará en formato digital y se explicará de forma didáctica utilizando las nuevas tecnologías.</w:t>
      </w:r>
    </w:p>
    <w:p w:rsidR="001425BF" w:rsidRPr="00D44224"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D44224"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D44224">
        <w:rPr>
          <w:rFonts w:ascii="Verdana" w:eastAsia="Verdana" w:hAnsi="Verdana" w:cs="Verdana"/>
          <w:sz w:val="22"/>
          <w:szCs w:val="22"/>
        </w:rPr>
        <w:t xml:space="preserve">El plan de viabilidad </w:t>
      </w:r>
      <w:r>
        <w:rPr>
          <w:rFonts w:ascii="Verdana" w:eastAsia="Verdana" w:hAnsi="Verdana" w:cs="Verdana"/>
          <w:sz w:val="22"/>
          <w:szCs w:val="22"/>
        </w:rPr>
        <w:t>ARIES</w:t>
      </w:r>
      <w:r w:rsidRPr="00D44224">
        <w:rPr>
          <w:rFonts w:ascii="Verdana" w:eastAsia="Verdana" w:hAnsi="Verdana" w:cs="Verdana"/>
          <w:sz w:val="22"/>
          <w:szCs w:val="22"/>
        </w:rPr>
        <w:t>, contendrá como mínimo los siguientes apartados:</w:t>
      </w:r>
    </w:p>
    <w:p w:rsidR="001425BF" w:rsidRPr="00D44224"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Descripción del proyecto empresarial</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Inversión</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 xml:space="preserve">Financiación y amortización </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Balance Inicial</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Gastos Fijos</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 xml:space="preserve">Márgenes de Beneficio </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Umbral de Rentabilidad</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Previsión de Tesorería</w:t>
      </w:r>
    </w:p>
    <w:p w:rsidR="001425BF" w:rsidRPr="00D44224" w:rsidRDefault="001425BF" w:rsidP="001425BF">
      <w:pPr>
        <w:numPr>
          <w:ilvl w:val="0"/>
          <w:numId w:val="10"/>
        </w:numPr>
        <w:ind w:firstLine="1077"/>
        <w:rPr>
          <w:rFonts w:ascii="Verdana" w:hAnsi="Verdana" w:cs="Tahoma"/>
          <w:sz w:val="22"/>
          <w:szCs w:val="22"/>
        </w:rPr>
      </w:pPr>
      <w:r w:rsidRPr="00D44224">
        <w:rPr>
          <w:rFonts w:ascii="Verdana" w:hAnsi="Verdana" w:cs="Tahoma"/>
          <w:sz w:val="22"/>
          <w:szCs w:val="22"/>
        </w:rPr>
        <w:t>Previsión del Resultado</w:t>
      </w:r>
    </w:p>
    <w:p w:rsidR="001425BF" w:rsidRPr="00D44224" w:rsidRDefault="001425BF" w:rsidP="001425BF">
      <w:pPr>
        <w:numPr>
          <w:ilvl w:val="0"/>
          <w:numId w:val="10"/>
        </w:numPr>
        <w:tabs>
          <w:tab w:val="left" w:pos="2160"/>
        </w:tabs>
        <w:ind w:firstLine="1077"/>
        <w:rPr>
          <w:rFonts w:ascii="Verdana" w:hAnsi="Verdana" w:cs="Tahoma"/>
          <w:sz w:val="22"/>
          <w:szCs w:val="22"/>
        </w:rPr>
      </w:pPr>
      <w:r w:rsidRPr="00D44224">
        <w:rPr>
          <w:rFonts w:ascii="Verdana" w:hAnsi="Verdana" w:cs="Tahoma"/>
          <w:sz w:val="22"/>
          <w:szCs w:val="22"/>
        </w:rPr>
        <w:t xml:space="preserve"> Conclusiones</w:t>
      </w:r>
    </w:p>
    <w:p w:rsidR="001425BF" w:rsidRPr="00D44224" w:rsidRDefault="001425BF" w:rsidP="001425BF">
      <w:pPr>
        <w:tabs>
          <w:tab w:val="left" w:pos="2160"/>
        </w:tabs>
        <w:ind w:left="1437"/>
        <w:rPr>
          <w:rFonts w:ascii="Verdana" w:hAnsi="Verdana" w:cs="Tahoma"/>
          <w:sz w:val="22"/>
          <w:szCs w:val="22"/>
        </w:rPr>
      </w:pPr>
    </w:p>
    <w:p w:rsidR="001425BF" w:rsidRPr="00D44224"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D44224">
        <w:rPr>
          <w:rFonts w:ascii="Verdana" w:eastAsia="Verdana" w:hAnsi="Verdana" w:cs="Verdana"/>
          <w:sz w:val="22"/>
          <w:szCs w:val="22"/>
        </w:rPr>
        <w:t xml:space="preserve">Realizar el plan de viabilidad </w:t>
      </w:r>
      <w:r>
        <w:rPr>
          <w:rFonts w:ascii="Verdana" w:eastAsia="Verdana" w:hAnsi="Verdana" w:cs="Verdana"/>
          <w:sz w:val="22"/>
          <w:szCs w:val="22"/>
        </w:rPr>
        <w:t>ARIES</w:t>
      </w:r>
      <w:r w:rsidRPr="00D44224">
        <w:rPr>
          <w:rFonts w:ascii="Verdana" w:eastAsia="Verdana" w:hAnsi="Verdana" w:cs="Verdana"/>
          <w:sz w:val="22"/>
          <w:szCs w:val="22"/>
        </w:rPr>
        <w:t xml:space="preserve"> ayuda al empresario a conocer a fondo su proyecto y es una herramienta para que la iniciativa empresarial comience más fuerte y obtenga financiación. Sin embargo, este programa pretende ir un paso más allá, y ofrecer </w:t>
      </w:r>
      <w:r>
        <w:rPr>
          <w:rFonts w:ascii="Verdana" w:eastAsia="Verdana" w:hAnsi="Verdana" w:cs="Verdana"/>
          <w:sz w:val="22"/>
          <w:szCs w:val="22"/>
        </w:rPr>
        <w:t xml:space="preserve">al empresario la posibilidad </w:t>
      </w:r>
      <w:r w:rsidRPr="00D44224">
        <w:rPr>
          <w:rFonts w:ascii="Verdana" w:eastAsia="Verdana" w:hAnsi="Verdana" w:cs="Verdana"/>
          <w:sz w:val="22"/>
          <w:szCs w:val="22"/>
        </w:rPr>
        <w:t xml:space="preserve">(demandada ya por usuarios del </w:t>
      </w:r>
      <w:r>
        <w:rPr>
          <w:rFonts w:ascii="Verdana" w:eastAsia="Verdana" w:hAnsi="Verdana" w:cs="Verdana"/>
          <w:sz w:val="22"/>
          <w:szCs w:val="22"/>
        </w:rPr>
        <w:t>ARIES</w:t>
      </w:r>
      <w:r w:rsidRPr="00D44224">
        <w:rPr>
          <w:rFonts w:ascii="Verdana" w:eastAsia="Verdana" w:hAnsi="Verdana" w:cs="Verdana"/>
          <w:sz w:val="22"/>
          <w:szCs w:val="22"/>
        </w:rPr>
        <w:t xml:space="preserve">) de revisar periódicamente dicho plan. </w:t>
      </w: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3A1AFB">
        <w:rPr>
          <w:rFonts w:ascii="Verdana" w:eastAsia="Verdana" w:hAnsi="Verdana" w:cs="Verdana"/>
          <w:sz w:val="22"/>
          <w:szCs w:val="22"/>
        </w:rPr>
        <w:t>Este eje es la puerta de entrada de iniciativas empresariales y una forma más directa de entrar en contacto y apoyar a la vertebración territorial con la consolidación de empresas asentadas en el territorio y de difícil deslocalización.</w:t>
      </w:r>
    </w:p>
    <w:p w:rsidR="001425BF" w:rsidRPr="003A1AFB" w:rsidRDefault="001425BF" w:rsidP="001425BF">
      <w:pPr>
        <w:ind w:left="709" w:firstLine="142"/>
        <w:jc w:val="both"/>
        <w:rPr>
          <w:rFonts w:ascii="Verdana" w:eastAsia="Verdana" w:hAnsi="Verdana" w:cs="Verdana"/>
          <w:sz w:val="22"/>
          <w:szCs w:val="22"/>
        </w:rPr>
      </w:pPr>
    </w:p>
    <w:p w:rsidR="001425BF" w:rsidRPr="003A1AFB" w:rsidRDefault="001425BF" w:rsidP="001425BF">
      <w:pPr>
        <w:ind w:left="709" w:firstLine="142"/>
        <w:rPr>
          <w:rFonts w:ascii="Verdana" w:eastAsia="Verdana" w:hAnsi="Verdana" w:cs="Verdana"/>
          <w:i/>
          <w:sz w:val="22"/>
          <w:szCs w:val="22"/>
        </w:rPr>
      </w:pPr>
      <w:r w:rsidRPr="003A1AFB">
        <w:rPr>
          <w:rFonts w:ascii="Verdana" w:eastAsia="Verdana" w:hAnsi="Verdana" w:cs="Verdana"/>
          <w:sz w:val="22"/>
          <w:szCs w:val="22"/>
        </w:rPr>
        <w:t xml:space="preserve">· </w:t>
      </w:r>
      <w:r w:rsidRPr="003A1AFB">
        <w:rPr>
          <w:rFonts w:ascii="Verdana" w:eastAsia="Verdana" w:hAnsi="Verdana" w:cs="Verdana"/>
          <w:i/>
          <w:sz w:val="22"/>
          <w:szCs w:val="22"/>
        </w:rPr>
        <w:t>Eje 2: Mejora competitiva</w:t>
      </w:r>
    </w:p>
    <w:p w:rsidR="001425BF" w:rsidRPr="003A1AFB" w:rsidRDefault="001425BF" w:rsidP="001425BF">
      <w:pPr>
        <w:ind w:left="709" w:firstLine="142"/>
        <w:jc w:val="both"/>
        <w:rPr>
          <w:rFonts w:ascii="Verdana" w:eastAsia="Verdana" w:hAnsi="Verdana" w:cs="Verdana"/>
          <w:sz w:val="22"/>
          <w:szCs w:val="22"/>
        </w:rPr>
      </w:pP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3A1AFB">
        <w:rPr>
          <w:rFonts w:ascii="Verdana" w:eastAsia="Verdana" w:hAnsi="Verdana" w:cs="Verdana"/>
          <w:sz w:val="22"/>
          <w:szCs w:val="22"/>
        </w:rPr>
        <w:t xml:space="preserve">Este eje pretende apoyar la consolidación y competitividad de las empresas, a través de un mayor acercamiento de éstas a materias como la globalización, el diseño industrial, la I+D y la propiedad industrial, la aplicación de las tecnologías habilitadores fundamentales y de la Industria 4.0, el proceso de transformación digital, los nuevos modelos de negocio y la innovación en general, así como dar a conocer el propio programa </w:t>
      </w:r>
      <w:r>
        <w:rPr>
          <w:rFonts w:ascii="Verdana" w:eastAsia="Verdana" w:hAnsi="Verdana" w:cs="Verdana"/>
          <w:sz w:val="22"/>
          <w:szCs w:val="22"/>
        </w:rPr>
        <w:t>ARIES</w:t>
      </w:r>
      <w:r w:rsidRPr="003A1AFB">
        <w:rPr>
          <w:rFonts w:ascii="Verdana" w:eastAsia="Verdana" w:hAnsi="Verdana" w:cs="Verdana"/>
          <w:sz w:val="22"/>
          <w:szCs w:val="22"/>
        </w:rPr>
        <w:t xml:space="preserve"> a las PYME.</w:t>
      </w: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3A1AFB">
        <w:rPr>
          <w:rFonts w:ascii="Verdana" w:eastAsia="Verdana" w:hAnsi="Verdana" w:cs="Verdana"/>
          <w:sz w:val="22"/>
          <w:szCs w:val="22"/>
        </w:rPr>
        <w:t>Para el impulso de los objetivos enumerados se podrán ofrecer a las PYME servicios avanzados y tecnologías de la Industria 4.0</w:t>
      </w:r>
      <w:r>
        <w:rPr>
          <w:rFonts w:ascii="Verdana" w:eastAsia="Verdana" w:hAnsi="Verdana" w:cs="Verdana"/>
          <w:sz w:val="22"/>
          <w:szCs w:val="22"/>
        </w:rPr>
        <w:t>,</w:t>
      </w:r>
      <w:r w:rsidRPr="003A1AFB">
        <w:rPr>
          <w:rFonts w:ascii="Verdana" w:eastAsia="Verdana" w:hAnsi="Verdana" w:cs="Verdana"/>
          <w:sz w:val="22"/>
          <w:szCs w:val="22"/>
        </w:rPr>
        <w:t xml:space="preserve"> acciones de apoyo en asesoramiento y consultoría en formatos individuales y grupales sobre mejoras en los procesos industriales como Lean </w:t>
      </w:r>
      <w:proofErr w:type="spellStart"/>
      <w:r w:rsidRPr="003A1AFB">
        <w:rPr>
          <w:rFonts w:ascii="Verdana" w:eastAsia="Verdana" w:hAnsi="Verdana" w:cs="Verdana"/>
          <w:sz w:val="22"/>
          <w:szCs w:val="22"/>
        </w:rPr>
        <w:t>manufacturing</w:t>
      </w:r>
      <w:proofErr w:type="spellEnd"/>
      <w:r w:rsidRPr="003A1AFB">
        <w:rPr>
          <w:rFonts w:ascii="Verdana" w:eastAsia="Verdana" w:hAnsi="Verdana" w:cs="Verdana"/>
          <w:sz w:val="22"/>
          <w:szCs w:val="22"/>
        </w:rPr>
        <w:t xml:space="preserve">, Business </w:t>
      </w:r>
      <w:proofErr w:type="spellStart"/>
      <w:r w:rsidRPr="003A1AFB">
        <w:rPr>
          <w:rFonts w:ascii="Verdana" w:eastAsia="Verdana" w:hAnsi="Verdana" w:cs="Verdana"/>
          <w:sz w:val="22"/>
          <w:szCs w:val="22"/>
        </w:rPr>
        <w:t>Intelligence</w:t>
      </w:r>
      <w:proofErr w:type="spellEnd"/>
      <w:r w:rsidRPr="003A1AFB">
        <w:rPr>
          <w:rFonts w:ascii="Verdana" w:eastAsia="Verdana" w:hAnsi="Verdana" w:cs="Verdana"/>
          <w:sz w:val="22"/>
          <w:szCs w:val="22"/>
        </w:rPr>
        <w:t xml:space="preserve">, </w:t>
      </w:r>
      <w:proofErr w:type="spellStart"/>
      <w:r w:rsidRPr="003A1AFB">
        <w:rPr>
          <w:rFonts w:ascii="Verdana" w:eastAsia="Verdana" w:hAnsi="Verdana" w:cs="Verdana"/>
          <w:sz w:val="22"/>
          <w:szCs w:val="22"/>
        </w:rPr>
        <w:t>Design</w:t>
      </w:r>
      <w:proofErr w:type="spellEnd"/>
      <w:r w:rsidRPr="003A1AFB">
        <w:rPr>
          <w:rFonts w:ascii="Verdana" w:eastAsia="Verdana" w:hAnsi="Verdana" w:cs="Verdana"/>
          <w:sz w:val="22"/>
          <w:szCs w:val="22"/>
        </w:rPr>
        <w:t xml:space="preserve"> </w:t>
      </w:r>
      <w:proofErr w:type="spellStart"/>
      <w:r w:rsidRPr="003A1AFB">
        <w:rPr>
          <w:rFonts w:ascii="Verdana" w:eastAsia="Verdana" w:hAnsi="Verdana" w:cs="Verdana"/>
          <w:sz w:val="22"/>
          <w:szCs w:val="22"/>
        </w:rPr>
        <w:t>Thinking</w:t>
      </w:r>
      <w:proofErr w:type="spellEnd"/>
      <w:r w:rsidRPr="003A1AFB">
        <w:rPr>
          <w:rFonts w:ascii="Verdana" w:eastAsia="Verdana" w:hAnsi="Verdana" w:cs="Verdana"/>
          <w:sz w:val="22"/>
          <w:szCs w:val="22"/>
        </w:rPr>
        <w:t>, Big Data, Internet de las cosas, etc.</w:t>
      </w: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3A1AFB">
        <w:rPr>
          <w:rFonts w:ascii="Verdana" w:eastAsia="Verdana" w:hAnsi="Verdana" w:cs="Verdana"/>
          <w:sz w:val="22"/>
          <w:szCs w:val="22"/>
        </w:rPr>
        <w:t xml:space="preserve">De igual modo se podrán incluir acciones de autodiagnóstico, asesoramiento, </w:t>
      </w:r>
      <w:proofErr w:type="spellStart"/>
      <w:r w:rsidRPr="003A1AFB">
        <w:rPr>
          <w:rFonts w:ascii="Verdana" w:eastAsia="Verdana" w:hAnsi="Verdana" w:cs="Verdana"/>
          <w:sz w:val="22"/>
          <w:szCs w:val="22"/>
        </w:rPr>
        <w:t>networking</w:t>
      </w:r>
      <w:proofErr w:type="spellEnd"/>
      <w:r w:rsidRPr="003A1AFB">
        <w:rPr>
          <w:rFonts w:ascii="Verdana" w:eastAsia="Verdana" w:hAnsi="Verdana" w:cs="Verdana"/>
          <w:sz w:val="22"/>
          <w:szCs w:val="22"/>
        </w:rPr>
        <w:t xml:space="preserve"> y consultoría grupal e individual en materia de sostenibilidad en la industria y servicios conexos.</w:t>
      </w: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B401B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3A1AFB">
        <w:rPr>
          <w:rFonts w:ascii="Verdana" w:eastAsia="Verdana" w:hAnsi="Verdana" w:cs="Verdana"/>
          <w:sz w:val="22"/>
          <w:szCs w:val="22"/>
        </w:rPr>
        <w:t xml:space="preserve">El </w:t>
      </w:r>
      <w:r w:rsidRPr="003A1AFB">
        <w:rPr>
          <w:rFonts w:ascii="Verdana" w:eastAsia="Verdana" w:hAnsi="Verdana" w:cs="Verdana"/>
          <w:i/>
          <w:iCs/>
          <w:sz w:val="22"/>
          <w:szCs w:val="22"/>
        </w:rPr>
        <w:t>Diagnóstico sobre sostenibilidad</w:t>
      </w:r>
      <w:r w:rsidRPr="003A1AFB">
        <w:rPr>
          <w:rFonts w:ascii="Verdana" w:eastAsia="Verdana" w:hAnsi="Verdana" w:cs="Verdana"/>
          <w:sz w:val="22"/>
          <w:szCs w:val="22"/>
        </w:rPr>
        <w:t xml:space="preserve"> propondrá mejoras a través de la proposición de buenas prácticas a implementar en la empresa, para reducción de huella de carbono, gestión de residuos, eficiencia energética, RSC, movilidad </w:t>
      </w:r>
      <w:r w:rsidRPr="00B401BB">
        <w:rPr>
          <w:rFonts w:ascii="Verdana" w:eastAsia="Verdana" w:hAnsi="Verdana" w:cs="Verdana"/>
          <w:sz w:val="22"/>
          <w:szCs w:val="22"/>
        </w:rPr>
        <w:t>sostenible, transición verde, etc.</w:t>
      </w: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3A1AFB">
        <w:rPr>
          <w:rFonts w:ascii="Verdana" w:eastAsia="Verdana" w:hAnsi="Verdana" w:cs="Verdana"/>
          <w:sz w:val="22"/>
          <w:szCs w:val="22"/>
        </w:rPr>
        <w:t>También se incluye en este eje el Informe de Competitividad HADA a partir del acompañamiento para la elaboración de in</w:t>
      </w:r>
      <w:r>
        <w:rPr>
          <w:rFonts w:ascii="Verdana" w:eastAsia="Verdana" w:hAnsi="Verdana" w:cs="Verdana"/>
          <w:sz w:val="22"/>
          <w:szCs w:val="22"/>
        </w:rPr>
        <w:t>formes de autodiagnóstico HADA.</w:t>
      </w:r>
    </w:p>
    <w:p w:rsidR="001425BF" w:rsidRPr="003A1AF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290D6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290D6B">
        <w:rPr>
          <w:rFonts w:ascii="Verdana" w:eastAsia="Verdana" w:hAnsi="Verdana" w:cs="Verdana"/>
          <w:sz w:val="22"/>
          <w:szCs w:val="22"/>
        </w:rPr>
        <w:t>Este eje permite, como objetivo añadido, un mayor contacto y fidelización de empresas con el programa.</w:t>
      </w:r>
    </w:p>
    <w:p w:rsidR="001425BF" w:rsidRPr="00290D6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290D6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290D6B">
        <w:rPr>
          <w:rFonts w:ascii="Verdana" w:eastAsia="Verdana" w:hAnsi="Verdana" w:cs="Verdana"/>
          <w:sz w:val="22"/>
          <w:szCs w:val="22"/>
        </w:rPr>
        <w:t>Se indican a continuación una descripción de los diferentes asesoramientos:</w:t>
      </w:r>
    </w:p>
    <w:p w:rsidR="001425BF" w:rsidRPr="00290D6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290D6B" w:rsidRDefault="001425BF" w:rsidP="001425BF">
      <w:pPr>
        <w:pStyle w:val="Textoindependiente"/>
        <w:numPr>
          <w:ilvl w:val="0"/>
          <w:numId w:val="12"/>
        </w:numPr>
        <w:spacing w:line="360" w:lineRule="auto"/>
        <w:ind w:hanging="719"/>
        <w:rPr>
          <w:rFonts w:ascii="Verdana" w:hAnsi="Verdana" w:cs="Arial"/>
          <w:b w:val="0"/>
          <w:szCs w:val="22"/>
        </w:rPr>
      </w:pPr>
      <w:r w:rsidRPr="00290D6B">
        <w:rPr>
          <w:rFonts w:ascii="Verdana" w:hAnsi="Verdana" w:cs="Arial"/>
          <w:b w:val="0"/>
          <w:szCs w:val="22"/>
        </w:rPr>
        <w:t>Informe de mejora competitiva centrado en el Autodiagnóstico HADA</w:t>
      </w:r>
      <w:r>
        <w:rPr>
          <w:rFonts w:ascii="Verdana" w:hAnsi="Verdana" w:cs="Arial"/>
          <w:b w:val="0"/>
          <w:szCs w:val="22"/>
        </w:rPr>
        <w:t xml:space="preserve"> (Herramienta de Autodiagnóstico Digital Avanzada)</w:t>
      </w:r>
      <w:r w:rsidRPr="00290D6B">
        <w:rPr>
          <w:rFonts w:ascii="Verdana" w:hAnsi="Verdana" w:cs="Arial"/>
          <w:b w:val="0"/>
          <w:szCs w:val="22"/>
        </w:rPr>
        <w:t>:</w:t>
      </w:r>
    </w:p>
    <w:p w:rsidR="001425BF" w:rsidRPr="00290D6B" w:rsidRDefault="001425BF" w:rsidP="001425BF">
      <w:pPr>
        <w:pStyle w:val="Textoindependiente"/>
        <w:numPr>
          <w:ilvl w:val="0"/>
          <w:numId w:val="11"/>
        </w:numPr>
        <w:tabs>
          <w:tab w:val="clear" w:pos="1428"/>
          <w:tab w:val="num" w:pos="900"/>
        </w:tabs>
        <w:ind w:hanging="708"/>
        <w:rPr>
          <w:rFonts w:ascii="Verdana" w:hAnsi="Verdana" w:cs="Arial"/>
          <w:b w:val="0"/>
          <w:szCs w:val="22"/>
        </w:rPr>
      </w:pPr>
      <w:r w:rsidRPr="00290D6B">
        <w:rPr>
          <w:rFonts w:ascii="Verdana" w:hAnsi="Verdana" w:cs="Arial"/>
          <w:b w:val="0"/>
          <w:szCs w:val="22"/>
        </w:rPr>
        <w:t>Introducción.</w:t>
      </w:r>
    </w:p>
    <w:p w:rsidR="001425BF" w:rsidRPr="00290D6B" w:rsidRDefault="001425BF" w:rsidP="001425BF">
      <w:pPr>
        <w:pStyle w:val="Textoindependiente"/>
        <w:numPr>
          <w:ilvl w:val="0"/>
          <w:numId w:val="11"/>
        </w:numPr>
        <w:tabs>
          <w:tab w:val="clear" w:pos="1428"/>
          <w:tab w:val="num" w:pos="900"/>
        </w:tabs>
        <w:ind w:hanging="708"/>
        <w:rPr>
          <w:rFonts w:ascii="Verdana" w:hAnsi="Verdana" w:cs="Arial"/>
          <w:b w:val="0"/>
          <w:szCs w:val="22"/>
        </w:rPr>
      </w:pPr>
      <w:r w:rsidRPr="00290D6B">
        <w:rPr>
          <w:rFonts w:ascii="Verdana" w:hAnsi="Verdana" w:cs="Arial"/>
          <w:b w:val="0"/>
          <w:szCs w:val="22"/>
        </w:rPr>
        <w:t xml:space="preserve">Presentación de la empresa. </w:t>
      </w:r>
    </w:p>
    <w:p w:rsidR="001425BF" w:rsidRPr="00290D6B" w:rsidRDefault="001425BF" w:rsidP="001425BF">
      <w:pPr>
        <w:pStyle w:val="Textoindependiente"/>
        <w:numPr>
          <w:ilvl w:val="0"/>
          <w:numId w:val="11"/>
        </w:numPr>
        <w:tabs>
          <w:tab w:val="clear" w:pos="1428"/>
          <w:tab w:val="num" w:pos="900"/>
        </w:tabs>
        <w:ind w:hanging="708"/>
        <w:rPr>
          <w:rFonts w:ascii="Verdana" w:hAnsi="Verdana" w:cs="Arial"/>
          <w:b w:val="0"/>
          <w:szCs w:val="22"/>
        </w:rPr>
      </w:pPr>
      <w:r w:rsidRPr="00290D6B">
        <w:rPr>
          <w:rFonts w:ascii="Verdana" w:hAnsi="Verdana" w:cs="Arial"/>
          <w:b w:val="0"/>
          <w:szCs w:val="22"/>
        </w:rPr>
        <w:t>Análisis externo. Madurez de la empresa en la Industria 4.0.</w:t>
      </w:r>
    </w:p>
    <w:p w:rsidR="001425BF" w:rsidRPr="00290D6B" w:rsidRDefault="001425BF" w:rsidP="001425BF">
      <w:pPr>
        <w:pStyle w:val="Textoindependiente"/>
        <w:ind w:left="720" w:firstLine="180"/>
        <w:rPr>
          <w:rFonts w:ascii="Verdana" w:hAnsi="Verdana" w:cs="Arial"/>
          <w:b w:val="0"/>
          <w:szCs w:val="22"/>
        </w:rPr>
      </w:pPr>
      <w:r w:rsidRPr="00290D6B">
        <w:rPr>
          <w:rFonts w:ascii="Verdana" w:hAnsi="Verdana" w:cs="Arial"/>
          <w:b w:val="0"/>
          <w:szCs w:val="22"/>
        </w:rPr>
        <w:t>Evaluar el nivel de madurez de la empresa en relación con la Industria 4.0. La aplicación HADA, desarrollada por el Ministerio, está pensada para conocer su situación comparativa respecto a otras organizaciones con diferentes niveles de madurez, recursos y actividad.</w:t>
      </w:r>
    </w:p>
    <w:p w:rsidR="001425BF" w:rsidRPr="00290D6B" w:rsidRDefault="001425BF" w:rsidP="001425BF">
      <w:pPr>
        <w:pStyle w:val="Textoindependiente"/>
        <w:numPr>
          <w:ilvl w:val="0"/>
          <w:numId w:val="11"/>
        </w:numPr>
        <w:tabs>
          <w:tab w:val="clear" w:pos="1428"/>
          <w:tab w:val="num" w:pos="900"/>
        </w:tabs>
        <w:ind w:hanging="708"/>
        <w:rPr>
          <w:rFonts w:ascii="Verdana" w:hAnsi="Verdana" w:cs="Arial"/>
          <w:b w:val="0"/>
          <w:szCs w:val="22"/>
        </w:rPr>
      </w:pPr>
      <w:r w:rsidRPr="00290D6B">
        <w:rPr>
          <w:rFonts w:ascii="Verdana" w:hAnsi="Verdana" w:cs="Arial"/>
          <w:b w:val="0"/>
          <w:szCs w:val="22"/>
        </w:rPr>
        <w:t>Buenas prácticas.</w:t>
      </w:r>
    </w:p>
    <w:p w:rsidR="001425BF" w:rsidRPr="00290D6B" w:rsidRDefault="001425BF" w:rsidP="001425BF">
      <w:pPr>
        <w:pStyle w:val="Textoindependiente"/>
        <w:ind w:left="720" w:firstLine="180"/>
        <w:rPr>
          <w:rFonts w:ascii="Verdana" w:hAnsi="Verdana" w:cs="Arial"/>
          <w:b w:val="0"/>
          <w:szCs w:val="22"/>
        </w:rPr>
      </w:pPr>
      <w:r w:rsidRPr="00290D6B">
        <w:rPr>
          <w:rFonts w:ascii="Verdana" w:hAnsi="Verdana" w:cs="Arial"/>
          <w:b w:val="0"/>
          <w:szCs w:val="22"/>
        </w:rPr>
        <w:t>Una vez identificada la situación de la empresa y las conclusiones e informe resultantes de la herramienta HADA se reflejarán una serie de buenas prácticas en las distintas áreas en que por su actividad o por lo reflejado en el informe HADA pueda ser recomendable que la empresa se plantee avanzar o mejorar.</w:t>
      </w:r>
    </w:p>
    <w:p w:rsidR="001425BF" w:rsidRPr="00290D6B" w:rsidRDefault="001425BF" w:rsidP="001425BF">
      <w:pPr>
        <w:pStyle w:val="Textoindependiente"/>
        <w:numPr>
          <w:ilvl w:val="0"/>
          <w:numId w:val="11"/>
        </w:numPr>
        <w:tabs>
          <w:tab w:val="clear" w:pos="1428"/>
          <w:tab w:val="num" w:pos="900"/>
        </w:tabs>
        <w:ind w:hanging="708"/>
        <w:rPr>
          <w:rFonts w:ascii="Verdana" w:hAnsi="Verdana" w:cs="Arial"/>
          <w:b w:val="0"/>
          <w:szCs w:val="22"/>
        </w:rPr>
      </w:pPr>
      <w:r w:rsidRPr="00290D6B">
        <w:rPr>
          <w:rFonts w:ascii="Verdana" w:hAnsi="Verdana" w:cs="Arial"/>
          <w:b w:val="0"/>
          <w:szCs w:val="22"/>
        </w:rPr>
        <w:t>Recursos.</w:t>
      </w:r>
    </w:p>
    <w:p w:rsidR="001425BF" w:rsidRPr="00290D6B" w:rsidRDefault="001425BF" w:rsidP="001425BF">
      <w:pPr>
        <w:pBdr>
          <w:top w:val="nil"/>
          <w:left w:val="nil"/>
          <w:bottom w:val="nil"/>
          <w:right w:val="nil"/>
          <w:between w:val="nil"/>
        </w:pBdr>
        <w:ind w:left="709" w:firstLine="142"/>
        <w:jc w:val="both"/>
        <w:rPr>
          <w:rFonts w:ascii="Verdana" w:hAnsi="Verdana" w:cs="Arial"/>
          <w:sz w:val="22"/>
          <w:szCs w:val="22"/>
        </w:rPr>
      </w:pPr>
      <w:r w:rsidRPr="00290D6B">
        <w:rPr>
          <w:rFonts w:ascii="Verdana" w:hAnsi="Verdana" w:cs="Arial"/>
          <w:sz w:val="22"/>
          <w:szCs w:val="22"/>
        </w:rPr>
        <w:t>Difusión a las empresas hacia los recursos y servicios que el Gobierno de Aragón ofrece para la mejora de la competitividad empresarial (formación, recursos técnicos, vías de financiación, programas de cooperación empresarial, servicios de consultoría específica, ferias, etc.).</w:t>
      </w:r>
    </w:p>
    <w:p w:rsidR="001425BF" w:rsidRPr="00EF4EEE" w:rsidRDefault="001425BF" w:rsidP="001425BF">
      <w:pPr>
        <w:pStyle w:val="Textoindependiente"/>
        <w:spacing w:line="360" w:lineRule="auto"/>
        <w:ind w:firstLine="708"/>
        <w:rPr>
          <w:rFonts w:ascii="Verdana" w:hAnsi="Verdana" w:cs="Arial"/>
          <w:b w:val="0"/>
          <w:szCs w:val="22"/>
        </w:rPr>
      </w:pPr>
    </w:p>
    <w:p w:rsidR="001425BF" w:rsidRPr="00EF4EEE" w:rsidRDefault="001425BF" w:rsidP="001425BF">
      <w:pPr>
        <w:pStyle w:val="Textoindependiente"/>
        <w:numPr>
          <w:ilvl w:val="0"/>
          <w:numId w:val="12"/>
        </w:numPr>
        <w:spacing w:line="360" w:lineRule="auto"/>
        <w:ind w:hanging="719"/>
        <w:rPr>
          <w:rFonts w:ascii="Verdana" w:hAnsi="Verdana" w:cs="Arial"/>
          <w:b w:val="0"/>
          <w:bCs/>
          <w:szCs w:val="22"/>
        </w:rPr>
      </w:pPr>
      <w:r>
        <w:rPr>
          <w:rFonts w:ascii="Verdana" w:hAnsi="Verdana" w:cs="Arial"/>
          <w:b w:val="0"/>
          <w:bCs/>
          <w:szCs w:val="22"/>
        </w:rPr>
        <w:t>Diagnóstico</w:t>
      </w:r>
      <w:r w:rsidRPr="00EF4EEE">
        <w:rPr>
          <w:rFonts w:ascii="Verdana" w:hAnsi="Verdana" w:cs="Arial"/>
          <w:b w:val="0"/>
          <w:bCs/>
          <w:szCs w:val="22"/>
        </w:rPr>
        <w:t xml:space="preserve"> de la cadena de valor</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El objetivo general de la actuación es facilitar la definición de un plan de mejora de procesos con fin de optimizar la eficiencia tanto del proceso de producción como de la gestión de estos, así como la satisfacción de sus clientes. </w:t>
      </w:r>
    </w:p>
    <w:p w:rsidR="001425BF" w:rsidRPr="00EF4EEE" w:rsidRDefault="001425BF" w:rsidP="001425BF">
      <w:pPr>
        <w:widowControl w:val="0"/>
        <w:spacing w:before="240"/>
        <w:ind w:left="709"/>
        <w:jc w:val="both"/>
        <w:rPr>
          <w:rFonts w:ascii="Verdana" w:hAnsi="Verdana"/>
          <w:sz w:val="22"/>
          <w:szCs w:val="22"/>
        </w:rPr>
      </w:pPr>
      <w:r w:rsidRPr="00EF4EEE">
        <w:rPr>
          <w:rFonts w:ascii="Verdana" w:hAnsi="Verdana"/>
          <w:sz w:val="22"/>
          <w:szCs w:val="22"/>
        </w:rPr>
        <w:t>Como objetivos específicos se pueden señalar los siguientes:</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-Proporcionar a la dirección una visión global de los flujos de trabajo e información en el proceso definido.</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-Identificar puntos débiles en el flujo de trabajo que impacten en la eficiencia de este y/o en la satisfacción del cliente.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-Plantear acciones de mejora para reducir/eliminar las debilidades identificadas.</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-Definir un </w:t>
      </w:r>
      <w:proofErr w:type="spellStart"/>
      <w:r w:rsidRPr="00EF4EEE">
        <w:rPr>
          <w:rFonts w:ascii="Verdana" w:hAnsi="Verdana"/>
          <w:sz w:val="22"/>
          <w:szCs w:val="22"/>
        </w:rPr>
        <w:t>road</w:t>
      </w:r>
      <w:proofErr w:type="spellEnd"/>
      <w:r w:rsidRPr="00EF4EEE">
        <w:rPr>
          <w:rFonts w:ascii="Verdana" w:hAnsi="Verdana"/>
          <w:sz w:val="22"/>
          <w:szCs w:val="22"/>
        </w:rPr>
        <w:t xml:space="preserve"> </w:t>
      </w:r>
      <w:proofErr w:type="spellStart"/>
      <w:r w:rsidRPr="00EF4EEE">
        <w:rPr>
          <w:rFonts w:ascii="Verdana" w:hAnsi="Verdana"/>
          <w:sz w:val="22"/>
          <w:szCs w:val="22"/>
        </w:rPr>
        <w:t>map</w:t>
      </w:r>
      <w:proofErr w:type="spellEnd"/>
      <w:r>
        <w:rPr>
          <w:rFonts w:ascii="Verdana" w:hAnsi="Verdana"/>
          <w:sz w:val="22"/>
          <w:szCs w:val="22"/>
        </w:rPr>
        <w:t>.</w:t>
      </w:r>
    </w:p>
    <w:p w:rsidR="001425BF" w:rsidRPr="00EF4EEE" w:rsidRDefault="001425BF" w:rsidP="001425BF">
      <w:pPr>
        <w:widowControl w:val="0"/>
        <w:spacing w:before="240"/>
        <w:ind w:left="709"/>
        <w:jc w:val="both"/>
        <w:rPr>
          <w:rFonts w:ascii="Verdana" w:hAnsi="Verdana"/>
          <w:sz w:val="22"/>
          <w:szCs w:val="22"/>
        </w:rPr>
      </w:pPr>
      <w:r w:rsidRPr="00EF4EEE">
        <w:rPr>
          <w:rFonts w:ascii="Verdana" w:hAnsi="Verdana"/>
          <w:sz w:val="22"/>
          <w:szCs w:val="22"/>
        </w:rPr>
        <w:lastRenderedPageBreak/>
        <w:t>El desarrollo de esta acción implicará</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-Reuniones de preparación.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-Diagnóstico y Análisis de la cadena de valor</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-Elaboración del informe</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-Presentación del informe</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Se estima una dedicación de 12 horas por empresa</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pStyle w:val="Textoindependiente"/>
        <w:numPr>
          <w:ilvl w:val="0"/>
          <w:numId w:val="12"/>
        </w:numPr>
        <w:spacing w:line="360" w:lineRule="auto"/>
        <w:ind w:hanging="719"/>
        <w:rPr>
          <w:rFonts w:ascii="Verdana" w:hAnsi="Verdana" w:cs="Arial"/>
          <w:b w:val="0"/>
          <w:szCs w:val="22"/>
        </w:rPr>
      </w:pPr>
      <w:r w:rsidRPr="00EF4EEE">
        <w:rPr>
          <w:rFonts w:ascii="Verdana" w:hAnsi="Verdana" w:cs="Arial"/>
          <w:b w:val="0"/>
          <w:szCs w:val="22"/>
        </w:rPr>
        <w:t>Consultoría de análisis de datos</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 objetivo general de la actuación es alinear los objetivos del negocio con los datos disponibles en la empresa y facilitar la definición de un plan de mejora centrado en el uso y la analítica de datos, con el fin de optimizar la eficiencia tanto del proceso de toma de decisiones como de la gestión de estos.</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Como objetivos específicos se pueden señalar los siguientes:</w:t>
      </w:r>
    </w:p>
    <w:p w:rsidR="001425BF" w:rsidRPr="00EF4EEE" w:rsidRDefault="001425BF" w:rsidP="001425BF">
      <w:pPr>
        <w:widowControl w:val="0"/>
        <w:ind w:left="709"/>
        <w:jc w:val="both"/>
        <w:rPr>
          <w:rFonts w:ascii="Verdana" w:hAnsi="Verdana"/>
          <w:sz w:val="22"/>
          <w:szCs w:val="22"/>
        </w:rPr>
      </w:pPr>
      <w:r>
        <w:rPr>
          <w:rFonts w:ascii="Verdana" w:hAnsi="Verdana"/>
          <w:sz w:val="22"/>
          <w:szCs w:val="22"/>
        </w:rPr>
        <w:t>-</w:t>
      </w:r>
      <w:r w:rsidRPr="00EF4EEE">
        <w:rPr>
          <w:rFonts w:ascii="Verdana" w:hAnsi="Verdana"/>
          <w:sz w:val="22"/>
          <w:szCs w:val="22"/>
        </w:rPr>
        <w:t>Proporcionar a la dirección una visión global de los datos disponibles en la organización.</w:t>
      </w:r>
    </w:p>
    <w:p w:rsidR="001425BF" w:rsidRPr="00EF4EEE" w:rsidRDefault="001425BF" w:rsidP="001425BF">
      <w:pPr>
        <w:widowControl w:val="0"/>
        <w:ind w:left="709"/>
        <w:jc w:val="both"/>
        <w:rPr>
          <w:rFonts w:ascii="Verdana" w:hAnsi="Verdana"/>
          <w:sz w:val="22"/>
          <w:szCs w:val="22"/>
        </w:rPr>
      </w:pPr>
      <w:r>
        <w:rPr>
          <w:rFonts w:ascii="Verdana" w:hAnsi="Verdana"/>
          <w:sz w:val="22"/>
          <w:szCs w:val="22"/>
        </w:rPr>
        <w:t>-</w:t>
      </w:r>
      <w:r w:rsidRPr="00EF4EEE">
        <w:rPr>
          <w:rFonts w:ascii="Verdana" w:hAnsi="Verdana"/>
          <w:sz w:val="22"/>
          <w:szCs w:val="22"/>
        </w:rPr>
        <w:t>Definición de la arquitectura de datos. Conocimiento de las fuentes de datos en el momento del análisis y planificación de la obtención de los datos.</w:t>
      </w:r>
    </w:p>
    <w:p w:rsidR="001425BF" w:rsidRPr="00EF4EEE" w:rsidRDefault="001425BF" w:rsidP="001425BF">
      <w:pPr>
        <w:widowControl w:val="0"/>
        <w:ind w:left="709"/>
        <w:jc w:val="both"/>
        <w:rPr>
          <w:rFonts w:ascii="Verdana" w:hAnsi="Verdana"/>
          <w:sz w:val="22"/>
          <w:szCs w:val="22"/>
        </w:rPr>
      </w:pPr>
      <w:r>
        <w:rPr>
          <w:rFonts w:ascii="Verdana" w:hAnsi="Verdana"/>
          <w:sz w:val="22"/>
          <w:szCs w:val="22"/>
        </w:rPr>
        <w:t>-</w:t>
      </w:r>
      <w:r w:rsidRPr="00EF4EEE">
        <w:rPr>
          <w:rFonts w:ascii="Verdana" w:hAnsi="Verdana"/>
          <w:sz w:val="22"/>
          <w:szCs w:val="22"/>
        </w:rPr>
        <w:t>Diseño de una infraestructura de almacenamiento consolidada que ayude a la empresa a mantener sus datos organizados y accesibles.</w:t>
      </w:r>
    </w:p>
    <w:p w:rsidR="001425BF" w:rsidRPr="00EF4EEE" w:rsidRDefault="001425BF" w:rsidP="001425BF">
      <w:pPr>
        <w:widowControl w:val="0"/>
        <w:ind w:left="709"/>
        <w:jc w:val="both"/>
        <w:rPr>
          <w:rFonts w:ascii="Verdana" w:hAnsi="Verdana"/>
          <w:sz w:val="22"/>
          <w:szCs w:val="22"/>
        </w:rPr>
      </w:pPr>
      <w:r>
        <w:rPr>
          <w:rFonts w:ascii="Verdana" w:hAnsi="Verdana"/>
          <w:sz w:val="22"/>
          <w:szCs w:val="22"/>
        </w:rPr>
        <w:t>-</w:t>
      </w:r>
      <w:r w:rsidRPr="00EF4EEE">
        <w:rPr>
          <w:rFonts w:ascii="Verdana" w:hAnsi="Verdana"/>
          <w:sz w:val="22"/>
          <w:szCs w:val="22"/>
        </w:rPr>
        <w:t>Gobernanza de datos. Definición del personal con acceso a los datos y esquema de permisos asociados, Plan de formación para la capacitación de los trabajadores que hacen uso de los datos</w:t>
      </w:r>
      <w:r>
        <w:rPr>
          <w:rFonts w:ascii="Verdana" w:hAnsi="Verdana"/>
          <w:sz w:val="22"/>
          <w:szCs w:val="22"/>
        </w:rPr>
        <w:t>.</w:t>
      </w:r>
    </w:p>
    <w:p w:rsidR="001425BF" w:rsidRPr="00EF4EEE" w:rsidRDefault="001425BF" w:rsidP="001425BF">
      <w:pPr>
        <w:pStyle w:val="Prrafodelista"/>
        <w:widowControl w:val="0"/>
        <w:ind w:left="709"/>
        <w:jc w:val="both"/>
        <w:rPr>
          <w:rFonts w:ascii="Verdana" w:hAnsi="Verdana"/>
        </w:rPr>
      </w:pP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 desarrollo de esta acción implicará</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-Reuniones de preparación</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-Diagnóstico y Análisis de las B</w:t>
      </w:r>
      <w:r>
        <w:rPr>
          <w:rFonts w:ascii="Verdana" w:hAnsi="Verdana"/>
          <w:sz w:val="22"/>
          <w:szCs w:val="22"/>
        </w:rPr>
        <w:t>ases de Datos.</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-Elaboración del informe</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-Presentación del informe</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Se estima una dedicación de 12 horas por empresa</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pStyle w:val="Textoindependiente"/>
        <w:numPr>
          <w:ilvl w:val="0"/>
          <w:numId w:val="12"/>
        </w:numPr>
        <w:spacing w:line="360" w:lineRule="auto"/>
        <w:ind w:hanging="719"/>
        <w:rPr>
          <w:rFonts w:ascii="Verdana" w:hAnsi="Verdana" w:cs="Arial"/>
          <w:b w:val="0"/>
          <w:szCs w:val="22"/>
        </w:rPr>
      </w:pPr>
      <w:r w:rsidRPr="00EF4EEE">
        <w:rPr>
          <w:rFonts w:ascii="Verdana" w:hAnsi="Verdana" w:cs="Arial"/>
          <w:b w:val="0"/>
          <w:szCs w:val="22"/>
        </w:rPr>
        <w:t>Consultoría de ciberseguridad</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 objetivo general de la consultoría es impulsar medidas de ciberseguridad de la PYME</w:t>
      </w:r>
      <w:r>
        <w:rPr>
          <w:rFonts w:ascii="Verdana" w:hAnsi="Verdana"/>
          <w:sz w:val="22"/>
          <w:szCs w:val="22"/>
        </w:rPr>
        <w:t>.</w:t>
      </w:r>
      <w:r w:rsidRPr="00EF4EEE">
        <w:rPr>
          <w:rFonts w:ascii="Verdana" w:hAnsi="Verdana"/>
          <w:sz w:val="22"/>
          <w:szCs w:val="22"/>
        </w:rPr>
        <w:t xml:space="preserve"> En concreto, se pretende ayudar a analizar sus niveles de ciberseguridad y proporcionar un plan de mejora en dicho ámbito</w:t>
      </w:r>
      <w:r>
        <w:rPr>
          <w:rFonts w:ascii="Verdana" w:hAnsi="Verdana"/>
          <w:sz w:val="22"/>
          <w:szCs w:val="22"/>
        </w:rPr>
        <w:t>.</w:t>
      </w:r>
    </w:p>
    <w:p w:rsidR="001425BF" w:rsidRPr="00EF4EEE" w:rsidRDefault="001425BF" w:rsidP="001425BF">
      <w:pPr>
        <w:shd w:val="clear" w:color="auto" w:fill="FFFFFF"/>
        <w:ind w:left="709"/>
        <w:jc w:val="both"/>
        <w:rPr>
          <w:rFonts w:ascii="Verdana" w:hAnsi="Verdana" w:cs="Open Sans"/>
          <w:color w:val="222222"/>
          <w:sz w:val="22"/>
          <w:szCs w:val="22"/>
        </w:rPr>
      </w:pPr>
      <w:r w:rsidRPr="00EF4EEE">
        <w:rPr>
          <w:rFonts w:ascii="Verdana" w:hAnsi="Verdana" w:cs="Open Sans"/>
          <w:color w:val="222222"/>
          <w:sz w:val="22"/>
          <w:szCs w:val="22"/>
        </w:rPr>
        <w:t>El principal objetivo es que las PYME, ante el aumento de los ciberataques, determinen su nivel de seguridad actual y establezcan el nivel que han de conseguir para proteger sus sistemas y la información corporativos.</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 desarrollo de esta acción implicará</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-Reuniones de preparación</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-Diagnóstico y análisis de sistemas</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-Elaboración del informe</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-Presentación del informe</w:t>
      </w:r>
      <w:r>
        <w:rPr>
          <w:rFonts w:ascii="Verdana" w:hAnsi="Verdana"/>
          <w:sz w:val="22"/>
          <w:szCs w:val="22"/>
        </w:rPr>
        <w:t>.</w:t>
      </w:r>
      <w:r w:rsidRPr="00EF4EEE">
        <w:rPr>
          <w:rFonts w:ascii="Verdana" w:hAnsi="Verdana"/>
          <w:sz w:val="22"/>
          <w:szCs w:val="22"/>
        </w:rPr>
        <w:t xml:space="preserve">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Se estima una dedicación de 12 horas por empresa</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pStyle w:val="Textoindependiente"/>
        <w:numPr>
          <w:ilvl w:val="0"/>
          <w:numId w:val="12"/>
        </w:numPr>
        <w:spacing w:line="360" w:lineRule="auto"/>
        <w:ind w:hanging="719"/>
        <w:rPr>
          <w:rFonts w:ascii="Verdana" w:hAnsi="Verdana" w:cs="Arial"/>
          <w:b w:val="0"/>
          <w:szCs w:val="22"/>
        </w:rPr>
      </w:pPr>
      <w:r w:rsidRPr="00EF4EEE">
        <w:rPr>
          <w:rFonts w:ascii="Verdana" w:hAnsi="Verdana" w:cs="Arial"/>
          <w:b w:val="0"/>
          <w:szCs w:val="22"/>
        </w:rPr>
        <w:t>Consultoría de sostenibilidad</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El objetivo general de la actuación es la revisión de la situación de partida del </w:t>
      </w:r>
      <w:r w:rsidRPr="00EF4EEE">
        <w:rPr>
          <w:rFonts w:ascii="Verdana" w:hAnsi="Verdana"/>
          <w:sz w:val="22"/>
          <w:szCs w:val="22"/>
        </w:rPr>
        <w:lastRenderedPageBreak/>
        <w:t xml:space="preserve">modelo de negocio en materia de alineación con la sostenibilidad y los ODS a través de una herramienta de diagnóstico homologada y desde el cual hacer un </w:t>
      </w:r>
      <w:r w:rsidRPr="00EF4EEE">
        <w:rPr>
          <w:rFonts w:ascii="Verdana" w:hAnsi="Verdana"/>
          <w:bCs/>
          <w:sz w:val="22"/>
          <w:szCs w:val="22"/>
        </w:rPr>
        <w:t>planteamiento práctico y ajustado a la empresa de acciones de mejora.</w:t>
      </w:r>
      <w:r w:rsidRPr="00EF4EEE">
        <w:rPr>
          <w:rFonts w:ascii="Verdana" w:hAnsi="Verdana"/>
          <w:sz w:val="22"/>
          <w:szCs w:val="22"/>
        </w:rPr>
        <w:t xml:space="preserve"> </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Como objetivos específicos se pueden señalar los siguientes:</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-Sensibilizar al tejido empresarial acerca de la sostenibilidad como camino ineludible para las empresas como garantía de su mejora competitiva y perdurabilidad.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-Diagnosticar la situación de partida de la empresa en relación con la sostenibilidad y los ODS, y desde cual hacer la propuesta de mejora.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-Plantear un itinerario de actuación en materia de sostenibilidad a través de la exposición de buenas prácticas comparables, así como de tendencias y nuevas tecnologías en el sector.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-Informar sobre políticas públicas que pudieran ayudar a la empresa en la implementación de este plan de acción.  </w:t>
      </w:r>
    </w:p>
    <w:p w:rsidR="001425BF" w:rsidRPr="00EF4EEE" w:rsidRDefault="001425BF" w:rsidP="001425BF">
      <w:pPr>
        <w:widowControl w:val="0"/>
        <w:spacing w:before="240"/>
        <w:ind w:left="709"/>
        <w:jc w:val="both"/>
        <w:rPr>
          <w:rFonts w:ascii="Verdana" w:hAnsi="Verdana"/>
          <w:sz w:val="22"/>
          <w:szCs w:val="22"/>
        </w:rPr>
      </w:pPr>
      <w:r w:rsidRPr="00EF4EEE">
        <w:rPr>
          <w:rFonts w:ascii="Verdana" w:hAnsi="Verdana"/>
          <w:sz w:val="22"/>
          <w:szCs w:val="22"/>
        </w:rPr>
        <w:t>El desarrollo de esta acción implicará</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-Reuniones de preparación</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-Diagnóstico y análisis de los ODS</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-Elaboración del informe</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-Presentación del informe</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Se estima una dedicación de 12 horas por empresa</w:t>
      </w:r>
      <w:r>
        <w:rPr>
          <w:rFonts w:ascii="Verdana" w:hAnsi="Verdana"/>
          <w:sz w:val="22"/>
          <w:szCs w:val="22"/>
        </w:rPr>
        <w:t>.</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pStyle w:val="Textoindependiente"/>
        <w:numPr>
          <w:ilvl w:val="0"/>
          <w:numId w:val="12"/>
        </w:numPr>
        <w:spacing w:line="360" w:lineRule="auto"/>
        <w:ind w:hanging="719"/>
        <w:rPr>
          <w:rFonts w:ascii="Verdana" w:hAnsi="Verdana" w:cs="Arial"/>
          <w:b w:val="0"/>
          <w:szCs w:val="22"/>
        </w:rPr>
      </w:pPr>
      <w:r w:rsidRPr="00EF4EEE">
        <w:rPr>
          <w:rFonts w:ascii="Verdana" w:hAnsi="Verdana" w:cs="Arial"/>
          <w:b w:val="0"/>
          <w:szCs w:val="22"/>
        </w:rPr>
        <w:t>Consultoría. Sistema de inteligencia competitiva de mercados</w:t>
      </w:r>
    </w:p>
    <w:p w:rsidR="001425BF" w:rsidRPr="00EF4EEE" w:rsidRDefault="001425BF" w:rsidP="001425BF">
      <w:pPr>
        <w:pStyle w:val="NormalWeb"/>
        <w:shd w:val="clear" w:color="auto" w:fill="FFFFFF"/>
        <w:spacing w:before="0" w:beforeAutospacing="0" w:after="0" w:afterAutospacing="0"/>
        <w:ind w:left="709"/>
        <w:jc w:val="both"/>
        <w:rPr>
          <w:rStyle w:val="Textoennegrita"/>
          <w:rFonts w:ascii="Verdana" w:hAnsi="Verdana" w:cs="Arial"/>
          <w:b w:val="0"/>
          <w:bCs w:val="0"/>
          <w:color w:val="000000"/>
          <w:sz w:val="22"/>
          <w:szCs w:val="22"/>
        </w:rPr>
      </w:pPr>
      <w:r w:rsidRPr="00EF4EEE">
        <w:rPr>
          <w:rFonts w:ascii="Verdana" w:hAnsi="Verdana" w:cs="Arial"/>
          <w:sz w:val="22"/>
          <w:szCs w:val="22"/>
        </w:rPr>
        <w:t xml:space="preserve">El objetivo general de la actuación es facilitar la información a través de un </w:t>
      </w:r>
      <w:r w:rsidRPr="00EF4EEE">
        <w:rPr>
          <w:rFonts w:ascii="Verdana" w:hAnsi="Verdana" w:cs="Arial"/>
          <w:color w:val="000000"/>
          <w:sz w:val="22"/>
          <w:szCs w:val="22"/>
        </w:rPr>
        <w:t>sistema propio de inteligencia competitiva monitorizando todos aquellos aspectos clave para un negocio: </w:t>
      </w:r>
      <w:r w:rsidRPr="004B78CB">
        <w:rPr>
          <w:rStyle w:val="Textoennegrita"/>
          <w:rFonts w:ascii="Verdana" w:hAnsi="Verdana" w:cs="Arial"/>
          <w:b w:val="0"/>
          <w:color w:val="000000"/>
          <w:sz w:val="22"/>
          <w:szCs w:val="22"/>
        </w:rPr>
        <w:t>competidores, clientes, mercados, tecnología, productos, proyectos, legislación</w:t>
      </w:r>
      <w:r w:rsidRPr="00EF4EEE">
        <w:rPr>
          <w:rStyle w:val="Textoennegrita"/>
          <w:rFonts w:ascii="Verdana" w:hAnsi="Verdana" w:cs="Arial"/>
          <w:color w:val="000000"/>
          <w:sz w:val="22"/>
          <w:szCs w:val="22"/>
        </w:rPr>
        <w:t>.</w:t>
      </w:r>
    </w:p>
    <w:p w:rsidR="001425BF" w:rsidRPr="00EF4EEE" w:rsidRDefault="001425BF" w:rsidP="001425BF">
      <w:pPr>
        <w:widowControl w:val="0"/>
        <w:spacing w:before="240"/>
        <w:ind w:left="709"/>
        <w:jc w:val="both"/>
        <w:rPr>
          <w:rFonts w:ascii="Verdana" w:hAnsi="Verdana"/>
          <w:sz w:val="22"/>
          <w:szCs w:val="22"/>
        </w:rPr>
      </w:pPr>
      <w:r w:rsidRPr="00EF4EEE">
        <w:rPr>
          <w:rFonts w:ascii="Verdana" w:hAnsi="Verdana"/>
          <w:sz w:val="22"/>
          <w:szCs w:val="22"/>
        </w:rPr>
        <w:t>Como objetivos específicos se pueden señalar los siguientes:</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w:t>
      </w:r>
      <w:r>
        <w:rPr>
          <w:rFonts w:ascii="Verdana" w:hAnsi="Verdana"/>
          <w:sz w:val="22"/>
          <w:szCs w:val="22"/>
        </w:rPr>
        <w:t xml:space="preserve"> </w:t>
      </w:r>
      <w:r w:rsidRPr="00EF4EEE">
        <w:rPr>
          <w:rFonts w:ascii="Verdana" w:hAnsi="Verdana"/>
          <w:sz w:val="22"/>
          <w:szCs w:val="22"/>
        </w:rPr>
        <w:t xml:space="preserve">Proporcionar a la dirección una </w:t>
      </w:r>
      <w:r w:rsidRPr="00EF4EEE">
        <w:rPr>
          <w:rFonts w:ascii="Verdana" w:hAnsi="Verdana"/>
          <w:bCs/>
          <w:sz w:val="22"/>
          <w:szCs w:val="22"/>
        </w:rPr>
        <w:t>visión global</w:t>
      </w:r>
      <w:r>
        <w:rPr>
          <w:rFonts w:ascii="Verdana" w:hAnsi="Verdana"/>
          <w:bCs/>
          <w:sz w:val="22"/>
          <w:szCs w:val="22"/>
        </w:rPr>
        <w:t>.</w:t>
      </w:r>
      <w:r w:rsidRPr="00EF4EEE">
        <w:rPr>
          <w:rFonts w:ascii="Verdana" w:hAnsi="Verdana"/>
          <w:sz w:val="22"/>
          <w:szCs w:val="22"/>
        </w:rPr>
        <w:t xml:space="preserve">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w:t>
      </w:r>
      <w:r>
        <w:rPr>
          <w:rFonts w:ascii="Verdana" w:hAnsi="Verdana"/>
          <w:sz w:val="22"/>
          <w:szCs w:val="22"/>
        </w:rPr>
        <w:t xml:space="preserve"> </w:t>
      </w:r>
      <w:r w:rsidRPr="00EF4EEE">
        <w:rPr>
          <w:rFonts w:ascii="Verdana" w:hAnsi="Verdana"/>
          <w:sz w:val="22"/>
          <w:szCs w:val="22"/>
        </w:rPr>
        <w:t xml:space="preserve">Identificar </w:t>
      </w:r>
      <w:r w:rsidRPr="00EF4EEE">
        <w:rPr>
          <w:rFonts w:ascii="Verdana" w:hAnsi="Verdana"/>
          <w:bCs/>
          <w:sz w:val="22"/>
          <w:szCs w:val="22"/>
        </w:rPr>
        <w:t>puntos fuertes y débiles frente a la competencia</w:t>
      </w:r>
      <w:r>
        <w:rPr>
          <w:rFonts w:ascii="Verdana" w:hAnsi="Verdana"/>
          <w:bCs/>
          <w:sz w:val="22"/>
          <w:szCs w:val="22"/>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w:t>
      </w:r>
      <w:r>
        <w:rPr>
          <w:rFonts w:ascii="Verdana" w:hAnsi="Verdana"/>
          <w:sz w:val="22"/>
          <w:szCs w:val="22"/>
        </w:rPr>
        <w:t xml:space="preserve"> </w:t>
      </w:r>
      <w:r w:rsidRPr="00EF4EEE">
        <w:rPr>
          <w:rFonts w:ascii="Verdana" w:hAnsi="Verdana"/>
          <w:sz w:val="22"/>
          <w:szCs w:val="22"/>
        </w:rPr>
        <w:t>Plantear acciones</w:t>
      </w:r>
      <w:r w:rsidRPr="00EF4EEE">
        <w:rPr>
          <w:rFonts w:ascii="Verdana" w:hAnsi="Verdana"/>
          <w:bCs/>
          <w:sz w:val="22"/>
          <w:szCs w:val="22"/>
        </w:rPr>
        <w:t xml:space="preserve"> de mejora</w:t>
      </w:r>
      <w:r>
        <w:rPr>
          <w:rFonts w:ascii="Verdana" w:hAnsi="Verdana"/>
          <w:bCs/>
          <w:sz w:val="22"/>
          <w:szCs w:val="22"/>
        </w:rPr>
        <w:t>.</w:t>
      </w:r>
      <w:r w:rsidRPr="00EF4EEE">
        <w:rPr>
          <w:rFonts w:ascii="Verdana" w:hAnsi="Verdana"/>
          <w:sz w:val="22"/>
          <w:szCs w:val="22"/>
        </w:rPr>
        <w:t xml:space="preserve">  </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 </w:t>
      </w:r>
      <w:r w:rsidRPr="00EF4EEE">
        <w:rPr>
          <w:rFonts w:ascii="Verdana" w:hAnsi="Verdana"/>
          <w:sz w:val="22"/>
          <w:szCs w:val="22"/>
          <w:lang w:val="es-ES_tradnl"/>
        </w:rPr>
        <w:t>Adelantarse a la competencia generando oportunidades</w:t>
      </w:r>
      <w:r>
        <w:rPr>
          <w:rFonts w:ascii="Verdana" w:hAnsi="Verdana"/>
          <w:sz w:val="22"/>
          <w:szCs w:val="22"/>
          <w:lang w:val="es-ES_tradnl"/>
        </w:rPr>
        <w:t>.</w:t>
      </w:r>
    </w:p>
    <w:p w:rsidR="001425BF" w:rsidRPr="00EF4EEE" w:rsidRDefault="001425BF" w:rsidP="001425BF">
      <w:pPr>
        <w:widowControl w:val="0"/>
        <w:ind w:left="709"/>
        <w:jc w:val="both"/>
        <w:rPr>
          <w:rFonts w:ascii="Verdana" w:hAnsi="Verdana"/>
          <w:sz w:val="22"/>
          <w:szCs w:val="22"/>
          <w:lang w:val="es-ES_tradnl"/>
        </w:rPr>
      </w:pPr>
      <w:r w:rsidRPr="00EF4EEE">
        <w:rPr>
          <w:rFonts w:ascii="Verdana" w:hAnsi="Verdana"/>
          <w:sz w:val="22"/>
          <w:szCs w:val="22"/>
        </w:rPr>
        <w:t xml:space="preserve">- </w:t>
      </w:r>
      <w:r w:rsidRPr="00EF4EEE">
        <w:rPr>
          <w:rFonts w:ascii="Verdana" w:hAnsi="Verdana"/>
          <w:sz w:val="22"/>
          <w:szCs w:val="22"/>
          <w:lang w:val="es-ES_tradnl"/>
        </w:rPr>
        <w:t>Mitigar riesgos en la toma de decisiones</w:t>
      </w:r>
      <w:r>
        <w:rPr>
          <w:rFonts w:ascii="Verdana" w:hAnsi="Verdana"/>
          <w:sz w:val="22"/>
          <w:szCs w:val="22"/>
          <w:lang w:val="es-ES_tradnl"/>
        </w:rPr>
        <w:t>.</w:t>
      </w:r>
    </w:p>
    <w:p w:rsidR="001425BF" w:rsidRPr="00EF4EEE" w:rsidRDefault="001425BF" w:rsidP="001425BF">
      <w:pPr>
        <w:widowControl w:val="0"/>
        <w:ind w:left="709"/>
        <w:jc w:val="both"/>
        <w:rPr>
          <w:rFonts w:ascii="Verdana" w:hAnsi="Verdana"/>
          <w:sz w:val="22"/>
          <w:szCs w:val="22"/>
          <w:lang w:val="es-ES_tradnl"/>
        </w:rPr>
      </w:pPr>
      <w:r w:rsidRPr="00EF4EEE">
        <w:rPr>
          <w:rFonts w:ascii="Verdana" w:hAnsi="Verdana"/>
          <w:sz w:val="22"/>
          <w:szCs w:val="22"/>
          <w:lang w:val="es-ES_tradnl"/>
        </w:rPr>
        <w:t>- Impulsar la prospección de negocio</w:t>
      </w:r>
      <w:r>
        <w:rPr>
          <w:rFonts w:ascii="Verdana" w:hAnsi="Verdana"/>
          <w:sz w:val="22"/>
          <w:szCs w:val="22"/>
          <w:lang w:val="es-ES_tradnl"/>
        </w:rPr>
        <w:t>.</w:t>
      </w: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lang w:val="es-ES_tradnl"/>
        </w:rPr>
        <w:t>- Anticipar cambios sobre los movimientos del mercado</w:t>
      </w:r>
      <w:r>
        <w:rPr>
          <w:rFonts w:ascii="Verdana" w:hAnsi="Verdana"/>
          <w:sz w:val="22"/>
          <w:szCs w:val="22"/>
          <w:lang w:val="es-ES_tradnl"/>
        </w:rPr>
        <w:t>.</w:t>
      </w:r>
    </w:p>
    <w:p w:rsidR="001425BF" w:rsidRPr="00EF4EEE" w:rsidRDefault="001425BF" w:rsidP="001425BF">
      <w:pPr>
        <w:widowControl w:val="0"/>
        <w:shd w:val="clear" w:color="auto" w:fill="FFFFFF" w:themeFill="background1"/>
        <w:spacing w:before="240"/>
        <w:ind w:left="709"/>
        <w:jc w:val="both"/>
        <w:rPr>
          <w:rFonts w:ascii="Verdana" w:hAnsi="Verdana" w:cs="Arial"/>
          <w:sz w:val="22"/>
          <w:szCs w:val="22"/>
        </w:rPr>
      </w:pPr>
      <w:r w:rsidRPr="00EF4EEE">
        <w:rPr>
          <w:rFonts w:ascii="Verdana" w:hAnsi="Verdana"/>
          <w:bCs/>
          <w:sz w:val="22"/>
          <w:szCs w:val="22"/>
        </w:rPr>
        <w:t>El sistema deberá generar informes a partir de la integración de</w:t>
      </w:r>
      <w:r w:rsidRPr="00EF4EEE">
        <w:rPr>
          <w:rFonts w:ascii="Verdana" w:hAnsi="Verdana"/>
          <w:sz w:val="22"/>
          <w:szCs w:val="22"/>
        </w:rPr>
        <w:t xml:space="preserve"> </w:t>
      </w:r>
      <w:r w:rsidRPr="004B78CB">
        <w:rPr>
          <w:rStyle w:val="Textoennegrita"/>
          <w:rFonts w:ascii="Verdana" w:hAnsi="Verdana" w:cs="Arial"/>
          <w:b w:val="0"/>
          <w:sz w:val="22"/>
          <w:szCs w:val="22"/>
        </w:rPr>
        <w:t>numerosas fuentes de datos</w:t>
      </w:r>
      <w:r w:rsidRPr="00EF4EEE">
        <w:rPr>
          <w:rFonts w:ascii="Verdana" w:hAnsi="Verdana" w:cs="Arial"/>
          <w:sz w:val="22"/>
          <w:szCs w:val="22"/>
        </w:rPr>
        <w:t>,</w:t>
      </w:r>
      <w:r w:rsidRPr="00EF4EEE">
        <w:rPr>
          <w:rFonts w:ascii="Verdana" w:hAnsi="Verdana" w:cs="Arial"/>
          <w:bCs/>
          <w:sz w:val="22"/>
          <w:szCs w:val="22"/>
        </w:rPr>
        <w:t xml:space="preserve"> </w:t>
      </w:r>
      <w:r w:rsidRPr="00EF4EEE">
        <w:rPr>
          <w:rFonts w:ascii="Verdana" w:hAnsi="Verdana" w:cs="Arial"/>
          <w:sz w:val="22"/>
          <w:szCs w:val="22"/>
        </w:rPr>
        <w:t>siempre seleccionadas específicamente para la empresa usuaria.</w:t>
      </w:r>
    </w:p>
    <w:p w:rsidR="001425BF" w:rsidRPr="00EF4EEE" w:rsidRDefault="001425BF" w:rsidP="001425BF">
      <w:pPr>
        <w:widowControl w:val="0"/>
        <w:shd w:val="clear" w:color="auto" w:fill="FFFFFF" w:themeFill="background1"/>
        <w:ind w:left="709"/>
        <w:jc w:val="both"/>
        <w:rPr>
          <w:rFonts w:ascii="Verdana" w:hAnsi="Verdana"/>
          <w:sz w:val="22"/>
          <w:szCs w:val="22"/>
        </w:rPr>
      </w:pPr>
    </w:p>
    <w:p w:rsidR="001425BF" w:rsidRPr="00EF4EEE" w:rsidRDefault="001425BF" w:rsidP="001425BF">
      <w:pPr>
        <w:widowControl w:val="0"/>
        <w:shd w:val="clear" w:color="auto" w:fill="FFFFFF" w:themeFill="background1"/>
        <w:ind w:left="709"/>
        <w:jc w:val="both"/>
        <w:rPr>
          <w:rFonts w:ascii="Verdana" w:hAnsi="Verdana"/>
          <w:sz w:val="22"/>
          <w:szCs w:val="22"/>
        </w:rPr>
      </w:pPr>
      <w:r w:rsidRPr="00EF4EEE">
        <w:rPr>
          <w:rFonts w:ascii="Verdana" w:hAnsi="Verdana"/>
          <w:sz w:val="22"/>
          <w:szCs w:val="22"/>
        </w:rPr>
        <w:t xml:space="preserve">El sistema combinará la potencia del </w:t>
      </w:r>
      <w:r>
        <w:rPr>
          <w:rFonts w:ascii="Verdana" w:hAnsi="Verdana"/>
          <w:bCs/>
          <w:sz w:val="22"/>
          <w:szCs w:val="22"/>
        </w:rPr>
        <w:t>B</w:t>
      </w:r>
      <w:r w:rsidRPr="00EF4EEE">
        <w:rPr>
          <w:rFonts w:ascii="Verdana" w:hAnsi="Verdana"/>
          <w:bCs/>
          <w:sz w:val="22"/>
          <w:szCs w:val="22"/>
        </w:rPr>
        <w:t xml:space="preserve">ig </w:t>
      </w:r>
      <w:r>
        <w:rPr>
          <w:rFonts w:ascii="Verdana" w:hAnsi="Verdana"/>
          <w:bCs/>
          <w:sz w:val="22"/>
          <w:szCs w:val="22"/>
        </w:rPr>
        <w:t>D</w:t>
      </w:r>
      <w:r w:rsidRPr="00EF4EEE">
        <w:rPr>
          <w:rFonts w:ascii="Verdana" w:hAnsi="Verdana"/>
          <w:bCs/>
          <w:sz w:val="22"/>
          <w:szCs w:val="22"/>
        </w:rPr>
        <w:t>ata, minería de datos, IA</w:t>
      </w:r>
      <w:r w:rsidRPr="00EF4EEE">
        <w:rPr>
          <w:rFonts w:ascii="Verdana" w:hAnsi="Verdana"/>
          <w:sz w:val="22"/>
          <w:szCs w:val="22"/>
        </w:rPr>
        <w:t xml:space="preserve"> y otras tecnologías para monitorizar, filtrar y analizar la información desde numerosas fuentes de datos. Usará </w:t>
      </w:r>
      <w:r w:rsidRPr="00EF4EEE">
        <w:rPr>
          <w:rFonts w:ascii="Verdana" w:hAnsi="Verdana"/>
          <w:bCs/>
          <w:sz w:val="22"/>
          <w:szCs w:val="22"/>
        </w:rPr>
        <w:t>tecnología</w:t>
      </w:r>
      <w:r w:rsidRPr="00EF4EEE">
        <w:rPr>
          <w:rFonts w:ascii="Verdana" w:hAnsi="Verdana"/>
          <w:sz w:val="22"/>
          <w:szCs w:val="22"/>
        </w:rPr>
        <w:t xml:space="preserve"> a través de IA que es capaz de trazar relaciones entre productos, mercados y diferentes actores para una visión completa de lo que ocurre en un negocio adecuado y personalizado para cada empresa asistida. </w:t>
      </w:r>
    </w:p>
    <w:p w:rsidR="001425BF" w:rsidRPr="00EF4EEE" w:rsidRDefault="001425BF" w:rsidP="001425BF">
      <w:pPr>
        <w:widowControl w:val="0"/>
        <w:shd w:val="clear" w:color="auto" w:fill="FFFFFF" w:themeFill="background1"/>
        <w:ind w:left="709"/>
        <w:jc w:val="both"/>
        <w:rPr>
          <w:rFonts w:ascii="Verdana" w:hAnsi="Verdana"/>
          <w:sz w:val="22"/>
          <w:szCs w:val="22"/>
        </w:rPr>
      </w:pPr>
    </w:p>
    <w:p w:rsidR="001425BF" w:rsidRPr="00EF4EEE" w:rsidRDefault="001425BF" w:rsidP="001425BF">
      <w:pPr>
        <w:pStyle w:val="NormalWeb"/>
        <w:shd w:val="clear" w:color="auto" w:fill="FFFFFF" w:themeFill="background1"/>
        <w:spacing w:before="0" w:beforeAutospacing="0" w:after="0" w:afterAutospacing="0"/>
        <w:ind w:left="709"/>
        <w:jc w:val="both"/>
        <w:rPr>
          <w:rFonts w:ascii="Verdana" w:hAnsi="Verdana"/>
          <w:bCs/>
          <w:sz w:val="22"/>
          <w:szCs w:val="22"/>
        </w:rPr>
      </w:pPr>
      <w:r w:rsidRPr="00EF4EEE">
        <w:rPr>
          <w:rFonts w:ascii="Verdana" w:hAnsi="Verdana"/>
          <w:bCs/>
          <w:sz w:val="22"/>
          <w:szCs w:val="22"/>
        </w:rPr>
        <w:lastRenderedPageBreak/>
        <w:t>Con todos los datos gestionados, la empresa obtendrá informes sobre los factores críticos de vigilancia: tendencias de los mercados, identificación de nuevas oportunidades y seguimiento de estrategias de otros actores de interés.</w:t>
      </w:r>
    </w:p>
    <w:p w:rsidR="001425BF" w:rsidRPr="00EF4EEE" w:rsidRDefault="001425BF" w:rsidP="001425BF">
      <w:pPr>
        <w:widowControl w:val="0"/>
        <w:shd w:val="clear" w:color="auto" w:fill="FFFFFF" w:themeFill="background1"/>
        <w:ind w:left="709"/>
        <w:jc w:val="both"/>
        <w:rPr>
          <w:rFonts w:ascii="Verdana" w:hAnsi="Verdana"/>
          <w:sz w:val="22"/>
          <w:szCs w:val="22"/>
        </w:rPr>
      </w:pPr>
      <w:r w:rsidRPr="00EF4EEE">
        <w:rPr>
          <w:rFonts w:ascii="Verdana" w:hAnsi="Verdana"/>
          <w:sz w:val="22"/>
          <w:szCs w:val="22"/>
        </w:rPr>
        <w:t xml:space="preserve">Para llevar a cabo la actuación se elaborará un Plan Maestro de Inteligencia. </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pStyle w:val="Textoindependiente"/>
        <w:numPr>
          <w:ilvl w:val="0"/>
          <w:numId w:val="12"/>
        </w:numPr>
        <w:ind w:left="709" w:hanging="719"/>
        <w:rPr>
          <w:rFonts w:ascii="Verdana" w:eastAsia="Verdana" w:hAnsi="Verdana" w:cs="Verdana"/>
          <w:b w:val="0"/>
          <w:bCs/>
          <w:szCs w:val="22"/>
          <w:u w:val="single"/>
        </w:rPr>
      </w:pPr>
      <w:r w:rsidRPr="00EF4EEE">
        <w:rPr>
          <w:rFonts w:ascii="Verdana" w:hAnsi="Verdana" w:cs="Arial"/>
          <w:b w:val="0"/>
          <w:bCs/>
          <w:szCs w:val="22"/>
        </w:rPr>
        <w:t>Diagnóstico de diseño</w:t>
      </w:r>
      <w:r>
        <w:rPr>
          <w:rFonts w:ascii="Verdana" w:hAnsi="Verdana" w:cs="Arial"/>
          <w:b w:val="0"/>
          <w:bCs/>
          <w:szCs w:val="22"/>
        </w:rPr>
        <w:t xml:space="preserve"> industrial</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 xml:space="preserve">El objetivo general de la actuación es facilitar la implementación de la metodología de </w:t>
      </w:r>
      <w:r>
        <w:rPr>
          <w:rFonts w:ascii="Verdana" w:hAnsi="Verdana"/>
          <w:sz w:val="22"/>
          <w:szCs w:val="22"/>
        </w:rPr>
        <w:t>d</w:t>
      </w:r>
      <w:r w:rsidRPr="00EF4EEE">
        <w:rPr>
          <w:rFonts w:ascii="Verdana" w:hAnsi="Verdana"/>
          <w:sz w:val="22"/>
          <w:szCs w:val="22"/>
        </w:rPr>
        <w:t xml:space="preserve">iseño </w:t>
      </w:r>
      <w:r>
        <w:rPr>
          <w:rFonts w:ascii="Verdana" w:hAnsi="Verdana"/>
          <w:sz w:val="22"/>
          <w:szCs w:val="22"/>
        </w:rPr>
        <w:t xml:space="preserve">industrial </w:t>
      </w:r>
      <w:r w:rsidRPr="00EF4EEE">
        <w:rPr>
          <w:rFonts w:ascii="Verdana" w:hAnsi="Verdana"/>
          <w:sz w:val="22"/>
          <w:szCs w:val="22"/>
        </w:rPr>
        <w:t>como herramienta de resolución de problemas y diseño de productos, marcas y servicios innovadores</w:t>
      </w:r>
      <w:r>
        <w:rPr>
          <w:rFonts w:ascii="Verdana" w:hAnsi="Verdana"/>
          <w:sz w:val="22"/>
          <w:szCs w:val="22"/>
        </w:rPr>
        <w:t>.</w:t>
      </w:r>
      <w:r w:rsidRPr="00EF4EEE">
        <w:rPr>
          <w:rFonts w:ascii="Verdana" w:hAnsi="Verdana"/>
          <w:sz w:val="22"/>
          <w:szCs w:val="22"/>
        </w:rPr>
        <w:t xml:space="preserve"> </w:t>
      </w:r>
    </w:p>
    <w:p w:rsidR="001425BF" w:rsidRPr="00EF4EEE" w:rsidRDefault="001425BF" w:rsidP="001425BF">
      <w:pPr>
        <w:widowControl w:val="0"/>
        <w:ind w:left="709"/>
        <w:jc w:val="both"/>
        <w:rPr>
          <w:rFonts w:ascii="Verdana" w:hAnsi="Verdana"/>
          <w:sz w:val="22"/>
          <w:szCs w:val="22"/>
        </w:rPr>
      </w:pPr>
    </w:p>
    <w:p w:rsidR="001425BF" w:rsidRPr="00EF4EEE" w:rsidRDefault="001425BF" w:rsidP="001425BF">
      <w:pPr>
        <w:widowControl w:val="0"/>
        <w:ind w:left="709"/>
        <w:jc w:val="both"/>
        <w:rPr>
          <w:rFonts w:ascii="Verdana" w:hAnsi="Verdana"/>
          <w:sz w:val="22"/>
          <w:szCs w:val="22"/>
        </w:rPr>
      </w:pPr>
      <w:r w:rsidRPr="00EF4EEE">
        <w:rPr>
          <w:rFonts w:ascii="Verdana" w:hAnsi="Verdana"/>
          <w:sz w:val="22"/>
          <w:szCs w:val="22"/>
        </w:rPr>
        <w:t>Como objetivos específicos se pueden señalar los siguientes:</w:t>
      </w:r>
    </w:p>
    <w:p w:rsidR="001425BF" w:rsidRPr="00821C34" w:rsidRDefault="001425BF" w:rsidP="001425BF">
      <w:pPr>
        <w:widowControl w:val="0"/>
        <w:ind w:left="709"/>
        <w:jc w:val="both"/>
        <w:rPr>
          <w:rFonts w:ascii="Verdana" w:hAnsi="Verdana"/>
          <w:sz w:val="22"/>
          <w:szCs w:val="22"/>
        </w:rPr>
      </w:pPr>
      <w:r w:rsidRPr="00EF4EEE">
        <w:rPr>
          <w:rFonts w:ascii="Verdana" w:hAnsi="Verdana"/>
          <w:sz w:val="22"/>
          <w:szCs w:val="22"/>
        </w:rPr>
        <w:t>-Proporcionar a la dirección una visión globa</w:t>
      </w:r>
      <w:r w:rsidRPr="00821C34">
        <w:rPr>
          <w:rFonts w:ascii="Verdana" w:hAnsi="Verdana"/>
          <w:sz w:val="22"/>
          <w:szCs w:val="22"/>
        </w:rPr>
        <w:t xml:space="preserve">l </w:t>
      </w:r>
      <w:r>
        <w:rPr>
          <w:rFonts w:ascii="Verdana" w:hAnsi="Verdana"/>
          <w:sz w:val="22"/>
          <w:szCs w:val="22"/>
        </w:rPr>
        <w:t>sobre el uso del diseño industrial.</w:t>
      </w:r>
    </w:p>
    <w:p w:rsidR="001425BF" w:rsidRPr="00821C34" w:rsidRDefault="001425BF" w:rsidP="001425BF">
      <w:pPr>
        <w:widowControl w:val="0"/>
        <w:ind w:left="709"/>
        <w:jc w:val="both"/>
        <w:rPr>
          <w:rFonts w:ascii="Verdana" w:hAnsi="Verdana"/>
          <w:sz w:val="22"/>
          <w:szCs w:val="22"/>
        </w:rPr>
      </w:pPr>
      <w:r w:rsidRPr="00821C34">
        <w:rPr>
          <w:rFonts w:ascii="Verdana" w:hAnsi="Verdana"/>
          <w:sz w:val="22"/>
          <w:szCs w:val="22"/>
        </w:rPr>
        <w:t xml:space="preserve">-Identificar puntos débiles </w:t>
      </w:r>
      <w:r>
        <w:rPr>
          <w:rFonts w:ascii="Verdana" w:hAnsi="Verdana"/>
          <w:sz w:val="22"/>
          <w:szCs w:val="22"/>
        </w:rPr>
        <w:t>en el uso del diseño industrial.</w:t>
      </w:r>
    </w:p>
    <w:p w:rsidR="001425BF" w:rsidRPr="00821C34" w:rsidRDefault="001425BF" w:rsidP="001425BF">
      <w:pPr>
        <w:widowControl w:val="0"/>
        <w:ind w:left="709"/>
        <w:jc w:val="both"/>
        <w:rPr>
          <w:rFonts w:ascii="Verdana" w:hAnsi="Verdana"/>
          <w:sz w:val="22"/>
          <w:szCs w:val="22"/>
        </w:rPr>
      </w:pPr>
      <w:r w:rsidRPr="00821C34">
        <w:rPr>
          <w:rFonts w:ascii="Verdana" w:hAnsi="Verdana"/>
          <w:sz w:val="22"/>
          <w:szCs w:val="22"/>
        </w:rPr>
        <w:t>-Plantear acciones de mejora</w:t>
      </w:r>
      <w:r>
        <w:rPr>
          <w:rFonts w:ascii="Verdana" w:hAnsi="Verdana"/>
          <w:sz w:val="22"/>
          <w:szCs w:val="22"/>
        </w:rPr>
        <w:t>.</w:t>
      </w:r>
    </w:p>
    <w:p w:rsidR="001425BF" w:rsidRDefault="001425BF" w:rsidP="001425BF">
      <w:pPr>
        <w:widowControl w:val="0"/>
        <w:ind w:left="709"/>
        <w:jc w:val="both"/>
        <w:rPr>
          <w:rFonts w:ascii="Verdana" w:hAnsi="Verdana"/>
          <w:sz w:val="22"/>
          <w:szCs w:val="22"/>
        </w:rPr>
      </w:pPr>
      <w:r w:rsidRPr="00821C34">
        <w:rPr>
          <w:rFonts w:ascii="Verdana" w:hAnsi="Verdana"/>
          <w:sz w:val="22"/>
          <w:szCs w:val="22"/>
        </w:rPr>
        <w:t xml:space="preserve">-Definir un </w:t>
      </w:r>
      <w:proofErr w:type="spellStart"/>
      <w:r w:rsidRPr="00821C34">
        <w:rPr>
          <w:rFonts w:ascii="Verdana" w:hAnsi="Verdana"/>
          <w:sz w:val="22"/>
          <w:szCs w:val="22"/>
        </w:rPr>
        <w:t>road</w:t>
      </w:r>
      <w:proofErr w:type="spellEnd"/>
      <w:r w:rsidRPr="00821C34">
        <w:rPr>
          <w:rFonts w:ascii="Verdana" w:hAnsi="Verdana"/>
          <w:sz w:val="22"/>
          <w:szCs w:val="22"/>
        </w:rPr>
        <w:t xml:space="preserve"> </w:t>
      </w:r>
      <w:proofErr w:type="spellStart"/>
      <w:r w:rsidRPr="00821C34">
        <w:rPr>
          <w:rFonts w:ascii="Verdana" w:hAnsi="Verdana"/>
          <w:sz w:val="22"/>
          <w:szCs w:val="22"/>
        </w:rPr>
        <w:t>map</w:t>
      </w:r>
      <w:proofErr w:type="spellEnd"/>
      <w:r w:rsidRPr="00821C34">
        <w:rPr>
          <w:rFonts w:ascii="Verdana" w:hAnsi="Verdana"/>
          <w:sz w:val="22"/>
          <w:szCs w:val="22"/>
        </w:rPr>
        <w:t xml:space="preserve"> a 2-3 años</w:t>
      </w:r>
      <w:r>
        <w:rPr>
          <w:rFonts w:ascii="Verdana" w:hAnsi="Verdana"/>
          <w:sz w:val="22"/>
          <w:szCs w:val="22"/>
        </w:rPr>
        <w:t>.</w:t>
      </w:r>
    </w:p>
    <w:p w:rsidR="001425BF" w:rsidRPr="00821C34" w:rsidRDefault="001425BF" w:rsidP="001425BF">
      <w:pPr>
        <w:widowControl w:val="0"/>
        <w:ind w:left="709"/>
        <w:jc w:val="both"/>
        <w:rPr>
          <w:rFonts w:ascii="Verdana" w:hAnsi="Verdana"/>
          <w:sz w:val="22"/>
          <w:szCs w:val="22"/>
        </w:rPr>
      </w:pPr>
      <w:r>
        <w:rPr>
          <w:rFonts w:ascii="Verdana" w:hAnsi="Verdana"/>
          <w:sz w:val="22"/>
          <w:szCs w:val="22"/>
        </w:rPr>
        <w:t>Se estima una dedicación de 8 horas en consultoría inicial y de 12 horas en segunda consultoría.</w:t>
      </w:r>
    </w:p>
    <w:p w:rsidR="001425BF" w:rsidRPr="00821C34" w:rsidRDefault="001425BF" w:rsidP="001425BF">
      <w:pPr>
        <w:widowControl w:val="0"/>
        <w:ind w:left="709"/>
        <w:jc w:val="both"/>
        <w:rPr>
          <w:rFonts w:ascii="Verdana" w:hAnsi="Verdana"/>
          <w:sz w:val="22"/>
          <w:szCs w:val="22"/>
        </w:rPr>
      </w:pPr>
    </w:p>
    <w:p w:rsidR="001425BF" w:rsidRPr="00821C34" w:rsidRDefault="001425BF" w:rsidP="001425BF">
      <w:pPr>
        <w:widowControl w:val="0"/>
        <w:ind w:left="709"/>
        <w:jc w:val="both"/>
        <w:rPr>
          <w:rFonts w:ascii="Verdana" w:hAnsi="Verdana"/>
          <w:sz w:val="22"/>
          <w:szCs w:val="22"/>
        </w:rPr>
      </w:pPr>
      <w:r w:rsidRPr="00821C34">
        <w:rPr>
          <w:rFonts w:ascii="Verdana" w:hAnsi="Verdana"/>
          <w:sz w:val="22"/>
          <w:szCs w:val="22"/>
        </w:rPr>
        <w:t xml:space="preserve">La </w:t>
      </w:r>
      <w:r>
        <w:rPr>
          <w:rFonts w:ascii="Verdana" w:hAnsi="Verdana"/>
          <w:sz w:val="22"/>
          <w:szCs w:val="22"/>
        </w:rPr>
        <w:t>asesoría</w:t>
      </w:r>
      <w:r w:rsidRPr="00821C34">
        <w:rPr>
          <w:rFonts w:ascii="Verdana" w:hAnsi="Verdana"/>
          <w:sz w:val="22"/>
          <w:szCs w:val="22"/>
        </w:rPr>
        <w:t xml:space="preserve"> permitirá conocer y definir el proceso de la empresa y evaluar el grado de utilización del diseño</w:t>
      </w:r>
      <w:r>
        <w:rPr>
          <w:rFonts w:ascii="Verdana" w:hAnsi="Verdana"/>
          <w:sz w:val="22"/>
          <w:szCs w:val="22"/>
        </w:rPr>
        <w:t xml:space="preserve"> industrial</w:t>
      </w:r>
      <w:r w:rsidRPr="00821C34">
        <w:rPr>
          <w:rFonts w:ascii="Verdana" w:hAnsi="Verdana"/>
          <w:sz w:val="22"/>
          <w:szCs w:val="22"/>
        </w:rPr>
        <w:t xml:space="preserve"> en los ámbitos establecidos en la herramienta, y transmitirá las posibilidades de aplicación del diseño en la empresa según el grado de integración, madurez y posibilidades de incorporación del diseño.</w:t>
      </w:r>
    </w:p>
    <w:p w:rsidR="001425BF" w:rsidRPr="00821C34" w:rsidRDefault="001425BF" w:rsidP="001425BF">
      <w:pPr>
        <w:widowControl w:val="0"/>
        <w:ind w:left="709"/>
        <w:jc w:val="both"/>
        <w:rPr>
          <w:rFonts w:ascii="Verdana" w:hAnsi="Verdana"/>
          <w:sz w:val="22"/>
          <w:szCs w:val="22"/>
        </w:rPr>
      </w:pPr>
    </w:p>
    <w:p w:rsidR="001425BF" w:rsidRPr="00821C34" w:rsidRDefault="001425BF" w:rsidP="001425BF">
      <w:pPr>
        <w:widowControl w:val="0"/>
        <w:ind w:left="709"/>
        <w:jc w:val="both"/>
        <w:rPr>
          <w:rFonts w:ascii="Verdana" w:hAnsi="Verdana"/>
          <w:sz w:val="22"/>
          <w:szCs w:val="22"/>
        </w:rPr>
      </w:pPr>
      <w:r w:rsidRPr="00821C34">
        <w:rPr>
          <w:rFonts w:ascii="Verdana" w:hAnsi="Verdana"/>
          <w:sz w:val="22"/>
          <w:szCs w:val="22"/>
        </w:rPr>
        <w:t xml:space="preserve">Se prevé una </w:t>
      </w:r>
      <w:r>
        <w:rPr>
          <w:rFonts w:ascii="Verdana" w:hAnsi="Verdana"/>
          <w:sz w:val="22"/>
          <w:szCs w:val="22"/>
        </w:rPr>
        <w:t>asesoría</w:t>
      </w:r>
      <w:r w:rsidRPr="00821C34">
        <w:rPr>
          <w:rFonts w:ascii="Verdana" w:hAnsi="Verdana"/>
          <w:sz w:val="22"/>
          <w:szCs w:val="22"/>
        </w:rPr>
        <w:t xml:space="preserve"> inicial con la participación de un consultor y un diseñador </w:t>
      </w:r>
      <w:r>
        <w:rPr>
          <w:rFonts w:ascii="Verdana" w:hAnsi="Verdana"/>
          <w:sz w:val="22"/>
          <w:szCs w:val="22"/>
        </w:rPr>
        <w:t xml:space="preserve">industrial </w:t>
      </w:r>
      <w:r w:rsidRPr="00821C34">
        <w:rPr>
          <w:rFonts w:ascii="Verdana" w:hAnsi="Verdana"/>
          <w:sz w:val="22"/>
          <w:szCs w:val="22"/>
        </w:rPr>
        <w:t xml:space="preserve">que se traducirá en la exposición de casos para la mejor comprensión de la actividad de diseño, y en su caso una segunda </w:t>
      </w:r>
      <w:r>
        <w:rPr>
          <w:rFonts w:ascii="Verdana" w:hAnsi="Verdana"/>
          <w:sz w:val="22"/>
          <w:szCs w:val="22"/>
        </w:rPr>
        <w:t>consultoría</w:t>
      </w:r>
      <w:r w:rsidRPr="00821C34">
        <w:rPr>
          <w:rFonts w:ascii="Verdana" w:hAnsi="Verdana"/>
          <w:sz w:val="22"/>
          <w:szCs w:val="22"/>
        </w:rPr>
        <w:t xml:space="preserve"> que versará sobre la problemática y situaciones concretas de la empresa, su estrategia, su producto, su marca, o su servicio y las mejoras a conseguir a través del diseño. </w:t>
      </w:r>
    </w:p>
    <w:p w:rsidR="001425BF" w:rsidRPr="00821C34" w:rsidRDefault="001425BF" w:rsidP="001425BF">
      <w:pPr>
        <w:widowControl w:val="0"/>
        <w:ind w:left="709"/>
        <w:jc w:val="both"/>
        <w:rPr>
          <w:rFonts w:ascii="Verdana" w:hAnsi="Verdana"/>
          <w:sz w:val="22"/>
          <w:szCs w:val="22"/>
        </w:rPr>
      </w:pPr>
    </w:p>
    <w:p w:rsidR="001425BF" w:rsidRPr="00821C34" w:rsidRDefault="001425BF" w:rsidP="001425BF">
      <w:pPr>
        <w:widowControl w:val="0"/>
        <w:ind w:left="709"/>
        <w:jc w:val="both"/>
        <w:rPr>
          <w:rFonts w:ascii="Verdana" w:hAnsi="Verdana"/>
          <w:sz w:val="22"/>
          <w:szCs w:val="22"/>
        </w:rPr>
      </w:pPr>
      <w:r w:rsidRPr="00821C34">
        <w:rPr>
          <w:rFonts w:ascii="Verdana" w:hAnsi="Verdana"/>
          <w:sz w:val="22"/>
          <w:szCs w:val="22"/>
        </w:rPr>
        <w:t>Elaboración y presentación de informe. Con todos los datos necesarios, se realizará un informe con la descripción del análisis actual y todas las mejoras que por parte del equipo consultor se hayan definido.</w:t>
      </w:r>
    </w:p>
    <w:p w:rsidR="001425BF" w:rsidRPr="00821C34" w:rsidRDefault="001425BF" w:rsidP="001425BF">
      <w:pPr>
        <w:pStyle w:val="Textoindependiente"/>
        <w:ind w:left="709"/>
        <w:rPr>
          <w:rFonts w:ascii="Verdana" w:hAnsi="Verdana"/>
          <w:b w:val="0"/>
          <w:bCs/>
          <w:szCs w:val="22"/>
        </w:rPr>
      </w:pPr>
    </w:p>
    <w:p w:rsidR="001425BF" w:rsidRPr="00CE6DD0" w:rsidRDefault="001425BF" w:rsidP="001425BF">
      <w:pPr>
        <w:pStyle w:val="Textoindependiente"/>
        <w:ind w:left="709"/>
        <w:rPr>
          <w:rFonts w:ascii="Verdana" w:hAnsi="Verdana"/>
          <w:b w:val="0"/>
          <w:bCs/>
          <w:szCs w:val="22"/>
        </w:rPr>
      </w:pPr>
      <w:r w:rsidRPr="00CE6DD0">
        <w:rPr>
          <w:rFonts w:ascii="Verdana" w:hAnsi="Verdana"/>
          <w:b w:val="0"/>
          <w:bCs/>
          <w:szCs w:val="22"/>
        </w:rPr>
        <w:t>Los trabajos los desarrollará una o varias consultoras por provincia de las que figuran en el catálogo de colaboradores externos del Departamento de Industria, Competitividad y Desarrollo Empresarial quien incluirá en el proceso, según la actividad de la empresa y circunstancias del diagnóstico a un estudio de diseño, también homologado. En la contratación de estas consultorías se tenderá a diversificar proveedores del servicio.</w:t>
      </w:r>
    </w:p>
    <w:p w:rsidR="001425BF" w:rsidRDefault="001425BF" w:rsidP="001425BF">
      <w:pPr>
        <w:widowControl w:val="0"/>
        <w:ind w:left="709"/>
        <w:jc w:val="both"/>
        <w:rPr>
          <w:rFonts w:ascii="Verdana" w:hAnsi="Verdana"/>
          <w:sz w:val="22"/>
          <w:szCs w:val="22"/>
        </w:rPr>
      </w:pPr>
    </w:p>
    <w:p w:rsidR="001425BF" w:rsidRDefault="001425BF" w:rsidP="001425BF">
      <w:pPr>
        <w:widowControl w:val="0"/>
        <w:ind w:left="709"/>
        <w:jc w:val="both"/>
        <w:rPr>
          <w:rFonts w:ascii="Verdana" w:hAnsi="Verdana"/>
          <w:sz w:val="22"/>
          <w:szCs w:val="22"/>
        </w:rPr>
      </w:pPr>
      <w:r w:rsidRPr="00821C34">
        <w:rPr>
          <w:rFonts w:ascii="Verdana" w:hAnsi="Verdana"/>
          <w:sz w:val="22"/>
          <w:szCs w:val="22"/>
        </w:rPr>
        <w:t>Para llevar a cabo el diagnóstico de la situación actual del proceso se</w:t>
      </w:r>
      <w:r>
        <w:rPr>
          <w:rFonts w:ascii="Verdana" w:hAnsi="Verdana"/>
          <w:sz w:val="22"/>
          <w:szCs w:val="22"/>
        </w:rPr>
        <w:t xml:space="preserve"> </w:t>
      </w:r>
      <w:r w:rsidRPr="00D569B6">
        <w:rPr>
          <w:rFonts w:ascii="Verdana" w:hAnsi="Verdana"/>
          <w:sz w:val="22"/>
          <w:szCs w:val="22"/>
        </w:rPr>
        <w:t>utilizará</w:t>
      </w:r>
      <w:r>
        <w:rPr>
          <w:rFonts w:ascii="Verdana" w:hAnsi="Verdana"/>
          <w:sz w:val="22"/>
          <w:szCs w:val="22"/>
        </w:rPr>
        <w:t xml:space="preserve"> </w:t>
      </w:r>
      <w:r w:rsidRPr="00821C34">
        <w:rPr>
          <w:rFonts w:ascii="Verdana" w:hAnsi="Verdana"/>
          <w:sz w:val="22"/>
          <w:szCs w:val="22"/>
        </w:rPr>
        <w:t xml:space="preserve">el </w:t>
      </w:r>
      <w:proofErr w:type="spellStart"/>
      <w:r w:rsidRPr="00821C34">
        <w:rPr>
          <w:rFonts w:ascii="Verdana" w:hAnsi="Verdana"/>
          <w:sz w:val="22"/>
          <w:szCs w:val="22"/>
        </w:rPr>
        <w:t>checklist</w:t>
      </w:r>
      <w:proofErr w:type="spellEnd"/>
      <w:r w:rsidRPr="00821C34">
        <w:rPr>
          <w:rFonts w:ascii="Verdana" w:hAnsi="Verdana"/>
          <w:sz w:val="22"/>
          <w:szCs w:val="22"/>
        </w:rPr>
        <w:t xml:space="preserve"> del CADI: El diseño como herramienta estratégica.</w:t>
      </w:r>
    </w:p>
    <w:p w:rsidR="001425BF" w:rsidRDefault="001425BF" w:rsidP="001425BF">
      <w:pPr>
        <w:widowControl w:val="0"/>
        <w:ind w:left="709"/>
        <w:jc w:val="both"/>
        <w:rPr>
          <w:rFonts w:ascii="Verdana" w:hAnsi="Verdana"/>
          <w:sz w:val="22"/>
          <w:szCs w:val="22"/>
        </w:rPr>
      </w:pPr>
    </w:p>
    <w:p w:rsidR="001425BF" w:rsidRDefault="001425BF" w:rsidP="001425BF">
      <w:pPr>
        <w:widowControl w:val="0"/>
        <w:ind w:left="709"/>
        <w:jc w:val="both"/>
        <w:rPr>
          <w:rFonts w:ascii="Verdana" w:hAnsi="Verdana"/>
          <w:sz w:val="22"/>
          <w:szCs w:val="22"/>
        </w:rPr>
      </w:pPr>
      <w:r>
        <w:rPr>
          <w:rFonts w:ascii="Verdana" w:hAnsi="Verdana"/>
          <w:sz w:val="22"/>
          <w:szCs w:val="22"/>
        </w:rPr>
        <w:t xml:space="preserve">Además de las citadas asesorías, que en realidad son una segunda parte de la asistencia a empresas en materia de diseño industrial; dentro de este convenio también se realizan unos talleres de diseño y empresa (se imparte un máximo de tres talleres) en los que se transmite a las empresas conceptos básicos del </w:t>
      </w:r>
      <w:r>
        <w:rPr>
          <w:rFonts w:ascii="Verdana" w:hAnsi="Verdana"/>
          <w:sz w:val="22"/>
          <w:szCs w:val="22"/>
        </w:rPr>
        <w:lastRenderedPageBreak/>
        <w:t xml:space="preserve">diseño industrial en los ámbitos de diseño de marca, de producto y de servicio. </w:t>
      </w:r>
      <w:r w:rsidRPr="00CE6DD0">
        <w:rPr>
          <w:rFonts w:ascii="Verdana" w:hAnsi="Verdana"/>
          <w:sz w:val="22"/>
          <w:szCs w:val="22"/>
        </w:rPr>
        <w:t>A través de ellos la empresa se familiariza con la forma de hacer unas primeras valoraciones sobre el estado del diseño en la empresa.</w:t>
      </w:r>
    </w:p>
    <w:p w:rsidR="001425BF" w:rsidRPr="00290D6B" w:rsidRDefault="001425BF" w:rsidP="001425BF">
      <w:pPr>
        <w:widowControl w:val="0"/>
        <w:jc w:val="both"/>
        <w:rPr>
          <w:rFonts w:ascii="Verdana" w:hAnsi="Verdana"/>
          <w:sz w:val="22"/>
          <w:szCs w:val="22"/>
        </w:rPr>
      </w:pPr>
    </w:p>
    <w:p w:rsidR="001425BF" w:rsidRPr="00290D6B" w:rsidRDefault="001425BF" w:rsidP="001425BF">
      <w:pPr>
        <w:pStyle w:val="Textoindependiente"/>
        <w:numPr>
          <w:ilvl w:val="0"/>
          <w:numId w:val="12"/>
        </w:numPr>
        <w:ind w:hanging="719"/>
        <w:rPr>
          <w:rFonts w:ascii="Verdana" w:hAnsi="Verdana"/>
          <w:b w:val="0"/>
          <w:szCs w:val="22"/>
        </w:rPr>
      </w:pPr>
      <w:r w:rsidRPr="00290D6B">
        <w:rPr>
          <w:rFonts w:ascii="Verdana" w:hAnsi="Verdana"/>
          <w:b w:val="0"/>
          <w:szCs w:val="22"/>
        </w:rPr>
        <w:t>Informes sectoriales de seguimiento</w:t>
      </w:r>
    </w:p>
    <w:p w:rsidR="001425BF" w:rsidRDefault="001425BF" w:rsidP="001425BF">
      <w:pPr>
        <w:widowControl w:val="0"/>
        <w:ind w:left="708"/>
        <w:jc w:val="both"/>
        <w:rPr>
          <w:rFonts w:ascii="Verdana" w:hAnsi="Verdana"/>
          <w:sz w:val="22"/>
          <w:szCs w:val="22"/>
        </w:rPr>
      </w:pPr>
      <w:r>
        <w:rPr>
          <w:rFonts w:ascii="Verdana" w:hAnsi="Verdana"/>
          <w:sz w:val="22"/>
          <w:szCs w:val="22"/>
        </w:rPr>
        <w:t>S</w:t>
      </w:r>
      <w:r w:rsidRPr="00290D6B">
        <w:rPr>
          <w:rFonts w:ascii="Verdana" w:hAnsi="Verdana"/>
          <w:sz w:val="22"/>
          <w:szCs w:val="22"/>
        </w:rPr>
        <w:t xml:space="preserve">e prevé realizar informes de análisis sectoriales de interés para la detección de necesidades de crecimiento de las </w:t>
      </w:r>
      <w:r>
        <w:rPr>
          <w:rFonts w:ascii="Verdana" w:hAnsi="Verdana"/>
          <w:sz w:val="22"/>
          <w:szCs w:val="22"/>
        </w:rPr>
        <w:t>PYME</w:t>
      </w:r>
      <w:r w:rsidRPr="00290D6B">
        <w:rPr>
          <w:rFonts w:ascii="Verdana" w:hAnsi="Verdana"/>
          <w:sz w:val="22"/>
          <w:szCs w:val="22"/>
        </w:rPr>
        <w:t>.</w:t>
      </w:r>
    </w:p>
    <w:p w:rsidR="001425BF" w:rsidRPr="00CE6DD0" w:rsidRDefault="001425BF" w:rsidP="001425BF">
      <w:pPr>
        <w:widowControl w:val="0"/>
        <w:ind w:left="708"/>
        <w:jc w:val="both"/>
        <w:rPr>
          <w:rFonts w:ascii="Verdana" w:hAnsi="Verdana"/>
          <w:sz w:val="22"/>
          <w:szCs w:val="22"/>
        </w:rPr>
      </w:pPr>
      <w:r w:rsidRPr="00CE6DD0">
        <w:rPr>
          <w:rFonts w:ascii="Verdana" w:hAnsi="Verdana"/>
          <w:sz w:val="22"/>
          <w:szCs w:val="22"/>
        </w:rPr>
        <w:t xml:space="preserve">En particular, y sin perjuicio de otros que se puedan determinar, se deberá realizar un estudio sobre las tendencias y demandas de investigación, desarrollo e innovación (incluyendo el diseño industrial) en la Comunidad Autónoma de Aragón. Entre otras fuentes, se deberá tener en cuenta información del Centro para el Desarrollo Tecnológico Industrial (CDTI), la Oficina Española de Patentes y Marcas (OEPM), las ayudas concedidas a la industria por el Gobierno de Aragón y la información que publiquen los agentes del sistema aragonés de </w:t>
      </w:r>
      <w:proofErr w:type="spellStart"/>
      <w:r w:rsidRPr="00CE6DD0">
        <w:rPr>
          <w:rFonts w:ascii="Verdana" w:hAnsi="Verdana"/>
          <w:sz w:val="22"/>
          <w:szCs w:val="22"/>
        </w:rPr>
        <w:t>I+D+i</w:t>
      </w:r>
      <w:proofErr w:type="spellEnd"/>
      <w:r w:rsidRPr="00CE6DD0">
        <w:rPr>
          <w:rFonts w:ascii="Verdana" w:hAnsi="Verdana"/>
          <w:sz w:val="22"/>
          <w:szCs w:val="22"/>
        </w:rPr>
        <w:t>.</w:t>
      </w:r>
    </w:p>
    <w:p w:rsidR="001425BF" w:rsidRPr="00290D6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Default="001425BF" w:rsidP="001425BF">
      <w:pPr>
        <w:ind w:left="709" w:firstLine="142"/>
        <w:rPr>
          <w:rFonts w:ascii="Verdana" w:eastAsia="Verdana" w:hAnsi="Verdana" w:cs="Verdana"/>
          <w:i/>
          <w:sz w:val="22"/>
          <w:szCs w:val="22"/>
        </w:rPr>
      </w:pPr>
      <w:r>
        <w:rPr>
          <w:rFonts w:ascii="Verdana" w:eastAsia="Verdana" w:hAnsi="Verdana" w:cs="Verdana"/>
          <w:i/>
          <w:sz w:val="22"/>
          <w:szCs w:val="22"/>
        </w:rPr>
        <w:t>· Eje 3: Red de empresas ARIES</w:t>
      </w:r>
    </w:p>
    <w:p w:rsidR="001425BF" w:rsidRDefault="001425BF" w:rsidP="001425BF">
      <w:pPr>
        <w:ind w:left="709" w:firstLine="142"/>
        <w:rPr>
          <w:rFonts w:ascii="Verdana" w:eastAsia="Verdana" w:hAnsi="Verdana" w:cs="Verdana"/>
          <w:i/>
          <w:sz w:val="22"/>
          <w:szCs w:val="22"/>
        </w:rPr>
      </w:pPr>
    </w:p>
    <w:p w:rsidR="001425BF" w:rsidRPr="006A0ED7" w:rsidRDefault="001425BF" w:rsidP="001425BF">
      <w:pPr>
        <w:pBdr>
          <w:top w:val="nil"/>
          <w:left w:val="nil"/>
          <w:bottom w:val="nil"/>
          <w:right w:val="nil"/>
          <w:between w:val="nil"/>
        </w:pBdr>
        <w:ind w:left="709" w:firstLine="142"/>
        <w:jc w:val="both"/>
        <w:rPr>
          <w:rFonts w:ascii="Verdana" w:eastAsia="Verdana" w:hAnsi="Verdana" w:cs="Verdana"/>
          <w:sz w:val="22"/>
          <w:szCs w:val="22"/>
        </w:rPr>
      </w:pPr>
      <w:r>
        <w:rPr>
          <w:rFonts w:ascii="Verdana" w:eastAsia="Verdana" w:hAnsi="Verdana" w:cs="Verdana"/>
          <w:color w:val="000000"/>
          <w:sz w:val="22"/>
          <w:szCs w:val="22"/>
        </w:rPr>
        <w:t xml:space="preserve">En este eje está prevista la realización de jornadas o sesiones de </w:t>
      </w:r>
      <w:proofErr w:type="spellStart"/>
      <w:r>
        <w:rPr>
          <w:rFonts w:ascii="Verdana" w:eastAsia="Verdana" w:hAnsi="Verdana" w:cs="Verdana"/>
          <w:color w:val="000000"/>
          <w:sz w:val="22"/>
          <w:szCs w:val="22"/>
        </w:rPr>
        <w:t>networking</w:t>
      </w:r>
      <w:proofErr w:type="spellEnd"/>
      <w:r>
        <w:rPr>
          <w:rFonts w:ascii="Verdana" w:eastAsia="Verdana" w:hAnsi="Verdana" w:cs="Verdana"/>
          <w:color w:val="000000"/>
          <w:sz w:val="22"/>
          <w:szCs w:val="22"/>
        </w:rPr>
        <w:t xml:space="preserve"> que permitan, principalmente, poner en contacto a las PYME aragonesas entre sí, así como aumentar las relaciones cliente/proveedor para buscar relaciones comerciales y de colaboración, así como sinergias estratégicas. </w:t>
      </w:r>
      <w:r w:rsidRPr="006A0ED7">
        <w:rPr>
          <w:rFonts w:ascii="Verdana" w:eastAsia="Verdana" w:hAnsi="Verdana" w:cs="Verdana"/>
          <w:sz w:val="22"/>
          <w:szCs w:val="22"/>
        </w:rPr>
        <w:t>En 2023, se propiciará una línea de colaboración con in</w:t>
      </w:r>
      <w:r>
        <w:rPr>
          <w:rFonts w:ascii="Verdana" w:eastAsia="Verdana" w:hAnsi="Verdana" w:cs="Verdana"/>
          <w:sz w:val="22"/>
          <w:szCs w:val="22"/>
        </w:rPr>
        <w:t>i</w:t>
      </w:r>
      <w:r w:rsidRPr="006A0ED7">
        <w:rPr>
          <w:rFonts w:ascii="Verdana" w:eastAsia="Verdana" w:hAnsi="Verdana" w:cs="Verdana"/>
          <w:sz w:val="22"/>
          <w:szCs w:val="22"/>
        </w:rPr>
        <w:t>ciativas de innovación abierta en Aragón que impulsen proyectos conjuntos entre empresas industriales que planteen retos de innovación y “</w:t>
      </w:r>
      <w:proofErr w:type="spellStart"/>
      <w:r w:rsidRPr="006A0ED7">
        <w:rPr>
          <w:rFonts w:ascii="Verdana" w:eastAsia="Verdana" w:hAnsi="Verdana" w:cs="Verdana"/>
          <w:sz w:val="22"/>
          <w:szCs w:val="22"/>
        </w:rPr>
        <w:t>start</w:t>
      </w:r>
      <w:proofErr w:type="spellEnd"/>
      <w:r w:rsidRPr="006A0ED7">
        <w:rPr>
          <w:rFonts w:ascii="Verdana" w:eastAsia="Verdana" w:hAnsi="Verdana" w:cs="Verdana"/>
          <w:sz w:val="22"/>
          <w:szCs w:val="22"/>
        </w:rPr>
        <w:t xml:space="preserve">-ups” que contribuyan a resolverlos. </w:t>
      </w: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p>
    <w:p w:rsidR="001425BF" w:rsidRPr="00290D6B"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6A0ED7">
        <w:rPr>
          <w:rFonts w:ascii="Verdana" w:eastAsia="Verdana" w:hAnsi="Verdana" w:cs="Verdana"/>
          <w:sz w:val="22"/>
          <w:szCs w:val="22"/>
        </w:rPr>
        <w:t xml:space="preserve">Los eventos podrán realizarse tomando como inspiración el formato ya utilizado en años anteriores para la sensibilización hacia la transformación digital y la industria 4.0, o para la sensibilización </w:t>
      </w:r>
      <w:r w:rsidRPr="003A1AFB">
        <w:rPr>
          <w:rFonts w:ascii="Verdana" w:eastAsia="Verdana" w:hAnsi="Verdana" w:cs="Verdana"/>
          <w:sz w:val="22"/>
          <w:szCs w:val="22"/>
        </w:rPr>
        <w:t>de la industria en materia de sostenibilidad, o los talleres de diseño industrial realizados en colaboración con el CADI</w:t>
      </w:r>
      <w:r w:rsidRPr="00290D6B">
        <w:rPr>
          <w:rFonts w:ascii="Verdana" w:eastAsia="Verdana" w:hAnsi="Verdana" w:cs="Verdana"/>
          <w:sz w:val="22"/>
          <w:szCs w:val="22"/>
        </w:rPr>
        <w:t>, que se realizaron facilitando un contacto directo entre prescriptores, habilitadores y las PYME.</w:t>
      </w:r>
      <w:r>
        <w:rPr>
          <w:rFonts w:ascii="Verdana" w:eastAsia="Verdana" w:hAnsi="Verdana" w:cs="Verdana"/>
          <w:sz w:val="22"/>
          <w:szCs w:val="22"/>
        </w:rPr>
        <w:t xml:space="preserve"> </w:t>
      </w:r>
    </w:p>
    <w:p w:rsidR="001425BF" w:rsidRPr="00290D6B"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Pr="006A0ED7"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290D6B">
        <w:rPr>
          <w:rFonts w:ascii="Verdana" w:eastAsia="Verdana" w:hAnsi="Verdana" w:cs="Verdana"/>
          <w:sz w:val="22"/>
          <w:szCs w:val="22"/>
        </w:rPr>
        <w:t xml:space="preserve">A partir del año </w:t>
      </w:r>
      <w:r>
        <w:rPr>
          <w:rFonts w:ascii="Verdana" w:eastAsia="Verdana" w:hAnsi="Verdana" w:cs="Verdana"/>
          <w:sz w:val="22"/>
          <w:szCs w:val="22"/>
        </w:rPr>
        <w:t>2023</w:t>
      </w:r>
      <w:r w:rsidRPr="00290D6B">
        <w:rPr>
          <w:rFonts w:ascii="Verdana" w:eastAsia="Verdana" w:hAnsi="Verdana" w:cs="Verdana"/>
          <w:sz w:val="22"/>
          <w:szCs w:val="22"/>
        </w:rPr>
        <w:t xml:space="preserve">, se trasladan a este eje distintas acciones de </w:t>
      </w:r>
      <w:r w:rsidRPr="006A0ED7">
        <w:rPr>
          <w:rFonts w:ascii="Verdana" w:eastAsia="Verdana" w:hAnsi="Verdana" w:cs="Verdana"/>
          <w:sz w:val="22"/>
          <w:szCs w:val="22"/>
        </w:rPr>
        <w:t>sensibilización, divulgativas, informativas y formativas de aquellas materias que se consideren de interés y puedan ser ayuda a las empresas en su organización. En este sentido, se realizará una publicación digital donde se informe de los resultados de las ayudas al diseño industrial, exponiendo casos concretos de éxito.</w:t>
      </w:r>
    </w:p>
    <w:p w:rsidR="001425BF" w:rsidRPr="0057543D" w:rsidRDefault="001425BF" w:rsidP="001425BF">
      <w:pPr>
        <w:pBdr>
          <w:top w:val="nil"/>
          <w:left w:val="nil"/>
          <w:bottom w:val="nil"/>
          <w:right w:val="nil"/>
          <w:between w:val="nil"/>
        </w:pBdr>
        <w:ind w:left="709" w:firstLine="142"/>
        <w:jc w:val="both"/>
        <w:rPr>
          <w:rFonts w:ascii="Verdana" w:eastAsia="Verdana" w:hAnsi="Verdana" w:cs="Verdana"/>
          <w:color w:val="FF0000"/>
          <w:sz w:val="22"/>
          <w:szCs w:val="22"/>
        </w:rPr>
      </w:pPr>
    </w:p>
    <w:p w:rsidR="001425BF" w:rsidRPr="006A0ED7"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6A0ED7">
        <w:rPr>
          <w:rFonts w:ascii="Verdana" w:eastAsia="Verdana" w:hAnsi="Verdana" w:cs="Verdana"/>
          <w:sz w:val="22"/>
          <w:szCs w:val="22"/>
        </w:rPr>
        <w:t>De igual modo</w:t>
      </w:r>
      <w:r>
        <w:rPr>
          <w:rFonts w:ascii="Verdana" w:eastAsia="Verdana" w:hAnsi="Verdana" w:cs="Verdana"/>
          <w:sz w:val="22"/>
          <w:szCs w:val="22"/>
        </w:rPr>
        <w:t>,</w:t>
      </w:r>
      <w:r w:rsidRPr="006A0ED7">
        <w:rPr>
          <w:rFonts w:ascii="Verdana" w:eastAsia="Verdana" w:hAnsi="Verdana" w:cs="Verdana"/>
          <w:sz w:val="22"/>
          <w:szCs w:val="22"/>
        </w:rPr>
        <w:t xml:space="preserve"> se podrá trasladar a la web una plataforma de contacto y relación entre necesidades de las PYME y servicios de las empresas habilitadoras de las tecnologías y transformación digital de la Industria 4.0 y una plataforma de contacto y relación entre las necesidades de las PYME y servicios de las empresas en materia de sostenibilidad y economía circular.</w:t>
      </w:r>
    </w:p>
    <w:p w:rsidR="001425BF" w:rsidRPr="006A0ED7" w:rsidRDefault="001425BF" w:rsidP="001425BF">
      <w:pPr>
        <w:pBdr>
          <w:top w:val="nil"/>
          <w:left w:val="nil"/>
          <w:bottom w:val="nil"/>
          <w:right w:val="nil"/>
          <w:between w:val="nil"/>
        </w:pBdr>
        <w:ind w:left="709" w:firstLine="142"/>
        <w:jc w:val="both"/>
        <w:rPr>
          <w:rFonts w:ascii="Verdana" w:eastAsia="Verdana" w:hAnsi="Verdana" w:cs="Verdana"/>
          <w:sz w:val="22"/>
          <w:szCs w:val="22"/>
        </w:rPr>
      </w:pPr>
    </w:p>
    <w:p w:rsidR="001425BF" w:rsidRDefault="001425BF" w:rsidP="001425BF">
      <w:pPr>
        <w:pBdr>
          <w:top w:val="nil"/>
          <w:left w:val="nil"/>
          <w:bottom w:val="nil"/>
          <w:right w:val="nil"/>
          <w:between w:val="nil"/>
        </w:pBdr>
        <w:ind w:left="709" w:firstLine="142"/>
        <w:jc w:val="both"/>
        <w:rPr>
          <w:rFonts w:ascii="Verdana" w:eastAsia="Verdana" w:hAnsi="Verdana" w:cs="Verdana"/>
          <w:color w:val="FF0000"/>
          <w:sz w:val="22"/>
          <w:szCs w:val="22"/>
        </w:rPr>
      </w:pPr>
      <w:r>
        <w:rPr>
          <w:rFonts w:ascii="Verdana" w:eastAsia="Verdana" w:hAnsi="Verdana" w:cs="Verdana"/>
          <w:sz w:val="22"/>
          <w:szCs w:val="22"/>
        </w:rPr>
        <w:t xml:space="preserve">Se mantendrá y actualizará </w:t>
      </w:r>
      <w:r w:rsidRPr="001703B8">
        <w:rPr>
          <w:rFonts w:ascii="Verdana" w:eastAsia="Verdana" w:hAnsi="Verdana" w:cs="Verdana"/>
          <w:sz w:val="22"/>
          <w:szCs w:val="22"/>
        </w:rPr>
        <w:t>una</w:t>
      </w:r>
      <w:r w:rsidRPr="00644920">
        <w:rPr>
          <w:rFonts w:ascii="Verdana" w:eastAsia="Verdana" w:hAnsi="Verdana" w:cs="Verdana"/>
          <w:sz w:val="22"/>
          <w:szCs w:val="22"/>
        </w:rPr>
        <w:t xml:space="preserve"> base de datos integrada</w:t>
      </w:r>
      <w:r>
        <w:rPr>
          <w:rFonts w:ascii="Verdana" w:eastAsia="Verdana" w:hAnsi="Verdana" w:cs="Verdana"/>
          <w:sz w:val="22"/>
          <w:szCs w:val="22"/>
        </w:rPr>
        <w:t xml:space="preserve"> de usuarios ARIES de las tres provincias; que se tratará siempre en atención a lo dispuesto por la normativa de protección de datos.  </w:t>
      </w:r>
      <w:r w:rsidRPr="006A0ED7">
        <w:rPr>
          <w:rFonts w:ascii="Verdana" w:eastAsia="Verdana" w:hAnsi="Verdana" w:cs="Verdana"/>
          <w:sz w:val="22"/>
          <w:szCs w:val="22"/>
        </w:rPr>
        <w:t xml:space="preserve">Una de las </w:t>
      </w:r>
      <w:r>
        <w:rPr>
          <w:rFonts w:ascii="Verdana" w:eastAsia="Verdana" w:hAnsi="Verdana" w:cs="Verdana"/>
          <w:sz w:val="22"/>
          <w:szCs w:val="22"/>
        </w:rPr>
        <w:t>funcionalidades</w:t>
      </w:r>
      <w:r w:rsidRPr="006A0ED7">
        <w:rPr>
          <w:rFonts w:ascii="Verdana" w:eastAsia="Verdana" w:hAnsi="Verdana" w:cs="Verdana"/>
          <w:sz w:val="22"/>
          <w:szCs w:val="22"/>
        </w:rPr>
        <w:t xml:space="preserve"> de la base de </w:t>
      </w:r>
      <w:r w:rsidRPr="006A0ED7">
        <w:rPr>
          <w:rFonts w:ascii="Verdana" w:eastAsia="Verdana" w:hAnsi="Verdana" w:cs="Verdana"/>
          <w:sz w:val="22"/>
          <w:szCs w:val="22"/>
        </w:rPr>
        <w:lastRenderedPageBreak/>
        <w:t>datos será la generación de una lista de correo autorizada que permita</w:t>
      </w:r>
      <w:r>
        <w:rPr>
          <w:rFonts w:ascii="Verdana" w:eastAsia="Verdana" w:hAnsi="Verdana" w:cs="Verdana"/>
          <w:sz w:val="22"/>
          <w:szCs w:val="22"/>
        </w:rPr>
        <w:t xml:space="preserve"> la remisión de información de interés para las empresas. </w:t>
      </w:r>
      <w:r w:rsidRPr="006A0ED7">
        <w:rPr>
          <w:rFonts w:ascii="Verdana" w:eastAsia="Verdana" w:hAnsi="Verdana" w:cs="Verdana"/>
          <w:sz w:val="22"/>
          <w:szCs w:val="22"/>
        </w:rPr>
        <w:t>La base de datos será accesible, en la forma técnicamente posible, desde el Servicio de Apoyo a la PYME del Gobierno de Aragón.</w:t>
      </w:r>
    </w:p>
    <w:p w:rsidR="001425BF" w:rsidRPr="006A0ED7"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6A0ED7">
        <w:rPr>
          <w:rFonts w:ascii="Verdana" w:eastAsia="Verdana" w:hAnsi="Verdana" w:cs="Verdana"/>
          <w:sz w:val="22"/>
          <w:szCs w:val="22"/>
        </w:rPr>
        <w:t xml:space="preserve">El personal de perfil informático de las Cámaras </w:t>
      </w:r>
      <w:r>
        <w:rPr>
          <w:rFonts w:ascii="Verdana" w:eastAsia="Verdana" w:hAnsi="Verdana" w:cs="Verdana"/>
          <w:color w:val="000000"/>
          <w:sz w:val="22"/>
          <w:szCs w:val="22"/>
        </w:rPr>
        <w:t>Oficiales de Comercio, Industria y Servicios</w:t>
      </w:r>
      <w:r w:rsidRPr="006A0ED7">
        <w:rPr>
          <w:rFonts w:ascii="Verdana" w:eastAsia="Verdana" w:hAnsi="Verdana" w:cs="Verdana"/>
          <w:sz w:val="22"/>
          <w:szCs w:val="22"/>
        </w:rPr>
        <w:t xml:space="preserve"> que esté a cargo de la base de datos de usuarios de ARIES </w:t>
      </w:r>
      <w:r>
        <w:rPr>
          <w:rFonts w:ascii="Verdana" w:eastAsia="Verdana" w:hAnsi="Verdana" w:cs="Verdana"/>
          <w:sz w:val="22"/>
          <w:szCs w:val="22"/>
        </w:rPr>
        <w:t xml:space="preserve">podrá colaborar en la explotación de datos de </w:t>
      </w:r>
      <w:r w:rsidRPr="006A0ED7">
        <w:rPr>
          <w:rFonts w:ascii="Verdana" w:eastAsia="Verdana" w:hAnsi="Verdana" w:cs="Verdana"/>
          <w:sz w:val="22"/>
          <w:szCs w:val="22"/>
        </w:rPr>
        <w:t>las ayudas gestionadas por el Servicio de Apoyo a PYME del Gobierno de Aragón a fin</w:t>
      </w:r>
      <w:r>
        <w:rPr>
          <w:rFonts w:ascii="Verdana" w:eastAsia="Verdana" w:hAnsi="Verdana" w:cs="Verdana"/>
          <w:sz w:val="22"/>
          <w:szCs w:val="22"/>
        </w:rPr>
        <w:t xml:space="preserve">es estadísticos y de estudio que permitan una mejor definición de actuaciones futuras. Todo lo anterior, con pleno sometimiento a las condiciones establecidas en este convenio en cuanto a protección de datos. </w:t>
      </w: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r>
        <w:rPr>
          <w:rFonts w:ascii="Verdana" w:eastAsia="Verdana" w:hAnsi="Verdana" w:cs="Verdana"/>
          <w:color w:val="000000"/>
          <w:sz w:val="22"/>
          <w:szCs w:val="22"/>
        </w:rPr>
        <w:t>Adicionalmente los técnicos de la red ARIES informarán, orientarán y asistirán a las empresas participantes en el programa, en cualquiera de sus ejes, para que éstas puedan darse de alta en el registro de la web pyme.aragon.es</w:t>
      </w:r>
    </w:p>
    <w:p w:rsidR="001425BF" w:rsidRDefault="001425BF" w:rsidP="001425BF">
      <w:pPr>
        <w:pBdr>
          <w:top w:val="nil"/>
          <w:left w:val="nil"/>
          <w:bottom w:val="nil"/>
          <w:right w:val="nil"/>
          <w:between w:val="nil"/>
        </w:pBdr>
        <w:ind w:left="709" w:firstLine="142"/>
        <w:jc w:val="both"/>
        <w:rPr>
          <w:rFonts w:ascii="Verdana" w:eastAsia="Verdana" w:hAnsi="Verdana" w:cs="Verdana"/>
          <w:color w:val="000000"/>
          <w:sz w:val="22"/>
          <w:szCs w:val="22"/>
        </w:rPr>
      </w:pPr>
    </w:p>
    <w:p w:rsidR="001425BF" w:rsidRPr="006A0ED7" w:rsidRDefault="001425BF" w:rsidP="001425BF">
      <w:pPr>
        <w:pBdr>
          <w:top w:val="nil"/>
          <w:left w:val="nil"/>
          <w:bottom w:val="nil"/>
          <w:right w:val="nil"/>
          <w:between w:val="nil"/>
        </w:pBdr>
        <w:ind w:left="709" w:firstLine="142"/>
        <w:jc w:val="both"/>
        <w:rPr>
          <w:rFonts w:ascii="Verdana" w:eastAsia="Verdana" w:hAnsi="Verdana" w:cs="Verdana"/>
          <w:sz w:val="22"/>
          <w:szCs w:val="22"/>
        </w:rPr>
      </w:pPr>
      <w:r w:rsidRPr="006A0ED7">
        <w:rPr>
          <w:rFonts w:ascii="Verdana" w:eastAsia="Verdana" w:hAnsi="Verdana" w:cs="Verdana"/>
          <w:sz w:val="22"/>
          <w:szCs w:val="22"/>
        </w:rPr>
        <w:t>Para la generación de las relaciones empresariales y la información de interés para las empresas usuarias del programa, se podrá disponer de un sitio web y de canales de comunicación como boletines electrónicos de noticias o similares.</w:t>
      </w:r>
    </w:p>
    <w:p w:rsidR="001425BF" w:rsidRDefault="001425BF" w:rsidP="001425BF">
      <w:pPr>
        <w:tabs>
          <w:tab w:val="right" w:pos="8504"/>
        </w:tabs>
        <w:jc w:val="both"/>
        <w:rPr>
          <w:rFonts w:ascii="Verdana" w:eastAsia="Verdana" w:hAnsi="Verdana" w:cs="Verdana"/>
          <w:color w:val="000000"/>
          <w:sz w:val="22"/>
          <w:szCs w:val="22"/>
        </w:rPr>
      </w:pPr>
      <w:r>
        <w:rPr>
          <w:rFonts w:ascii="Verdana" w:eastAsia="Verdana" w:hAnsi="Verdana" w:cs="Verdana"/>
          <w:color w:val="000000"/>
          <w:sz w:val="22"/>
          <w:szCs w:val="22"/>
        </w:rPr>
        <w:tab/>
      </w:r>
    </w:p>
    <w:p w:rsidR="001425BF" w:rsidRDefault="001425BF" w:rsidP="001425BF">
      <w:pPr>
        <w:ind w:left="709" w:firstLine="142"/>
        <w:rPr>
          <w:rFonts w:ascii="Verdana" w:eastAsia="Verdana" w:hAnsi="Verdana" w:cs="Verdana"/>
          <w:i/>
          <w:color w:val="000000"/>
          <w:sz w:val="22"/>
          <w:szCs w:val="22"/>
        </w:rPr>
      </w:pPr>
      <w:r>
        <w:rPr>
          <w:rFonts w:ascii="Verdana" w:eastAsia="Verdana" w:hAnsi="Verdana" w:cs="Verdana"/>
          <w:i/>
          <w:color w:val="000000"/>
          <w:sz w:val="22"/>
          <w:szCs w:val="22"/>
        </w:rPr>
        <w:t>· Eje 4: Financiación de las PYME</w:t>
      </w:r>
    </w:p>
    <w:p w:rsidR="001425BF" w:rsidRPr="004105BF" w:rsidRDefault="001425BF" w:rsidP="001425BF">
      <w:pPr>
        <w:rPr>
          <w:sz w:val="24"/>
          <w:szCs w:val="24"/>
        </w:rPr>
      </w:pPr>
    </w:p>
    <w:p w:rsidR="001425BF" w:rsidRPr="004105BF" w:rsidRDefault="001425BF" w:rsidP="001425BF">
      <w:pPr>
        <w:shd w:val="clear" w:color="auto" w:fill="FFFFFF"/>
        <w:ind w:left="700" w:firstLine="140"/>
        <w:jc w:val="both"/>
        <w:rPr>
          <w:sz w:val="24"/>
          <w:szCs w:val="24"/>
        </w:rPr>
      </w:pPr>
      <w:r w:rsidRPr="004105BF">
        <w:rPr>
          <w:rFonts w:ascii="Verdana" w:hAnsi="Verdana"/>
          <w:color w:val="000000"/>
          <w:sz w:val="22"/>
          <w:szCs w:val="22"/>
        </w:rPr>
        <w:t>Este eje se ofrece para dar un asesoramiento sobre líneas de subvenciones y financiación a la PYME aragonesa, facilitando el acceso de ésta a la financiación, especialmente de origen público. Está previsto que se informe y oriente en todo tipo de ayudas que puedan resultar oportunas a los proyectos empresariales, tanto mediante acciones de divulgación general como específicas para cada iniciativa. Se prestará particular atención al asesoramiento en las ayudas del área de industria y PYME del Gobierno de Aragón, así como a las medidas e instrumentos de apoyo económico del Ministerio competente en materia de industria, integrándose en el servicio denominado Financia Industria.</w:t>
      </w:r>
    </w:p>
    <w:p w:rsidR="001425BF" w:rsidRDefault="001425BF" w:rsidP="001425BF">
      <w:pPr>
        <w:spacing w:before="120"/>
        <w:ind w:left="720"/>
        <w:jc w:val="both"/>
        <w:rPr>
          <w:rFonts w:ascii="Verdana" w:eastAsia="Verdana" w:hAnsi="Verdana" w:cs="Verdana"/>
          <w:color w:val="000000"/>
          <w:sz w:val="22"/>
          <w:szCs w:val="22"/>
        </w:rPr>
      </w:pPr>
      <w:r>
        <w:rPr>
          <w:rFonts w:ascii="Verdana" w:eastAsia="Verdana" w:hAnsi="Verdana" w:cs="Verdana"/>
          <w:color w:val="000000"/>
          <w:sz w:val="22"/>
          <w:szCs w:val="22"/>
        </w:rPr>
        <w:t xml:space="preserve">Las Cámaras Oficiales de Comercio, Industria y Servicios realizarán acciones de difusión de las actuaciones incluidas en este convenio entre empresarios de la respectiva provincia, mediante publicidad o la realización de jornadas relacionadas con las actuaciones objeto del convenio que promuevan la participación de los empresarios en las mismas. </w:t>
      </w:r>
    </w:p>
    <w:p w:rsidR="001425BF" w:rsidRDefault="001425BF" w:rsidP="00720D41">
      <w:pPr>
        <w:spacing w:before="120"/>
        <w:ind w:left="708"/>
        <w:jc w:val="both"/>
        <w:rPr>
          <w:rFonts w:ascii="Verdana" w:eastAsia="Verdana" w:hAnsi="Verdana" w:cs="Verdana"/>
          <w:color w:val="000000"/>
          <w:sz w:val="22"/>
          <w:szCs w:val="22"/>
        </w:rPr>
      </w:pPr>
      <w:r>
        <w:rPr>
          <w:rFonts w:ascii="Verdana" w:eastAsia="Verdana" w:hAnsi="Verdana" w:cs="Verdana"/>
          <w:color w:val="000000"/>
          <w:sz w:val="22"/>
          <w:szCs w:val="22"/>
        </w:rPr>
        <w:t>La realización de las actuaciones citadas se llevará a cabo por las Cámaras Oficiales de Comercio, Industria y Servicios con medios propios o ajenos.</w:t>
      </w:r>
    </w:p>
    <w:p w:rsidR="001425BF" w:rsidRDefault="001425BF" w:rsidP="001425BF">
      <w:pPr>
        <w:numPr>
          <w:ilvl w:val="0"/>
          <w:numId w:val="2"/>
        </w:numPr>
        <w:spacing w:before="240"/>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Los indicadores de ejecución sobre las acciones objeto de colaboración, que están incluidas en el Plan Cameral de Competitividad de Aragón son, conforme al presente convenio, los siguientes:</w:t>
      </w:r>
    </w:p>
    <w:p w:rsidR="001425BF" w:rsidRDefault="001425BF" w:rsidP="001425BF">
      <w:pPr>
        <w:rPr>
          <w:rFonts w:ascii="Verdana" w:eastAsia="Verdana" w:hAnsi="Verdana" w:cs="Verdana"/>
          <w:sz w:val="22"/>
          <w:szCs w:val="22"/>
        </w:rPr>
      </w:pPr>
      <w:r>
        <w:rPr>
          <w:rFonts w:ascii="Verdana" w:eastAsia="Verdana" w:hAnsi="Verdana" w:cs="Verdana"/>
          <w:sz w:val="22"/>
          <w:szCs w:val="22"/>
        </w:rPr>
        <w:br w:type="page"/>
      </w:r>
    </w:p>
    <w:p w:rsidR="001425BF" w:rsidRDefault="001425BF" w:rsidP="001425BF">
      <w:pPr>
        <w:pBdr>
          <w:top w:val="nil"/>
          <w:left w:val="nil"/>
          <w:bottom w:val="nil"/>
          <w:right w:val="nil"/>
          <w:between w:val="nil"/>
        </w:pBdr>
        <w:spacing w:before="120"/>
        <w:ind w:left="720"/>
        <w:jc w:val="both"/>
        <w:rPr>
          <w:rFonts w:ascii="Verdana" w:eastAsia="Verdana" w:hAnsi="Verdana" w:cs="Verdana"/>
          <w:sz w:val="22"/>
          <w:szCs w:val="22"/>
        </w:rPr>
      </w:pPr>
    </w:p>
    <w:p w:rsidR="001425BF" w:rsidRPr="001B2A75" w:rsidRDefault="001425BF" w:rsidP="001425BF">
      <w:pPr>
        <w:spacing w:line="360" w:lineRule="auto"/>
        <w:ind w:left="284" w:firstLine="540"/>
        <w:jc w:val="both"/>
        <w:rPr>
          <w:rFonts w:ascii="Arial" w:hAnsi="Arial" w:cs="Arial"/>
          <w:sz w:val="18"/>
          <w:szCs w:val="18"/>
          <w:u w:val="single"/>
        </w:rPr>
      </w:pPr>
      <w:r w:rsidRPr="001B2A75">
        <w:rPr>
          <w:rFonts w:ascii="Arial" w:hAnsi="Arial" w:cs="Arial"/>
          <w:sz w:val="18"/>
          <w:szCs w:val="18"/>
          <w:u w:val="single"/>
        </w:rPr>
        <w:t>1-Creación y ampliación de empresas</w:t>
      </w:r>
    </w:p>
    <w:p w:rsidR="001425BF" w:rsidRPr="001B2A75" w:rsidRDefault="001425BF" w:rsidP="001425BF">
      <w:pPr>
        <w:ind w:left="284" w:firstLine="540"/>
        <w:jc w:val="both"/>
        <w:rPr>
          <w:rFonts w:ascii="Arial" w:hAnsi="Arial" w:cs="Arial"/>
        </w:rPr>
      </w:pPr>
    </w:p>
    <w:p w:rsidR="001425BF" w:rsidRPr="001B2A75" w:rsidRDefault="001425BF" w:rsidP="001425BF">
      <w:pPr>
        <w:numPr>
          <w:ilvl w:val="0"/>
          <w:numId w:val="16"/>
        </w:numPr>
        <w:ind w:left="284" w:firstLine="540"/>
        <w:jc w:val="both"/>
        <w:rPr>
          <w:rFonts w:ascii="Arial" w:hAnsi="Arial" w:cs="Arial"/>
        </w:rPr>
      </w:pPr>
      <w:r w:rsidRPr="001B2A75">
        <w:rPr>
          <w:rFonts w:ascii="Arial" w:hAnsi="Arial" w:cs="Arial"/>
        </w:rPr>
        <w:t>Indicadores de actividad, vinculados a objetivos:</w:t>
      </w:r>
    </w:p>
    <w:p w:rsidR="001425BF" w:rsidRPr="001B2A75" w:rsidRDefault="001425BF" w:rsidP="001425BF">
      <w:pPr>
        <w:numPr>
          <w:ilvl w:val="1"/>
          <w:numId w:val="18"/>
        </w:numPr>
        <w:spacing w:line="360" w:lineRule="auto"/>
        <w:ind w:left="284" w:firstLine="540"/>
        <w:jc w:val="both"/>
        <w:rPr>
          <w:rFonts w:ascii="Arial" w:hAnsi="Arial" w:cs="Arial"/>
        </w:rPr>
      </w:pPr>
      <w:r w:rsidRPr="001B2A75">
        <w:rPr>
          <w:rFonts w:ascii="Arial" w:hAnsi="Arial" w:cs="Arial"/>
        </w:rPr>
        <w:t>Asesoramientos nuevos proyectos</w:t>
      </w:r>
    </w:p>
    <w:p w:rsidR="001425BF" w:rsidRPr="001B2A75" w:rsidRDefault="001425BF" w:rsidP="001425BF">
      <w:pPr>
        <w:numPr>
          <w:ilvl w:val="1"/>
          <w:numId w:val="18"/>
        </w:numPr>
        <w:spacing w:line="360" w:lineRule="auto"/>
        <w:ind w:left="284" w:firstLine="540"/>
        <w:jc w:val="both"/>
        <w:rPr>
          <w:rFonts w:ascii="Arial" w:hAnsi="Arial" w:cs="Arial"/>
        </w:rPr>
      </w:pPr>
      <w:r w:rsidRPr="001B2A75">
        <w:rPr>
          <w:rFonts w:ascii="Arial" w:hAnsi="Arial" w:cs="Arial"/>
        </w:rPr>
        <w:t xml:space="preserve">Planes de viabilidad </w:t>
      </w:r>
    </w:p>
    <w:p w:rsidR="001425BF" w:rsidRPr="001B2A75" w:rsidRDefault="001425BF" w:rsidP="001425BF">
      <w:pPr>
        <w:tabs>
          <w:tab w:val="num" w:pos="1788"/>
        </w:tabs>
        <w:ind w:left="284" w:firstLine="540"/>
        <w:jc w:val="both"/>
        <w:rPr>
          <w:rFonts w:ascii="Arial" w:hAnsi="Arial" w:cs="Arial"/>
        </w:rPr>
      </w:pPr>
    </w:p>
    <w:tbl>
      <w:tblPr>
        <w:tblW w:w="7875" w:type="dxa"/>
        <w:tblInd w:w="765" w:type="dxa"/>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0" w:type="dxa"/>
          <w:right w:w="70" w:type="dxa"/>
        </w:tblCellMar>
        <w:tblLook w:val="04A0" w:firstRow="1" w:lastRow="0" w:firstColumn="1" w:lastColumn="0" w:noHBand="0" w:noVBand="1"/>
      </w:tblPr>
      <w:tblGrid>
        <w:gridCol w:w="890"/>
        <w:gridCol w:w="2941"/>
        <w:gridCol w:w="1051"/>
        <w:gridCol w:w="951"/>
        <w:gridCol w:w="1201"/>
        <w:gridCol w:w="841"/>
      </w:tblGrid>
      <w:tr w:rsidR="001425BF" w:rsidRPr="001B2A75" w:rsidTr="001703B8">
        <w:tc>
          <w:tcPr>
            <w:tcW w:w="890" w:type="dxa"/>
            <w:tcBorders>
              <w:top w:val="nil"/>
              <w:left w:val="nil"/>
              <w:bottom w:val="single" w:sz="4" w:space="0" w:color="auto"/>
              <w:right w:val="single" w:sz="4" w:space="0" w:color="auto"/>
            </w:tcBorders>
            <w:vAlign w:val="center"/>
          </w:tcPr>
          <w:p w:rsidR="001425BF" w:rsidRPr="001B2A75" w:rsidRDefault="001425BF" w:rsidP="001703B8">
            <w:pPr>
              <w:spacing w:before="60" w:after="60"/>
              <w:ind w:left="284" w:right="170" w:firstLine="540"/>
              <w:jc w:val="center"/>
              <w:rPr>
                <w:rFonts w:ascii="Arial" w:hAnsi="Arial" w:cs="Arial"/>
                <w:b/>
                <w:caps/>
              </w:rPr>
            </w:pPr>
          </w:p>
        </w:tc>
        <w:tc>
          <w:tcPr>
            <w:tcW w:w="2941" w:type="dxa"/>
            <w:tcBorders>
              <w:top w:val="single" w:sz="4" w:space="0" w:color="auto"/>
              <w:left w:val="single" w:sz="4" w:space="0" w:color="auto"/>
              <w:bottom w:val="single" w:sz="4" w:space="0" w:color="auto"/>
              <w:right w:val="single" w:sz="4" w:space="0" w:color="auto"/>
            </w:tcBorders>
            <w:noWrap/>
            <w:vAlign w:val="center"/>
            <w:hideMark/>
          </w:tcPr>
          <w:p w:rsidR="001425BF" w:rsidRPr="001B2A75" w:rsidRDefault="001425BF" w:rsidP="001703B8">
            <w:pPr>
              <w:spacing w:before="60" w:after="60"/>
              <w:jc w:val="center"/>
              <w:rPr>
                <w:rFonts w:ascii="Arial" w:hAnsi="Arial" w:cs="Arial"/>
                <w:b/>
                <w:caps/>
              </w:rPr>
            </w:pPr>
            <w:r w:rsidRPr="001B2A75">
              <w:rPr>
                <w:rFonts w:ascii="Arial" w:hAnsi="Arial" w:cs="Arial"/>
                <w:b/>
                <w:caps/>
              </w:rPr>
              <w:t>tipo de estudio</w:t>
            </w:r>
          </w:p>
        </w:tc>
        <w:tc>
          <w:tcPr>
            <w:tcW w:w="1051" w:type="dxa"/>
            <w:tcBorders>
              <w:top w:val="single" w:sz="6" w:space="0" w:color="auto"/>
              <w:left w:val="single" w:sz="4" w:space="0" w:color="auto"/>
              <w:bottom w:val="single" w:sz="4" w:space="0" w:color="auto"/>
              <w:right w:val="single" w:sz="4" w:space="0" w:color="auto"/>
            </w:tcBorders>
            <w:noWrap/>
            <w:vAlign w:val="center"/>
            <w:hideMark/>
          </w:tcPr>
          <w:p w:rsidR="001425BF" w:rsidRPr="001B2A75" w:rsidRDefault="001425BF" w:rsidP="001703B8">
            <w:pPr>
              <w:spacing w:before="60" w:after="60"/>
              <w:jc w:val="center"/>
              <w:rPr>
                <w:rFonts w:ascii="Arial" w:hAnsi="Arial" w:cs="Arial"/>
                <w:b/>
                <w:caps/>
              </w:rPr>
            </w:pPr>
            <w:r w:rsidRPr="001B2A75">
              <w:rPr>
                <w:rFonts w:ascii="Arial" w:hAnsi="Arial" w:cs="Arial"/>
                <w:b/>
              </w:rPr>
              <w:t>Huesca</w:t>
            </w:r>
          </w:p>
        </w:tc>
        <w:tc>
          <w:tcPr>
            <w:tcW w:w="951" w:type="dxa"/>
            <w:tcBorders>
              <w:top w:val="single" w:sz="6" w:space="0" w:color="auto"/>
              <w:left w:val="single" w:sz="4" w:space="0" w:color="auto"/>
              <w:bottom w:val="single" w:sz="4" w:space="0" w:color="auto"/>
              <w:right w:val="single" w:sz="4" w:space="0" w:color="auto"/>
            </w:tcBorders>
            <w:vAlign w:val="center"/>
            <w:hideMark/>
          </w:tcPr>
          <w:p w:rsidR="001425BF" w:rsidRPr="001B2A75" w:rsidRDefault="001425BF" w:rsidP="001703B8">
            <w:pPr>
              <w:spacing w:before="60" w:after="60"/>
              <w:jc w:val="center"/>
              <w:rPr>
                <w:rFonts w:ascii="Arial" w:hAnsi="Arial" w:cs="Arial"/>
                <w:b/>
                <w:caps/>
              </w:rPr>
            </w:pPr>
            <w:r w:rsidRPr="001B2A75">
              <w:rPr>
                <w:rFonts w:ascii="Arial" w:hAnsi="Arial" w:cs="Arial"/>
                <w:b/>
              </w:rPr>
              <w:t>Teruel</w:t>
            </w:r>
          </w:p>
        </w:tc>
        <w:tc>
          <w:tcPr>
            <w:tcW w:w="1201" w:type="dxa"/>
            <w:tcBorders>
              <w:top w:val="single" w:sz="6" w:space="0" w:color="auto"/>
              <w:left w:val="single" w:sz="4" w:space="0" w:color="auto"/>
              <w:bottom w:val="single" w:sz="4" w:space="0" w:color="auto"/>
              <w:right w:val="single" w:sz="4" w:space="0" w:color="auto"/>
            </w:tcBorders>
            <w:vAlign w:val="center"/>
            <w:hideMark/>
          </w:tcPr>
          <w:p w:rsidR="001425BF" w:rsidRPr="001B2A75" w:rsidRDefault="001425BF" w:rsidP="001703B8">
            <w:pPr>
              <w:spacing w:before="60" w:after="60"/>
              <w:jc w:val="center"/>
              <w:rPr>
                <w:rFonts w:ascii="Arial" w:hAnsi="Arial" w:cs="Arial"/>
                <w:b/>
                <w:caps/>
              </w:rPr>
            </w:pPr>
            <w:r w:rsidRPr="001B2A75">
              <w:rPr>
                <w:rFonts w:ascii="Arial" w:hAnsi="Arial" w:cs="Arial"/>
                <w:b/>
              </w:rPr>
              <w:t>Zaragoza</w:t>
            </w:r>
          </w:p>
        </w:tc>
        <w:tc>
          <w:tcPr>
            <w:tcW w:w="841" w:type="dxa"/>
            <w:tcBorders>
              <w:top w:val="single" w:sz="6" w:space="0" w:color="auto"/>
              <w:left w:val="single" w:sz="4" w:space="0" w:color="auto"/>
              <w:bottom w:val="single" w:sz="4" w:space="0" w:color="auto"/>
              <w:right w:val="single" w:sz="6" w:space="0" w:color="auto"/>
            </w:tcBorders>
            <w:noWrap/>
            <w:vAlign w:val="center"/>
            <w:hideMark/>
          </w:tcPr>
          <w:p w:rsidR="001425BF" w:rsidRPr="001B2A75" w:rsidRDefault="001425BF" w:rsidP="001703B8">
            <w:pPr>
              <w:spacing w:before="60" w:after="60"/>
              <w:jc w:val="center"/>
              <w:rPr>
                <w:rFonts w:ascii="Arial" w:hAnsi="Arial" w:cs="Arial"/>
                <w:b/>
                <w:caps/>
              </w:rPr>
            </w:pPr>
            <w:r w:rsidRPr="001B2A75">
              <w:rPr>
                <w:rFonts w:ascii="Arial" w:hAnsi="Arial" w:cs="Arial"/>
                <w:b/>
              </w:rPr>
              <w:t>Total</w:t>
            </w:r>
          </w:p>
        </w:tc>
      </w:tr>
      <w:tr w:rsidR="001425BF" w:rsidRPr="001B2A75" w:rsidTr="001703B8">
        <w:tc>
          <w:tcPr>
            <w:tcW w:w="890" w:type="dxa"/>
            <w:vMerge w:val="restart"/>
            <w:tcBorders>
              <w:top w:val="single" w:sz="4" w:space="0" w:color="auto"/>
              <w:left w:val="single" w:sz="4" w:space="0" w:color="auto"/>
              <w:bottom w:val="single" w:sz="4" w:space="0" w:color="auto"/>
              <w:right w:val="single" w:sz="4" w:space="0" w:color="auto"/>
            </w:tcBorders>
            <w:vAlign w:val="center"/>
            <w:hideMark/>
          </w:tcPr>
          <w:p w:rsidR="001425BF" w:rsidRPr="001B2A75" w:rsidRDefault="001425BF" w:rsidP="001703B8">
            <w:pPr>
              <w:spacing w:before="60" w:after="60"/>
              <w:rPr>
                <w:rFonts w:ascii="Arial" w:hAnsi="Arial" w:cs="Arial"/>
                <w:bCs/>
                <w:caps/>
              </w:rPr>
            </w:pPr>
            <w:r w:rsidRPr="001B2A75">
              <w:rPr>
                <w:rFonts w:ascii="Arial" w:hAnsi="Arial" w:cs="Arial"/>
                <w:bCs/>
                <w:caps/>
              </w:rPr>
              <w:t>eje 1</w:t>
            </w:r>
          </w:p>
        </w:tc>
        <w:tc>
          <w:tcPr>
            <w:tcW w:w="2941" w:type="dxa"/>
            <w:tcBorders>
              <w:top w:val="single" w:sz="4" w:space="0" w:color="auto"/>
              <w:left w:val="single" w:sz="4" w:space="0" w:color="auto"/>
              <w:bottom w:val="single" w:sz="4" w:space="0" w:color="auto"/>
              <w:right w:val="single" w:sz="4" w:space="0" w:color="auto"/>
            </w:tcBorders>
            <w:noWrap/>
            <w:vAlign w:val="center"/>
            <w:hideMark/>
          </w:tcPr>
          <w:p w:rsidR="001425BF" w:rsidRPr="006A0ED7" w:rsidRDefault="001425BF" w:rsidP="001703B8">
            <w:pPr>
              <w:spacing w:before="60" w:after="60"/>
              <w:rPr>
                <w:rFonts w:ascii="Arial" w:hAnsi="Arial" w:cs="Arial"/>
                <w:bCs/>
                <w:sz w:val="18"/>
                <w:szCs w:val="18"/>
              </w:rPr>
            </w:pPr>
            <w:r w:rsidRPr="006A0ED7">
              <w:rPr>
                <w:rFonts w:ascii="Arial" w:hAnsi="Arial" w:cs="Arial"/>
                <w:bCs/>
                <w:sz w:val="18"/>
                <w:szCs w:val="18"/>
              </w:rPr>
              <w:t>Asesoramientos nuevos proyectos</w:t>
            </w:r>
          </w:p>
        </w:tc>
        <w:tc>
          <w:tcPr>
            <w:tcW w:w="105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xml:space="preserve">121 </w:t>
            </w:r>
          </w:p>
        </w:tc>
        <w:tc>
          <w:tcPr>
            <w:tcW w:w="95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201</w:t>
            </w:r>
          </w:p>
        </w:tc>
        <w:tc>
          <w:tcPr>
            <w:tcW w:w="120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100</w:t>
            </w:r>
          </w:p>
        </w:tc>
        <w:tc>
          <w:tcPr>
            <w:tcW w:w="84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jc w:val="center"/>
              <w:rPr>
                <w:rFonts w:ascii="Arial" w:hAnsi="Arial" w:cs="Arial"/>
                <w:sz w:val="18"/>
                <w:szCs w:val="18"/>
              </w:rPr>
            </w:pPr>
            <w:r w:rsidRPr="006A0ED7">
              <w:rPr>
                <w:rFonts w:ascii="Arial" w:hAnsi="Arial" w:cs="Arial"/>
                <w:sz w:val="18"/>
                <w:szCs w:val="18"/>
              </w:rPr>
              <w:t>422</w:t>
            </w:r>
          </w:p>
        </w:tc>
      </w:tr>
      <w:tr w:rsidR="001425BF" w:rsidRPr="001B2A75" w:rsidTr="001703B8">
        <w:tc>
          <w:tcPr>
            <w:tcW w:w="890" w:type="dxa"/>
            <w:vMerge/>
            <w:tcBorders>
              <w:top w:val="single" w:sz="4" w:space="0" w:color="auto"/>
              <w:left w:val="single" w:sz="4" w:space="0" w:color="auto"/>
              <w:bottom w:val="single" w:sz="4" w:space="0" w:color="auto"/>
              <w:right w:val="single" w:sz="4" w:space="0" w:color="auto"/>
            </w:tcBorders>
            <w:vAlign w:val="center"/>
            <w:hideMark/>
          </w:tcPr>
          <w:p w:rsidR="001425BF" w:rsidRPr="001B2A75" w:rsidRDefault="001425BF" w:rsidP="001703B8">
            <w:pPr>
              <w:rPr>
                <w:rFonts w:ascii="Arial" w:hAnsi="Arial" w:cs="Arial"/>
                <w:bCs/>
                <w:caps/>
              </w:rPr>
            </w:pPr>
          </w:p>
        </w:tc>
        <w:tc>
          <w:tcPr>
            <w:tcW w:w="2941" w:type="dxa"/>
            <w:tcBorders>
              <w:top w:val="single" w:sz="4" w:space="0" w:color="auto"/>
              <w:left w:val="single" w:sz="4" w:space="0" w:color="auto"/>
              <w:bottom w:val="single" w:sz="4" w:space="0" w:color="auto"/>
              <w:right w:val="single" w:sz="4" w:space="0" w:color="auto"/>
            </w:tcBorders>
            <w:noWrap/>
            <w:vAlign w:val="center"/>
            <w:hideMark/>
          </w:tcPr>
          <w:p w:rsidR="001425BF" w:rsidRPr="006A0ED7" w:rsidRDefault="001425BF" w:rsidP="001703B8">
            <w:pPr>
              <w:spacing w:before="120" w:after="120"/>
              <w:rPr>
                <w:rFonts w:ascii="Arial" w:hAnsi="Arial" w:cs="Arial"/>
                <w:bCs/>
                <w:sz w:val="18"/>
                <w:szCs w:val="18"/>
              </w:rPr>
            </w:pPr>
            <w:r w:rsidRPr="006A0ED7">
              <w:rPr>
                <w:rFonts w:ascii="Arial" w:hAnsi="Arial" w:cs="Arial"/>
                <w:bCs/>
                <w:sz w:val="18"/>
                <w:szCs w:val="18"/>
              </w:rPr>
              <w:t>Planes de viabilidad</w:t>
            </w:r>
          </w:p>
        </w:tc>
        <w:tc>
          <w:tcPr>
            <w:tcW w:w="105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xml:space="preserve">105 </w:t>
            </w:r>
          </w:p>
        </w:tc>
        <w:tc>
          <w:tcPr>
            <w:tcW w:w="95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45</w:t>
            </w:r>
          </w:p>
        </w:tc>
        <w:tc>
          <w:tcPr>
            <w:tcW w:w="120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65</w:t>
            </w:r>
          </w:p>
        </w:tc>
        <w:tc>
          <w:tcPr>
            <w:tcW w:w="84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jc w:val="center"/>
              <w:rPr>
                <w:rFonts w:ascii="Arial" w:hAnsi="Arial" w:cs="Arial"/>
                <w:sz w:val="18"/>
                <w:szCs w:val="18"/>
              </w:rPr>
            </w:pPr>
            <w:r w:rsidRPr="006A0ED7">
              <w:rPr>
                <w:rFonts w:ascii="Arial" w:hAnsi="Arial" w:cs="Arial"/>
                <w:sz w:val="18"/>
                <w:szCs w:val="18"/>
              </w:rPr>
              <w:t>215</w:t>
            </w:r>
          </w:p>
        </w:tc>
      </w:tr>
    </w:tbl>
    <w:p w:rsidR="001425BF" w:rsidRPr="001B2A75" w:rsidRDefault="001425BF" w:rsidP="001425BF">
      <w:pPr>
        <w:ind w:left="284" w:firstLine="540"/>
        <w:jc w:val="both"/>
        <w:rPr>
          <w:rFonts w:ascii="Arial" w:hAnsi="Arial" w:cs="Arial"/>
        </w:rPr>
      </w:pPr>
    </w:p>
    <w:p w:rsidR="001425BF" w:rsidRPr="001B2A75" w:rsidRDefault="001425BF" w:rsidP="001425BF">
      <w:pPr>
        <w:ind w:left="284" w:firstLine="540"/>
        <w:jc w:val="both"/>
        <w:rPr>
          <w:rFonts w:ascii="Arial" w:hAnsi="Arial" w:cs="Arial"/>
        </w:rPr>
      </w:pPr>
      <w:r w:rsidRPr="001B2A75">
        <w:rPr>
          <w:rFonts w:ascii="Arial" w:hAnsi="Arial" w:cs="Arial"/>
        </w:rPr>
        <w:tab/>
        <w:t>Indicadores vinculados a resultados:</w:t>
      </w:r>
    </w:p>
    <w:p w:rsidR="001425BF" w:rsidRPr="001B2A75" w:rsidRDefault="001425BF" w:rsidP="001425BF">
      <w:pPr>
        <w:numPr>
          <w:ilvl w:val="1"/>
          <w:numId w:val="9"/>
        </w:numPr>
        <w:tabs>
          <w:tab w:val="clear" w:pos="1440"/>
          <w:tab w:val="num" w:pos="1788"/>
        </w:tabs>
        <w:ind w:left="284" w:firstLine="540"/>
        <w:jc w:val="both"/>
        <w:rPr>
          <w:rFonts w:ascii="Arial" w:hAnsi="Arial" w:cs="Arial"/>
        </w:rPr>
      </w:pPr>
      <w:r w:rsidRPr="001B2A75">
        <w:rPr>
          <w:rFonts w:ascii="Arial" w:hAnsi="Arial" w:cs="Arial"/>
        </w:rPr>
        <w:t>Empresas o iniciativas en marcha</w:t>
      </w:r>
    </w:p>
    <w:p w:rsidR="001425BF" w:rsidRPr="001B2A75" w:rsidRDefault="001425BF" w:rsidP="001425BF">
      <w:pPr>
        <w:numPr>
          <w:ilvl w:val="1"/>
          <w:numId w:val="9"/>
        </w:numPr>
        <w:tabs>
          <w:tab w:val="clear" w:pos="1440"/>
          <w:tab w:val="num" w:pos="1788"/>
        </w:tabs>
        <w:ind w:left="284" w:firstLine="540"/>
        <w:jc w:val="both"/>
        <w:rPr>
          <w:rFonts w:ascii="Arial" w:hAnsi="Arial" w:cs="Arial"/>
        </w:rPr>
      </w:pPr>
      <w:r w:rsidRPr="001B2A75">
        <w:rPr>
          <w:rFonts w:ascii="Arial" w:hAnsi="Arial" w:cs="Arial"/>
        </w:rPr>
        <w:t>Satisfacción de los usuarios</w:t>
      </w:r>
    </w:p>
    <w:p w:rsidR="001425BF" w:rsidRPr="001B2A75" w:rsidRDefault="001425BF" w:rsidP="001425BF">
      <w:pPr>
        <w:numPr>
          <w:ilvl w:val="1"/>
          <w:numId w:val="9"/>
        </w:numPr>
        <w:tabs>
          <w:tab w:val="clear" w:pos="1440"/>
          <w:tab w:val="num" w:pos="1788"/>
        </w:tabs>
        <w:ind w:left="284" w:firstLine="540"/>
        <w:jc w:val="both"/>
        <w:rPr>
          <w:rFonts w:ascii="Arial" w:hAnsi="Arial" w:cs="Arial"/>
        </w:rPr>
      </w:pPr>
      <w:r w:rsidRPr="001B2A75">
        <w:rPr>
          <w:rFonts w:ascii="Arial" w:hAnsi="Arial" w:cs="Arial"/>
        </w:rPr>
        <w:t>Inversión realizada por las iniciativas en marcha (*)</w:t>
      </w:r>
    </w:p>
    <w:p w:rsidR="001425BF" w:rsidRPr="001B2A75" w:rsidRDefault="001425BF" w:rsidP="001425BF">
      <w:pPr>
        <w:numPr>
          <w:ilvl w:val="1"/>
          <w:numId w:val="9"/>
        </w:numPr>
        <w:tabs>
          <w:tab w:val="clear" w:pos="1440"/>
          <w:tab w:val="num" w:pos="1788"/>
        </w:tabs>
        <w:ind w:left="284" w:firstLine="540"/>
        <w:jc w:val="both"/>
        <w:rPr>
          <w:rFonts w:ascii="Arial" w:hAnsi="Arial" w:cs="Arial"/>
        </w:rPr>
      </w:pPr>
      <w:r w:rsidRPr="001B2A75">
        <w:rPr>
          <w:rFonts w:ascii="Arial" w:hAnsi="Arial" w:cs="Arial"/>
        </w:rPr>
        <w:t>Puestos de trabajo (totales, femeninos, discapacidad, jóvenes) (*)</w:t>
      </w:r>
    </w:p>
    <w:p w:rsidR="001425BF" w:rsidRPr="001B2A75" w:rsidRDefault="001425BF" w:rsidP="001425BF">
      <w:pPr>
        <w:numPr>
          <w:ilvl w:val="1"/>
          <w:numId w:val="9"/>
        </w:numPr>
        <w:tabs>
          <w:tab w:val="clear" w:pos="1440"/>
          <w:tab w:val="num" w:pos="1788"/>
        </w:tabs>
        <w:ind w:left="284" w:firstLine="540"/>
        <w:jc w:val="both"/>
        <w:rPr>
          <w:rFonts w:ascii="Arial" w:hAnsi="Arial" w:cs="Arial"/>
        </w:rPr>
      </w:pPr>
      <w:r w:rsidRPr="001B2A75">
        <w:rPr>
          <w:rFonts w:ascii="Arial" w:hAnsi="Arial" w:cs="Arial"/>
        </w:rPr>
        <w:t>Supervivencia de las empresas en marcha (**)</w:t>
      </w:r>
    </w:p>
    <w:p w:rsidR="001425BF" w:rsidRPr="001B2A75" w:rsidRDefault="001425BF" w:rsidP="001425BF">
      <w:pPr>
        <w:numPr>
          <w:ilvl w:val="1"/>
          <w:numId w:val="9"/>
        </w:numPr>
        <w:tabs>
          <w:tab w:val="clear" w:pos="1440"/>
          <w:tab w:val="num" w:pos="1788"/>
        </w:tabs>
        <w:ind w:left="284" w:firstLine="540"/>
        <w:jc w:val="both"/>
        <w:rPr>
          <w:rFonts w:ascii="Arial" w:hAnsi="Arial" w:cs="Arial"/>
        </w:rPr>
      </w:pPr>
      <w:r w:rsidRPr="001B2A75">
        <w:rPr>
          <w:rFonts w:ascii="Arial" w:hAnsi="Arial" w:cs="Arial"/>
        </w:rPr>
        <w:t>Retorno de la inversión (**)</w:t>
      </w:r>
    </w:p>
    <w:p w:rsidR="001425BF" w:rsidRPr="001B2A75" w:rsidRDefault="001425BF" w:rsidP="001425BF">
      <w:pPr>
        <w:ind w:left="284" w:firstLine="540"/>
        <w:jc w:val="both"/>
        <w:rPr>
          <w:rFonts w:ascii="Arial" w:hAnsi="Arial" w:cs="Arial"/>
        </w:rPr>
      </w:pPr>
    </w:p>
    <w:p w:rsidR="001425BF" w:rsidRPr="001B2A75" w:rsidRDefault="001425BF" w:rsidP="001425BF">
      <w:pPr>
        <w:ind w:left="284" w:firstLine="540"/>
        <w:jc w:val="both"/>
        <w:rPr>
          <w:rFonts w:ascii="Arial" w:hAnsi="Arial" w:cs="Arial"/>
        </w:rPr>
      </w:pPr>
      <w:r w:rsidRPr="001B2A75">
        <w:rPr>
          <w:rFonts w:ascii="Arial" w:hAnsi="Arial" w:cs="Arial"/>
        </w:rPr>
        <w:t>(*) Datos provisionales en informes trimestrales, definitivos en informe anual</w:t>
      </w:r>
    </w:p>
    <w:p w:rsidR="001425BF" w:rsidRPr="001B2A75" w:rsidRDefault="001425BF" w:rsidP="001425BF">
      <w:pPr>
        <w:ind w:left="284" w:firstLine="540"/>
        <w:jc w:val="both"/>
        <w:rPr>
          <w:rFonts w:ascii="Arial" w:hAnsi="Arial" w:cs="Arial"/>
        </w:rPr>
      </w:pPr>
      <w:r w:rsidRPr="001B2A75">
        <w:rPr>
          <w:rFonts w:ascii="Arial" w:hAnsi="Arial" w:cs="Arial"/>
        </w:rPr>
        <w:t>(**) Datos únicamente reflejados en el informe anual</w:t>
      </w:r>
    </w:p>
    <w:p w:rsidR="001425BF" w:rsidRPr="001B2A75" w:rsidRDefault="001425BF" w:rsidP="001425BF">
      <w:pPr>
        <w:ind w:left="284" w:firstLine="540"/>
        <w:jc w:val="both"/>
        <w:rPr>
          <w:rFonts w:ascii="Arial" w:hAnsi="Arial" w:cs="Arial"/>
        </w:rPr>
      </w:pPr>
    </w:p>
    <w:p w:rsidR="001425BF" w:rsidRPr="001B2A75" w:rsidRDefault="001425BF" w:rsidP="001425BF">
      <w:pPr>
        <w:spacing w:line="360" w:lineRule="auto"/>
        <w:ind w:left="284" w:firstLine="540"/>
        <w:jc w:val="both"/>
        <w:rPr>
          <w:rFonts w:ascii="Arial" w:hAnsi="Arial" w:cs="Arial"/>
        </w:rPr>
      </w:pPr>
      <w:r w:rsidRPr="001B2A75">
        <w:rPr>
          <w:rFonts w:ascii="Arial" w:hAnsi="Arial" w:cs="Arial"/>
          <w:u w:val="single"/>
        </w:rPr>
        <w:t>2- Mejora competitiva</w:t>
      </w:r>
    </w:p>
    <w:p w:rsidR="001425BF" w:rsidRPr="001B2A75" w:rsidRDefault="001425BF" w:rsidP="001425BF">
      <w:pPr>
        <w:pStyle w:val="Textoindependiente"/>
        <w:ind w:left="284" w:firstLine="540"/>
        <w:rPr>
          <w:rFonts w:cs="Arial"/>
          <w:b w:val="0"/>
          <w:sz w:val="20"/>
          <w:u w:val="single"/>
        </w:rPr>
      </w:pPr>
    </w:p>
    <w:p w:rsidR="001425BF" w:rsidRPr="001B2A75" w:rsidRDefault="001425BF" w:rsidP="001425BF">
      <w:pPr>
        <w:ind w:left="284" w:firstLine="540"/>
        <w:jc w:val="both"/>
        <w:rPr>
          <w:rFonts w:ascii="Arial" w:hAnsi="Arial" w:cs="Arial"/>
        </w:rPr>
      </w:pPr>
      <w:r w:rsidRPr="001B2A75">
        <w:rPr>
          <w:rFonts w:ascii="Arial" w:hAnsi="Arial" w:cs="Arial"/>
        </w:rPr>
        <w:t>Al igual que en el eje de actuación 1, se instrumentalizarán una serie de indicadores de actividad y objetivos para analizar la evolución del programa.</w:t>
      </w:r>
    </w:p>
    <w:p w:rsidR="001425BF" w:rsidRPr="001B2A75" w:rsidRDefault="001425BF" w:rsidP="001425BF">
      <w:pPr>
        <w:ind w:left="284" w:firstLine="540"/>
        <w:jc w:val="both"/>
        <w:rPr>
          <w:rFonts w:ascii="Arial" w:hAnsi="Arial" w:cs="Arial"/>
        </w:rPr>
      </w:pPr>
    </w:p>
    <w:p w:rsidR="001425BF" w:rsidRPr="001B2A75" w:rsidRDefault="001425BF" w:rsidP="001425BF">
      <w:pPr>
        <w:ind w:left="284" w:firstLine="540"/>
        <w:jc w:val="both"/>
        <w:rPr>
          <w:rFonts w:ascii="Arial" w:hAnsi="Arial" w:cs="Arial"/>
        </w:rPr>
      </w:pPr>
      <w:r w:rsidRPr="001B2A75">
        <w:rPr>
          <w:rFonts w:ascii="Arial" w:hAnsi="Arial" w:cs="Arial"/>
        </w:rPr>
        <w:t>Indicadores de esta fase, vinculados a objetivos:</w:t>
      </w:r>
    </w:p>
    <w:p w:rsidR="001425BF" w:rsidRPr="001B2A75" w:rsidRDefault="001425BF" w:rsidP="001425BF">
      <w:pPr>
        <w:ind w:left="284" w:firstLine="540"/>
        <w:jc w:val="both"/>
        <w:rPr>
          <w:rFonts w:ascii="Arial" w:hAnsi="Arial" w:cs="Arial"/>
        </w:rPr>
      </w:pPr>
    </w:p>
    <w:p w:rsidR="001425BF" w:rsidRPr="001B2A75" w:rsidRDefault="001425BF" w:rsidP="001425BF">
      <w:pPr>
        <w:ind w:left="284" w:firstLine="540"/>
        <w:jc w:val="both"/>
        <w:rPr>
          <w:rFonts w:ascii="Arial" w:hAnsi="Arial" w:cs="Arial"/>
        </w:rPr>
      </w:pPr>
      <w:r w:rsidRPr="001B2A75">
        <w:rPr>
          <w:rFonts w:ascii="Arial" w:hAnsi="Arial" w:cs="Arial"/>
        </w:rPr>
        <w:tab/>
      </w:r>
    </w:p>
    <w:tbl>
      <w:tblPr>
        <w:tblW w:w="7740" w:type="dxa"/>
        <w:tblInd w:w="765" w:type="dxa"/>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0" w:type="dxa"/>
          <w:right w:w="70" w:type="dxa"/>
        </w:tblCellMar>
        <w:tblLook w:val="04A0" w:firstRow="1" w:lastRow="0" w:firstColumn="1" w:lastColumn="0" w:noHBand="0" w:noVBand="1"/>
      </w:tblPr>
      <w:tblGrid>
        <w:gridCol w:w="979"/>
        <w:gridCol w:w="2367"/>
        <w:gridCol w:w="1098"/>
        <w:gridCol w:w="1099"/>
        <w:gridCol w:w="1205"/>
        <w:gridCol w:w="992"/>
      </w:tblGrid>
      <w:tr w:rsidR="001425BF" w:rsidRPr="008E36EF" w:rsidTr="001703B8">
        <w:tc>
          <w:tcPr>
            <w:tcW w:w="979" w:type="dxa"/>
            <w:tcBorders>
              <w:top w:val="nil"/>
              <w:left w:val="nil"/>
              <w:bottom w:val="single" w:sz="4" w:space="0" w:color="auto"/>
              <w:right w:val="single" w:sz="4" w:space="0" w:color="auto"/>
            </w:tcBorders>
            <w:vAlign w:val="center"/>
          </w:tcPr>
          <w:p w:rsidR="001425BF" w:rsidRPr="008E36EF" w:rsidRDefault="001425BF" w:rsidP="001703B8">
            <w:pPr>
              <w:jc w:val="center"/>
              <w:rPr>
                <w:rFonts w:ascii="Arial" w:hAnsi="Arial" w:cs="Arial"/>
                <w:b/>
                <w:caps/>
              </w:rPr>
            </w:pPr>
          </w:p>
        </w:tc>
        <w:tc>
          <w:tcPr>
            <w:tcW w:w="2367" w:type="dxa"/>
            <w:tcBorders>
              <w:top w:val="single" w:sz="4" w:space="0" w:color="auto"/>
              <w:left w:val="single" w:sz="4" w:space="0" w:color="auto"/>
              <w:bottom w:val="single" w:sz="4" w:space="0" w:color="auto"/>
              <w:right w:val="single" w:sz="4" w:space="0" w:color="auto"/>
            </w:tcBorders>
            <w:noWrap/>
            <w:vAlign w:val="center"/>
            <w:hideMark/>
          </w:tcPr>
          <w:p w:rsidR="001425BF" w:rsidRPr="008E36EF" w:rsidRDefault="001425BF" w:rsidP="001703B8">
            <w:pPr>
              <w:spacing w:before="60" w:after="60"/>
              <w:jc w:val="center"/>
              <w:rPr>
                <w:rFonts w:ascii="Arial" w:hAnsi="Arial" w:cs="Arial"/>
                <w:b/>
                <w:caps/>
              </w:rPr>
            </w:pPr>
            <w:r w:rsidRPr="008E36EF">
              <w:rPr>
                <w:rFonts w:ascii="Arial" w:hAnsi="Arial" w:cs="Arial"/>
                <w:b/>
                <w:caps/>
              </w:rPr>
              <w:t>tipo de ACTUACION</w:t>
            </w:r>
          </w:p>
        </w:tc>
        <w:tc>
          <w:tcPr>
            <w:tcW w:w="1098" w:type="dxa"/>
            <w:tcBorders>
              <w:top w:val="single" w:sz="6" w:space="0" w:color="auto"/>
              <w:left w:val="single" w:sz="4" w:space="0" w:color="auto"/>
              <w:bottom w:val="single" w:sz="4" w:space="0" w:color="auto"/>
              <w:right w:val="single" w:sz="4" w:space="0" w:color="auto"/>
            </w:tcBorders>
            <w:noWrap/>
            <w:vAlign w:val="center"/>
            <w:hideMark/>
          </w:tcPr>
          <w:p w:rsidR="001425BF" w:rsidRPr="008E36EF" w:rsidRDefault="001425BF" w:rsidP="001703B8">
            <w:pPr>
              <w:spacing w:before="60" w:after="60"/>
              <w:jc w:val="center"/>
              <w:rPr>
                <w:rFonts w:ascii="Arial" w:hAnsi="Arial" w:cs="Arial"/>
                <w:b/>
                <w:caps/>
              </w:rPr>
            </w:pPr>
            <w:r w:rsidRPr="008E36EF">
              <w:rPr>
                <w:rFonts w:ascii="Arial" w:hAnsi="Arial" w:cs="Arial"/>
                <w:b/>
              </w:rPr>
              <w:t>Huesca</w:t>
            </w:r>
          </w:p>
        </w:tc>
        <w:tc>
          <w:tcPr>
            <w:tcW w:w="1099" w:type="dxa"/>
            <w:tcBorders>
              <w:top w:val="single" w:sz="6" w:space="0" w:color="auto"/>
              <w:left w:val="single" w:sz="4" w:space="0" w:color="auto"/>
              <w:bottom w:val="single" w:sz="4" w:space="0" w:color="auto"/>
              <w:right w:val="single" w:sz="4" w:space="0" w:color="auto"/>
            </w:tcBorders>
            <w:vAlign w:val="center"/>
            <w:hideMark/>
          </w:tcPr>
          <w:p w:rsidR="001425BF" w:rsidRPr="008E36EF" w:rsidRDefault="001425BF" w:rsidP="001703B8">
            <w:pPr>
              <w:spacing w:before="60" w:after="60"/>
              <w:jc w:val="center"/>
              <w:rPr>
                <w:rFonts w:ascii="Arial" w:hAnsi="Arial" w:cs="Arial"/>
                <w:b/>
                <w:caps/>
              </w:rPr>
            </w:pPr>
            <w:r w:rsidRPr="008E36EF">
              <w:rPr>
                <w:rFonts w:ascii="Arial" w:hAnsi="Arial" w:cs="Arial"/>
                <w:b/>
              </w:rPr>
              <w:t>Teruel</w:t>
            </w:r>
          </w:p>
        </w:tc>
        <w:tc>
          <w:tcPr>
            <w:tcW w:w="1205" w:type="dxa"/>
            <w:tcBorders>
              <w:top w:val="single" w:sz="6" w:space="0" w:color="auto"/>
              <w:left w:val="single" w:sz="4" w:space="0" w:color="auto"/>
              <w:bottom w:val="single" w:sz="4" w:space="0" w:color="auto"/>
              <w:right w:val="single" w:sz="4" w:space="0" w:color="auto"/>
            </w:tcBorders>
            <w:vAlign w:val="center"/>
            <w:hideMark/>
          </w:tcPr>
          <w:p w:rsidR="001425BF" w:rsidRPr="008E36EF" w:rsidRDefault="001425BF" w:rsidP="001703B8">
            <w:pPr>
              <w:spacing w:before="60" w:after="60"/>
              <w:jc w:val="center"/>
              <w:rPr>
                <w:rFonts w:ascii="Arial" w:hAnsi="Arial" w:cs="Arial"/>
                <w:b/>
                <w:caps/>
              </w:rPr>
            </w:pPr>
            <w:r w:rsidRPr="008E36EF">
              <w:rPr>
                <w:rFonts w:ascii="Arial" w:hAnsi="Arial" w:cs="Arial"/>
                <w:b/>
              </w:rPr>
              <w:t>Zaragoza</w:t>
            </w:r>
          </w:p>
        </w:tc>
        <w:tc>
          <w:tcPr>
            <w:tcW w:w="992" w:type="dxa"/>
            <w:tcBorders>
              <w:top w:val="single" w:sz="6" w:space="0" w:color="auto"/>
              <w:left w:val="single" w:sz="4" w:space="0" w:color="auto"/>
              <w:bottom w:val="single" w:sz="4" w:space="0" w:color="auto"/>
              <w:right w:val="single" w:sz="6" w:space="0" w:color="auto"/>
            </w:tcBorders>
            <w:noWrap/>
            <w:vAlign w:val="center"/>
            <w:hideMark/>
          </w:tcPr>
          <w:p w:rsidR="001425BF" w:rsidRPr="008E36EF" w:rsidRDefault="001425BF" w:rsidP="001703B8">
            <w:pPr>
              <w:spacing w:before="60" w:after="60"/>
              <w:jc w:val="center"/>
              <w:rPr>
                <w:rFonts w:ascii="Arial" w:hAnsi="Arial" w:cs="Arial"/>
                <w:b/>
                <w:caps/>
              </w:rPr>
            </w:pPr>
            <w:r w:rsidRPr="008E36EF">
              <w:rPr>
                <w:rFonts w:ascii="Arial" w:hAnsi="Arial" w:cs="Arial"/>
                <w:b/>
              </w:rPr>
              <w:t>Total</w:t>
            </w:r>
          </w:p>
        </w:tc>
      </w:tr>
      <w:tr w:rsidR="001425BF" w:rsidRPr="008E36EF" w:rsidTr="001703B8">
        <w:tc>
          <w:tcPr>
            <w:tcW w:w="979" w:type="dxa"/>
            <w:vMerge w:val="restart"/>
            <w:tcBorders>
              <w:top w:val="single" w:sz="4" w:space="0" w:color="auto"/>
              <w:left w:val="single" w:sz="4" w:space="0" w:color="auto"/>
              <w:right w:val="single" w:sz="4" w:space="0" w:color="auto"/>
            </w:tcBorders>
            <w:vAlign w:val="center"/>
            <w:hideMark/>
          </w:tcPr>
          <w:p w:rsidR="001425BF" w:rsidRPr="006A0ED7" w:rsidRDefault="001425BF" w:rsidP="001703B8">
            <w:pPr>
              <w:rPr>
                <w:rFonts w:ascii="Arial" w:hAnsi="Arial" w:cs="Arial"/>
                <w:bCs/>
                <w:caps/>
                <w:sz w:val="18"/>
                <w:szCs w:val="18"/>
              </w:rPr>
            </w:pPr>
            <w:r w:rsidRPr="006A0ED7">
              <w:rPr>
                <w:rFonts w:ascii="Arial" w:hAnsi="Arial" w:cs="Arial"/>
                <w:bCs/>
                <w:caps/>
                <w:sz w:val="18"/>
                <w:szCs w:val="18"/>
              </w:rPr>
              <w:t>eje 2</w:t>
            </w:r>
          </w:p>
        </w:tc>
        <w:tc>
          <w:tcPr>
            <w:tcW w:w="2367" w:type="dxa"/>
            <w:tcBorders>
              <w:top w:val="single" w:sz="4" w:space="0" w:color="auto"/>
              <w:left w:val="single" w:sz="4" w:space="0" w:color="auto"/>
              <w:bottom w:val="single" w:sz="4" w:space="0" w:color="auto"/>
              <w:right w:val="single" w:sz="4" w:space="0" w:color="auto"/>
            </w:tcBorders>
            <w:noWrap/>
            <w:vAlign w:val="center"/>
            <w:hideMark/>
          </w:tcPr>
          <w:p w:rsidR="001425BF" w:rsidRPr="006A0ED7" w:rsidRDefault="001425BF" w:rsidP="001703B8">
            <w:pPr>
              <w:spacing w:before="60" w:after="60"/>
              <w:jc w:val="both"/>
              <w:rPr>
                <w:rFonts w:ascii="Arial" w:hAnsi="Arial" w:cs="Arial"/>
                <w:sz w:val="18"/>
                <w:szCs w:val="18"/>
              </w:rPr>
            </w:pPr>
            <w:r w:rsidRPr="006A0ED7">
              <w:rPr>
                <w:rFonts w:ascii="Arial" w:hAnsi="Arial" w:cs="Arial"/>
                <w:sz w:val="18"/>
                <w:szCs w:val="18"/>
              </w:rPr>
              <w:t>Informes de autodiagnóstico HADA</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10</w:t>
            </w: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14</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7</w:t>
            </w:r>
            <w:r w:rsidRPr="006A0ED7">
              <w:rPr>
                <w:rFonts w:ascii="Arial" w:hAnsi="Arial" w:cs="Arial"/>
                <w:sz w:val="18"/>
                <w:szCs w:val="18"/>
              </w:rPr>
              <w:t>0</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9</w:t>
            </w:r>
            <w:r w:rsidRPr="006A0ED7">
              <w:rPr>
                <w:rFonts w:ascii="Arial" w:hAnsi="Arial" w:cs="Arial"/>
                <w:sz w:val="18"/>
                <w:szCs w:val="18"/>
              </w:rPr>
              <w:t>4</w:t>
            </w:r>
          </w:p>
        </w:tc>
      </w:tr>
      <w:tr w:rsidR="001425BF" w:rsidRPr="008E36EF" w:rsidTr="001703B8">
        <w:tc>
          <w:tcPr>
            <w:tcW w:w="979" w:type="dxa"/>
            <w:vMerge/>
            <w:tcBorders>
              <w:left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rPr>
            </w:pPr>
            <w:r w:rsidRPr="006A0ED7">
              <w:rPr>
                <w:rFonts w:ascii="Arial" w:hAnsi="Arial" w:cs="Arial"/>
                <w:sz w:val="18"/>
                <w:szCs w:val="18"/>
              </w:rPr>
              <w:t xml:space="preserve">Diagnósticos de la cadena de valor </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10</w:t>
            </w:r>
          </w:p>
        </w:tc>
      </w:tr>
      <w:tr w:rsidR="001425BF" w:rsidRPr="008E36EF" w:rsidTr="001703B8">
        <w:tc>
          <w:tcPr>
            <w:tcW w:w="979" w:type="dxa"/>
            <w:vMerge/>
            <w:tcBorders>
              <w:left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lang w:val="es-ES_tradnl"/>
              </w:rPr>
            </w:pPr>
            <w:r w:rsidRPr="006A0ED7">
              <w:rPr>
                <w:rFonts w:ascii="Arial" w:hAnsi="Arial" w:cs="Arial"/>
                <w:sz w:val="18"/>
                <w:szCs w:val="18"/>
                <w:lang w:val="es-ES_tradnl"/>
              </w:rPr>
              <w:t>Consultorías de análisis de datos</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5</w:t>
            </w: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w:t>
            </w:r>
            <w:r>
              <w:rPr>
                <w:rFonts w:ascii="Arial" w:hAnsi="Arial" w:cs="Arial"/>
                <w:sz w:val="18"/>
                <w:szCs w:val="18"/>
              </w:rPr>
              <w:t>7</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22</w:t>
            </w:r>
          </w:p>
        </w:tc>
      </w:tr>
      <w:tr w:rsidR="001425BF" w:rsidRPr="008E36EF" w:rsidTr="001703B8">
        <w:tc>
          <w:tcPr>
            <w:tcW w:w="979" w:type="dxa"/>
            <w:vMerge/>
            <w:tcBorders>
              <w:left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lang w:val="es-ES_tradnl"/>
              </w:rPr>
            </w:pPr>
            <w:r w:rsidRPr="006A0ED7">
              <w:rPr>
                <w:rFonts w:ascii="Arial" w:hAnsi="Arial" w:cs="Arial"/>
                <w:sz w:val="18"/>
                <w:szCs w:val="18"/>
                <w:lang w:val="es-ES_tradnl"/>
              </w:rPr>
              <w:t>Consultorías de ciberseguridad</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4</w:t>
            </w: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5 </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29</w:t>
            </w:r>
          </w:p>
        </w:tc>
      </w:tr>
      <w:tr w:rsidR="001425BF" w:rsidRPr="008E36EF" w:rsidTr="001703B8">
        <w:tc>
          <w:tcPr>
            <w:tcW w:w="979" w:type="dxa"/>
            <w:vMerge/>
            <w:tcBorders>
              <w:left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lang w:val="es-ES_tradnl"/>
              </w:rPr>
            </w:pPr>
            <w:r w:rsidRPr="006A0ED7">
              <w:rPr>
                <w:rFonts w:ascii="Arial" w:hAnsi="Arial" w:cs="Arial"/>
                <w:sz w:val="18"/>
                <w:szCs w:val="18"/>
                <w:lang w:val="es-ES_tradnl"/>
              </w:rPr>
              <w:t>Consultorías en sostenibilidad</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w:t>
            </w: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21</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w:t>
            </w:r>
            <w:r>
              <w:rPr>
                <w:rFonts w:ascii="Arial" w:hAnsi="Arial" w:cs="Arial"/>
                <w:sz w:val="18"/>
                <w:szCs w:val="18"/>
              </w:rPr>
              <w:t>2</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3</w:t>
            </w:r>
            <w:r>
              <w:rPr>
                <w:rFonts w:ascii="Arial" w:hAnsi="Arial" w:cs="Arial"/>
                <w:sz w:val="18"/>
                <w:szCs w:val="18"/>
              </w:rPr>
              <w:t>5</w:t>
            </w:r>
          </w:p>
        </w:tc>
      </w:tr>
      <w:tr w:rsidR="001425BF" w:rsidRPr="008E36EF" w:rsidTr="001703B8">
        <w:tc>
          <w:tcPr>
            <w:tcW w:w="979" w:type="dxa"/>
            <w:vMerge/>
            <w:tcBorders>
              <w:left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lang w:val="es-ES_tradnl"/>
              </w:rPr>
            </w:pPr>
            <w:r w:rsidRPr="006A0ED7">
              <w:rPr>
                <w:rFonts w:ascii="Arial" w:hAnsi="Arial" w:cs="Arial"/>
                <w:sz w:val="18"/>
                <w:szCs w:val="18"/>
                <w:lang w:val="es-ES_tradnl"/>
              </w:rPr>
              <w:t>Sistemas de inteligencia competitiva de mercados</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10</w:t>
            </w:r>
          </w:p>
        </w:tc>
      </w:tr>
      <w:tr w:rsidR="001425BF" w:rsidRPr="008E36EF" w:rsidTr="001703B8">
        <w:tc>
          <w:tcPr>
            <w:tcW w:w="979" w:type="dxa"/>
            <w:vMerge/>
            <w:tcBorders>
              <w:left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lang w:val="es-ES_tradnl"/>
              </w:rPr>
            </w:pPr>
            <w:r w:rsidRPr="006A0ED7">
              <w:rPr>
                <w:rFonts w:ascii="Arial" w:hAnsi="Arial" w:cs="Arial"/>
                <w:sz w:val="18"/>
                <w:szCs w:val="18"/>
                <w:lang w:val="es-ES_tradnl"/>
              </w:rPr>
              <w:t>Diagnósticos de diseño – 1 sesión</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3</w:t>
            </w: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5</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8</w:t>
            </w:r>
          </w:p>
        </w:tc>
      </w:tr>
      <w:tr w:rsidR="001425BF" w:rsidRPr="008E36EF" w:rsidTr="001703B8">
        <w:tc>
          <w:tcPr>
            <w:tcW w:w="979" w:type="dxa"/>
            <w:vMerge/>
            <w:tcBorders>
              <w:left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lang w:val="es-ES_tradnl"/>
              </w:rPr>
            </w:pPr>
            <w:r w:rsidRPr="006A0ED7">
              <w:rPr>
                <w:rFonts w:ascii="Arial" w:hAnsi="Arial" w:cs="Arial"/>
                <w:sz w:val="18"/>
                <w:szCs w:val="18"/>
                <w:lang w:val="es-ES_tradnl"/>
              </w:rPr>
              <w:t>Diagnósticos de diseño – 2 sesiones</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3</w:t>
            </w: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5</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8</w:t>
            </w:r>
          </w:p>
        </w:tc>
      </w:tr>
      <w:tr w:rsidR="001425BF" w:rsidRPr="008E36EF" w:rsidTr="001703B8">
        <w:tc>
          <w:tcPr>
            <w:tcW w:w="979" w:type="dxa"/>
            <w:vMerge/>
            <w:tcBorders>
              <w:left w:val="single" w:sz="4" w:space="0" w:color="auto"/>
              <w:bottom w:val="single" w:sz="4" w:space="0" w:color="auto"/>
              <w:right w:val="single" w:sz="4" w:space="0" w:color="auto"/>
            </w:tcBorders>
            <w:vAlign w:val="center"/>
          </w:tcPr>
          <w:p w:rsidR="001425BF" w:rsidRPr="006A0ED7" w:rsidRDefault="001425BF" w:rsidP="001703B8">
            <w:pPr>
              <w:rPr>
                <w:rFonts w:ascii="Arial" w:hAnsi="Arial" w:cs="Arial"/>
                <w:bCs/>
                <w:caps/>
                <w:sz w:val="18"/>
                <w:szCs w:val="18"/>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rPr>
            </w:pPr>
            <w:r w:rsidRPr="006A0ED7">
              <w:rPr>
                <w:rFonts w:ascii="Arial" w:hAnsi="Arial" w:cs="Arial"/>
                <w:sz w:val="18"/>
                <w:szCs w:val="18"/>
              </w:rPr>
              <w:t>Informes sectoriales de seguimiento</w:t>
            </w:r>
          </w:p>
        </w:tc>
        <w:tc>
          <w:tcPr>
            <w:tcW w:w="109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w:t>
            </w:r>
          </w:p>
        </w:tc>
        <w:tc>
          <w:tcPr>
            <w:tcW w:w="1099"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1 </w:t>
            </w:r>
          </w:p>
        </w:tc>
        <w:tc>
          <w:tcPr>
            <w:tcW w:w="1205"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6</w:t>
            </w:r>
          </w:p>
        </w:tc>
        <w:tc>
          <w:tcPr>
            <w:tcW w:w="992"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9</w:t>
            </w:r>
          </w:p>
        </w:tc>
      </w:tr>
    </w:tbl>
    <w:p w:rsidR="001425BF" w:rsidRPr="001B2A75" w:rsidRDefault="001425BF" w:rsidP="001425BF">
      <w:pPr>
        <w:ind w:left="284" w:firstLine="540"/>
        <w:jc w:val="both"/>
        <w:rPr>
          <w:rFonts w:ascii="Arial" w:hAnsi="Arial" w:cs="Arial"/>
        </w:rPr>
      </w:pPr>
      <w:r w:rsidRPr="001B2A75">
        <w:rPr>
          <w:rFonts w:ascii="Arial" w:hAnsi="Arial" w:cs="Arial"/>
        </w:rPr>
        <w:lastRenderedPageBreak/>
        <w:t>Indicadores de resultados:</w:t>
      </w:r>
    </w:p>
    <w:p w:rsidR="001425BF" w:rsidRPr="001B2A75" w:rsidRDefault="001425BF" w:rsidP="001425BF">
      <w:pPr>
        <w:numPr>
          <w:ilvl w:val="0"/>
          <w:numId w:val="9"/>
        </w:numPr>
        <w:tabs>
          <w:tab w:val="clear" w:pos="720"/>
          <w:tab w:val="num" w:pos="1068"/>
        </w:tabs>
        <w:ind w:left="284" w:firstLine="540"/>
        <w:jc w:val="both"/>
        <w:rPr>
          <w:rFonts w:ascii="Arial" w:hAnsi="Arial" w:cs="Arial"/>
        </w:rPr>
      </w:pPr>
      <w:r w:rsidRPr="001B2A75">
        <w:rPr>
          <w:rFonts w:ascii="Arial" w:hAnsi="Arial" w:cs="Arial"/>
        </w:rPr>
        <w:t>Satisfacción de los usuarios</w:t>
      </w:r>
    </w:p>
    <w:p w:rsidR="001425BF" w:rsidRDefault="001425BF" w:rsidP="001425BF">
      <w:pPr>
        <w:ind w:left="284" w:firstLine="540"/>
        <w:jc w:val="both"/>
        <w:rPr>
          <w:rFonts w:ascii="Arial" w:hAnsi="Arial" w:cs="Arial"/>
        </w:rPr>
      </w:pPr>
    </w:p>
    <w:p w:rsidR="001425BF" w:rsidRDefault="001425BF" w:rsidP="001425BF">
      <w:pPr>
        <w:spacing w:line="360" w:lineRule="auto"/>
        <w:ind w:left="284" w:firstLine="540"/>
        <w:jc w:val="both"/>
        <w:rPr>
          <w:rFonts w:ascii="Arial" w:hAnsi="Arial" w:cs="Arial"/>
        </w:rPr>
      </w:pPr>
    </w:p>
    <w:p w:rsidR="001425BF" w:rsidRPr="001B2A75" w:rsidRDefault="001425BF" w:rsidP="001425BF">
      <w:pPr>
        <w:spacing w:line="360" w:lineRule="auto"/>
        <w:ind w:left="284" w:firstLine="540"/>
        <w:jc w:val="both"/>
        <w:rPr>
          <w:rFonts w:ascii="Arial" w:hAnsi="Arial" w:cs="Arial"/>
          <w:u w:val="single"/>
        </w:rPr>
      </w:pPr>
      <w:r w:rsidRPr="001B2A75">
        <w:rPr>
          <w:rFonts w:ascii="Arial" w:hAnsi="Arial" w:cs="Arial"/>
          <w:u w:val="single"/>
        </w:rPr>
        <w:t xml:space="preserve">3- Red de empresa </w:t>
      </w:r>
      <w:r>
        <w:rPr>
          <w:rFonts w:ascii="Arial" w:hAnsi="Arial" w:cs="Arial"/>
          <w:u w:val="single"/>
        </w:rPr>
        <w:t>ARIES</w:t>
      </w:r>
    </w:p>
    <w:p w:rsidR="001425BF" w:rsidRPr="001B2A75" w:rsidRDefault="001425BF" w:rsidP="001425BF">
      <w:pPr>
        <w:pStyle w:val="Textoindependiente"/>
        <w:tabs>
          <w:tab w:val="num" w:pos="1080"/>
        </w:tabs>
        <w:ind w:left="284" w:firstLine="540"/>
        <w:rPr>
          <w:rFonts w:cs="Arial"/>
          <w:b w:val="0"/>
          <w:sz w:val="20"/>
          <w:u w:val="single"/>
        </w:rPr>
      </w:pPr>
    </w:p>
    <w:tbl>
      <w:tblPr>
        <w:tblW w:w="7950" w:type="dxa"/>
        <w:tblInd w:w="765" w:type="dxa"/>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0" w:type="dxa"/>
          <w:right w:w="70" w:type="dxa"/>
        </w:tblCellMar>
        <w:tblLook w:val="04A0" w:firstRow="1" w:lastRow="0" w:firstColumn="1" w:lastColumn="0" w:noHBand="0" w:noVBand="1"/>
      </w:tblPr>
      <w:tblGrid>
        <w:gridCol w:w="979"/>
        <w:gridCol w:w="2367"/>
        <w:gridCol w:w="1151"/>
        <w:gridCol w:w="1151"/>
        <w:gridCol w:w="1242"/>
        <w:gridCol w:w="1060"/>
      </w:tblGrid>
      <w:tr w:rsidR="001425BF" w:rsidRPr="001B2A75" w:rsidTr="001703B8">
        <w:tc>
          <w:tcPr>
            <w:tcW w:w="979" w:type="dxa"/>
            <w:tcBorders>
              <w:top w:val="nil"/>
              <w:left w:val="nil"/>
              <w:bottom w:val="single" w:sz="4" w:space="0" w:color="auto"/>
              <w:right w:val="single" w:sz="4" w:space="0" w:color="auto"/>
            </w:tcBorders>
            <w:vAlign w:val="center"/>
          </w:tcPr>
          <w:p w:rsidR="001425BF" w:rsidRPr="001B2A75" w:rsidRDefault="001425BF" w:rsidP="001703B8">
            <w:pPr>
              <w:spacing w:before="120"/>
              <w:jc w:val="center"/>
              <w:rPr>
                <w:rFonts w:ascii="Arial" w:hAnsi="Arial" w:cs="Arial"/>
                <w:b/>
                <w:caps/>
              </w:rPr>
            </w:pPr>
          </w:p>
        </w:tc>
        <w:tc>
          <w:tcPr>
            <w:tcW w:w="2367" w:type="dxa"/>
            <w:tcBorders>
              <w:top w:val="single" w:sz="4" w:space="0" w:color="auto"/>
              <w:left w:val="single" w:sz="4" w:space="0" w:color="auto"/>
              <w:bottom w:val="single" w:sz="4" w:space="0" w:color="auto"/>
              <w:right w:val="single" w:sz="4" w:space="0" w:color="auto"/>
            </w:tcBorders>
            <w:noWrap/>
            <w:vAlign w:val="center"/>
            <w:hideMark/>
          </w:tcPr>
          <w:p w:rsidR="001425BF" w:rsidRPr="006A0ED7" w:rsidRDefault="001425BF" w:rsidP="001703B8">
            <w:pPr>
              <w:spacing w:before="60" w:after="60"/>
              <w:jc w:val="center"/>
              <w:rPr>
                <w:rFonts w:ascii="Arial" w:hAnsi="Arial" w:cs="Arial"/>
                <w:b/>
                <w:caps/>
              </w:rPr>
            </w:pPr>
            <w:r w:rsidRPr="006A0ED7">
              <w:rPr>
                <w:rFonts w:ascii="Arial" w:hAnsi="Arial" w:cs="Arial"/>
                <w:b/>
                <w:caps/>
              </w:rPr>
              <w:t>tipo de ACTUACION</w:t>
            </w:r>
          </w:p>
        </w:tc>
        <w:tc>
          <w:tcPr>
            <w:tcW w:w="1151" w:type="dxa"/>
            <w:tcBorders>
              <w:top w:val="single" w:sz="6" w:space="0" w:color="auto"/>
              <w:left w:val="single" w:sz="4" w:space="0" w:color="auto"/>
              <w:bottom w:val="single" w:sz="4" w:space="0" w:color="auto"/>
              <w:right w:val="single" w:sz="4" w:space="0" w:color="auto"/>
            </w:tcBorders>
            <w:noWrap/>
            <w:vAlign w:val="center"/>
            <w:hideMark/>
          </w:tcPr>
          <w:p w:rsidR="001425BF" w:rsidRPr="006A0ED7" w:rsidRDefault="001425BF" w:rsidP="001703B8">
            <w:pPr>
              <w:spacing w:before="60" w:after="60"/>
              <w:jc w:val="center"/>
              <w:rPr>
                <w:rFonts w:ascii="Arial" w:hAnsi="Arial" w:cs="Arial"/>
                <w:b/>
                <w:caps/>
              </w:rPr>
            </w:pPr>
            <w:r w:rsidRPr="006A0ED7">
              <w:rPr>
                <w:rFonts w:ascii="Arial" w:hAnsi="Arial" w:cs="Arial"/>
                <w:b/>
              </w:rPr>
              <w:t>Huesca</w:t>
            </w:r>
          </w:p>
        </w:tc>
        <w:tc>
          <w:tcPr>
            <w:tcW w:w="1151" w:type="dxa"/>
            <w:tcBorders>
              <w:top w:val="single" w:sz="6" w:space="0" w:color="auto"/>
              <w:left w:val="single" w:sz="4" w:space="0" w:color="auto"/>
              <w:bottom w:val="single" w:sz="4" w:space="0" w:color="auto"/>
              <w:right w:val="single" w:sz="4" w:space="0" w:color="auto"/>
            </w:tcBorders>
            <w:vAlign w:val="center"/>
            <w:hideMark/>
          </w:tcPr>
          <w:p w:rsidR="001425BF" w:rsidRPr="006A0ED7" w:rsidRDefault="001425BF" w:rsidP="001703B8">
            <w:pPr>
              <w:spacing w:before="60" w:after="60"/>
              <w:jc w:val="center"/>
              <w:rPr>
                <w:rFonts w:ascii="Arial" w:hAnsi="Arial" w:cs="Arial"/>
                <w:b/>
                <w:caps/>
              </w:rPr>
            </w:pPr>
            <w:r w:rsidRPr="006A0ED7">
              <w:rPr>
                <w:rFonts w:ascii="Arial" w:hAnsi="Arial" w:cs="Arial"/>
                <w:b/>
              </w:rPr>
              <w:t>Teruel</w:t>
            </w:r>
          </w:p>
        </w:tc>
        <w:tc>
          <w:tcPr>
            <w:tcW w:w="1242" w:type="dxa"/>
            <w:tcBorders>
              <w:top w:val="single" w:sz="6" w:space="0" w:color="auto"/>
              <w:left w:val="single" w:sz="4" w:space="0" w:color="auto"/>
              <w:bottom w:val="single" w:sz="4" w:space="0" w:color="auto"/>
              <w:right w:val="single" w:sz="4" w:space="0" w:color="auto"/>
            </w:tcBorders>
            <w:vAlign w:val="center"/>
            <w:hideMark/>
          </w:tcPr>
          <w:p w:rsidR="001425BF" w:rsidRPr="006A0ED7" w:rsidRDefault="001425BF" w:rsidP="001703B8">
            <w:pPr>
              <w:spacing w:before="60" w:after="60"/>
              <w:jc w:val="center"/>
              <w:rPr>
                <w:rFonts w:ascii="Arial" w:hAnsi="Arial" w:cs="Arial"/>
                <w:b/>
                <w:caps/>
              </w:rPr>
            </w:pPr>
            <w:r w:rsidRPr="006A0ED7">
              <w:rPr>
                <w:rFonts w:ascii="Arial" w:hAnsi="Arial" w:cs="Arial"/>
                <w:b/>
              </w:rPr>
              <w:t>Zaragoza</w:t>
            </w:r>
          </w:p>
        </w:tc>
        <w:tc>
          <w:tcPr>
            <w:tcW w:w="1060" w:type="dxa"/>
            <w:tcBorders>
              <w:top w:val="single" w:sz="6" w:space="0" w:color="auto"/>
              <w:left w:val="single" w:sz="4" w:space="0" w:color="auto"/>
              <w:bottom w:val="single" w:sz="4" w:space="0" w:color="auto"/>
              <w:right w:val="single" w:sz="6" w:space="0" w:color="auto"/>
            </w:tcBorders>
            <w:noWrap/>
            <w:vAlign w:val="center"/>
            <w:hideMark/>
          </w:tcPr>
          <w:p w:rsidR="001425BF" w:rsidRPr="006A0ED7" w:rsidRDefault="001425BF" w:rsidP="001703B8">
            <w:pPr>
              <w:spacing w:before="60" w:after="60"/>
              <w:jc w:val="center"/>
              <w:rPr>
                <w:rFonts w:ascii="Arial" w:hAnsi="Arial" w:cs="Arial"/>
                <w:b/>
                <w:caps/>
              </w:rPr>
            </w:pPr>
            <w:r w:rsidRPr="006A0ED7">
              <w:rPr>
                <w:rFonts w:ascii="Arial" w:hAnsi="Arial" w:cs="Arial"/>
                <w:b/>
              </w:rPr>
              <w:t>Total</w:t>
            </w:r>
          </w:p>
        </w:tc>
      </w:tr>
      <w:tr w:rsidR="001425BF" w:rsidRPr="001B2A75" w:rsidTr="001703B8">
        <w:tc>
          <w:tcPr>
            <w:tcW w:w="979" w:type="dxa"/>
            <w:vMerge w:val="restart"/>
            <w:tcBorders>
              <w:top w:val="single" w:sz="4" w:space="0" w:color="auto"/>
              <w:left w:val="single" w:sz="4" w:space="0" w:color="auto"/>
              <w:right w:val="single" w:sz="4" w:space="0" w:color="auto"/>
            </w:tcBorders>
            <w:vAlign w:val="center"/>
            <w:hideMark/>
          </w:tcPr>
          <w:p w:rsidR="001425BF" w:rsidRPr="001B2A75" w:rsidRDefault="001425BF" w:rsidP="001703B8">
            <w:pPr>
              <w:spacing w:before="120"/>
              <w:jc w:val="center"/>
              <w:rPr>
                <w:rFonts w:ascii="Arial" w:hAnsi="Arial" w:cs="Arial"/>
                <w:caps/>
              </w:rPr>
            </w:pPr>
            <w:r w:rsidRPr="001B2A75">
              <w:rPr>
                <w:rFonts w:ascii="Arial" w:hAnsi="Arial" w:cs="Arial"/>
                <w:caps/>
              </w:rPr>
              <w:t>eje 3</w:t>
            </w:r>
          </w:p>
        </w:tc>
        <w:tc>
          <w:tcPr>
            <w:tcW w:w="2367" w:type="dxa"/>
            <w:tcBorders>
              <w:top w:val="single" w:sz="4" w:space="0" w:color="auto"/>
              <w:left w:val="single" w:sz="4" w:space="0" w:color="auto"/>
              <w:bottom w:val="single" w:sz="4" w:space="0" w:color="auto"/>
              <w:right w:val="single" w:sz="4" w:space="0" w:color="auto"/>
            </w:tcBorders>
            <w:noWrap/>
            <w:vAlign w:val="center"/>
            <w:hideMark/>
          </w:tcPr>
          <w:p w:rsidR="001425BF" w:rsidRPr="006A0ED7" w:rsidRDefault="001425BF" w:rsidP="001703B8">
            <w:pPr>
              <w:spacing w:before="60" w:after="60"/>
              <w:jc w:val="both"/>
              <w:rPr>
                <w:rFonts w:ascii="Arial" w:hAnsi="Arial" w:cs="Arial"/>
                <w:sz w:val="18"/>
                <w:szCs w:val="18"/>
              </w:rPr>
            </w:pPr>
            <w:r w:rsidRPr="006A0ED7">
              <w:rPr>
                <w:rFonts w:ascii="Arial" w:hAnsi="Arial" w:cs="Arial"/>
                <w:sz w:val="18"/>
                <w:szCs w:val="18"/>
              </w:rPr>
              <w:t xml:space="preserve">Sesión de </w:t>
            </w:r>
            <w:proofErr w:type="spellStart"/>
            <w:r>
              <w:rPr>
                <w:rFonts w:ascii="Arial" w:hAnsi="Arial" w:cs="Arial"/>
                <w:sz w:val="18"/>
                <w:szCs w:val="18"/>
              </w:rPr>
              <w:t>n</w:t>
            </w:r>
            <w:r w:rsidRPr="006A0ED7">
              <w:rPr>
                <w:rFonts w:ascii="Arial" w:hAnsi="Arial" w:cs="Arial"/>
                <w:sz w:val="18"/>
                <w:szCs w:val="18"/>
              </w:rPr>
              <w:t>etworking</w:t>
            </w:r>
            <w:proofErr w:type="spellEnd"/>
          </w:p>
        </w:tc>
        <w:tc>
          <w:tcPr>
            <w:tcW w:w="115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xml:space="preserve">2 </w:t>
            </w:r>
          </w:p>
        </w:tc>
        <w:tc>
          <w:tcPr>
            <w:tcW w:w="115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w:t>
            </w:r>
          </w:p>
        </w:tc>
        <w:tc>
          <w:tcPr>
            <w:tcW w:w="1242"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5</w:t>
            </w:r>
          </w:p>
        </w:tc>
        <w:tc>
          <w:tcPr>
            <w:tcW w:w="1060"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9</w:t>
            </w:r>
          </w:p>
        </w:tc>
      </w:tr>
      <w:tr w:rsidR="001425BF" w:rsidRPr="001B2A75" w:rsidTr="001703B8">
        <w:tc>
          <w:tcPr>
            <w:tcW w:w="979" w:type="dxa"/>
            <w:vMerge/>
            <w:tcBorders>
              <w:left w:val="single" w:sz="4" w:space="0" w:color="auto"/>
              <w:right w:val="single" w:sz="4" w:space="0" w:color="auto"/>
            </w:tcBorders>
            <w:vAlign w:val="center"/>
          </w:tcPr>
          <w:p w:rsidR="001425BF" w:rsidRPr="001B2A75" w:rsidRDefault="001425BF" w:rsidP="001703B8">
            <w:pPr>
              <w:spacing w:before="120"/>
              <w:jc w:val="center"/>
              <w:rPr>
                <w:rFonts w:ascii="Arial" w:hAnsi="Arial" w:cs="Arial"/>
                <w:caps/>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rPr>
            </w:pPr>
            <w:r w:rsidRPr="006A0ED7">
              <w:rPr>
                <w:rFonts w:ascii="Arial" w:hAnsi="Arial" w:cs="Arial"/>
                <w:sz w:val="18"/>
                <w:szCs w:val="18"/>
              </w:rPr>
              <w:t>Acción de sensibilización</w:t>
            </w:r>
          </w:p>
        </w:tc>
        <w:tc>
          <w:tcPr>
            <w:tcW w:w="115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xml:space="preserve">2 </w:t>
            </w:r>
          </w:p>
        </w:tc>
        <w:tc>
          <w:tcPr>
            <w:tcW w:w="115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9</w:t>
            </w:r>
          </w:p>
        </w:tc>
        <w:tc>
          <w:tcPr>
            <w:tcW w:w="1242"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4</w:t>
            </w:r>
          </w:p>
        </w:tc>
        <w:tc>
          <w:tcPr>
            <w:tcW w:w="1060"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w:t>
            </w:r>
            <w:r>
              <w:rPr>
                <w:rFonts w:ascii="Arial" w:hAnsi="Arial" w:cs="Arial"/>
                <w:sz w:val="18"/>
                <w:szCs w:val="18"/>
              </w:rPr>
              <w:t>5</w:t>
            </w:r>
          </w:p>
        </w:tc>
      </w:tr>
      <w:tr w:rsidR="001425BF" w:rsidRPr="001B2A75" w:rsidTr="001703B8">
        <w:tc>
          <w:tcPr>
            <w:tcW w:w="979" w:type="dxa"/>
            <w:vMerge/>
            <w:tcBorders>
              <w:left w:val="single" w:sz="4" w:space="0" w:color="auto"/>
              <w:right w:val="single" w:sz="4" w:space="0" w:color="auto"/>
            </w:tcBorders>
            <w:vAlign w:val="center"/>
          </w:tcPr>
          <w:p w:rsidR="001425BF" w:rsidRPr="001B2A75" w:rsidRDefault="001425BF" w:rsidP="001703B8">
            <w:pPr>
              <w:spacing w:before="120"/>
              <w:jc w:val="center"/>
              <w:rPr>
                <w:rFonts w:ascii="Arial" w:hAnsi="Arial" w:cs="Arial"/>
                <w:caps/>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rPr>
            </w:pPr>
            <w:r w:rsidRPr="006A0ED7">
              <w:rPr>
                <w:rFonts w:ascii="Arial" w:hAnsi="Arial" w:cs="Arial"/>
                <w:sz w:val="18"/>
                <w:szCs w:val="18"/>
              </w:rPr>
              <w:t>Plataforma de colaboración</w:t>
            </w:r>
          </w:p>
        </w:tc>
        <w:tc>
          <w:tcPr>
            <w:tcW w:w="115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p>
        </w:tc>
        <w:tc>
          <w:tcPr>
            <w:tcW w:w="115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w:t>
            </w:r>
          </w:p>
        </w:tc>
        <w:tc>
          <w:tcPr>
            <w:tcW w:w="1242"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2</w:t>
            </w:r>
          </w:p>
        </w:tc>
        <w:tc>
          <w:tcPr>
            <w:tcW w:w="1060"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Pr>
                <w:rFonts w:ascii="Arial" w:hAnsi="Arial" w:cs="Arial"/>
                <w:sz w:val="18"/>
                <w:szCs w:val="18"/>
              </w:rPr>
              <w:t>2</w:t>
            </w:r>
          </w:p>
        </w:tc>
      </w:tr>
      <w:tr w:rsidR="001425BF" w:rsidRPr="001B2A75" w:rsidTr="001703B8">
        <w:tc>
          <w:tcPr>
            <w:tcW w:w="979" w:type="dxa"/>
            <w:vMerge/>
            <w:tcBorders>
              <w:left w:val="single" w:sz="4" w:space="0" w:color="auto"/>
              <w:bottom w:val="single" w:sz="4" w:space="0" w:color="auto"/>
              <w:right w:val="single" w:sz="4" w:space="0" w:color="auto"/>
            </w:tcBorders>
            <w:vAlign w:val="center"/>
          </w:tcPr>
          <w:p w:rsidR="001425BF" w:rsidRPr="001B2A75" w:rsidRDefault="001425BF" w:rsidP="001703B8">
            <w:pPr>
              <w:spacing w:before="120"/>
              <w:jc w:val="center"/>
              <w:rPr>
                <w:rFonts w:ascii="Arial" w:hAnsi="Arial" w:cs="Arial"/>
                <w:caps/>
              </w:rPr>
            </w:pPr>
          </w:p>
        </w:tc>
        <w:tc>
          <w:tcPr>
            <w:tcW w:w="2367"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both"/>
              <w:rPr>
                <w:rFonts w:ascii="Arial" w:hAnsi="Arial" w:cs="Arial"/>
                <w:sz w:val="18"/>
                <w:szCs w:val="18"/>
              </w:rPr>
            </w:pPr>
            <w:r w:rsidRPr="006A0ED7">
              <w:rPr>
                <w:rFonts w:ascii="Arial" w:hAnsi="Arial" w:cs="Arial"/>
                <w:sz w:val="18"/>
                <w:szCs w:val="18"/>
              </w:rPr>
              <w:t>Actualización base datos y difusión ARIES</w:t>
            </w:r>
          </w:p>
        </w:tc>
        <w:tc>
          <w:tcPr>
            <w:tcW w:w="1151"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w:t>
            </w:r>
          </w:p>
        </w:tc>
        <w:tc>
          <w:tcPr>
            <w:tcW w:w="1151"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w:t>
            </w:r>
          </w:p>
        </w:tc>
        <w:tc>
          <w:tcPr>
            <w:tcW w:w="1242"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w:t>
            </w:r>
          </w:p>
        </w:tc>
        <w:tc>
          <w:tcPr>
            <w:tcW w:w="1060"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3</w:t>
            </w:r>
          </w:p>
        </w:tc>
      </w:tr>
    </w:tbl>
    <w:p w:rsidR="001425BF" w:rsidRPr="001B2A75" w:rsidRDefault="001425BF" w:rsidP="001425BF">
      <w:pPr>
        <w:pStyle w:val="Textoindependiente"/>
        <w:tabs>
          <w:tab w:val="num" w:pos="1080"/>
        </w:tabs>
        <w:ind w:left="284" w:firstLine="540"/>
        <w:rPr>
          <w:rFonts w:cs="Arial"/>
          <w:b w:val="0"/>
          <w:sz w:val="20"/>
          <w:u w:val="single"/>
        </w:rPr>
      </w:pPr>
    </w:p>
    <w:p w:rsidR="001425BF" w:rsidRPr="001B2A75" w:rsidRDefault="001425BF" w:rsidP="001425BF">
      <w:pPr>
        <w:pStyle w:val="Textoindependiente"/>
        <w:spacing w:line="360" w:lineRule="auto"/>
        <w:ind w:left="284" w:firstLine="540"/>
        <w:rPr>
          <w:rFonts w:cs="Arial"/>
          <w:b w:val="0"/>
          <w:sz w:val="20"/>
          <w:lang w:val="es-ES_tradnl"/>
        </w:rPr>
      </w:pPr>
      <w:r w:rsidRPr="001B2A75">
        <w:rPr>
          <w:rFonts w:cs="Arial"/>
          <w:b w:val="0"/>
          <w:sz w:val="20"/>
          <w:lang w:val="es-ES_tradnl"/>
        </w:rPr>
        <w:t>Indicadores de resultados:</w:t>
      </w:r>
    </w:p>
    <w:p w:rsidR="001425BF" w:rsidRDefault="001425BF" w:rsidP="001425BF">
      <w:pPr>
        <w:pStyle w:val="Textoindependiente"/>
        <w:numPr>
          <w:ilvl w:val="1"/>
          <w:numId w:val="17"/>
        </w:numPr>
        <w:spacing w:line="360" w:lineRule="auto"/>
        <w:ind w:left="284" w:firstLine="540"/>
        <w:rPr>
          <w:rFonts w:cs="Arial"/>
          <w:b w:val="0"/>
          <w:sz w:val="20"/>
          <w:lang w:val="es-ES_tradnl"/>
        </w:rPr>
      </w:pPr>
      <w:r w:rsidRPr="001B2A75">
        <w:rPr>
          <w:rFonts w:cs="Arial"/>
          <w:b w:val="0"/>
          <w:sz w:val="20"/>
          <w:lang w:val="es-ES_tradnl"/>
        </w:rPr>
        <w:t>Satisfacción de los usuarios</w:t>
      </w:r>
    </w:p>
    <w:p w:rsidR="001425BF" w:rsidRPr="001B2A75" w:rsidRDefault="001425BF" w:rsidP="001425BF">
      <w:pPr>
        <w:pStyle w:val="Textoindependiente"/>
        <w:numPr>
          <w:ilvl w:val="1"/>
          <w:numId w:val="17"/>
        </w:numPr>
        <w:spacing w:line="360" w:lineRule="auto"/>
        <w:ind w:left="284" w:firstLine="540"/>
        <w:rPr>
          <w:rFonts w:cs="Arial"/>
          <w:b w:val="0"/>
          <w:sz w:val="20"/>
          <w:lang w:val="es-ES_tradnl"/>
        </w:rPr>
      </w:pPr>
      <w:r>
        <w:rPr>
          <w:rFonts w:cs="Arial"/>
          <w:b w:val="0"/>
          <w:sz w:val="20"/>
          <w:lang w:val="es-ES_tradnl"/>
        </w:rPr>
        <w:t>Nº participantes</w:t>
      </w:r>
    </w:p>
    <w:p w:rsidR="001425BF" w:rsidRPr="001B2A75" w:rsidRDefault="001425BF" w:rsidP="001425BF">
      <w:pPr>
        <w:pStyle w:val="Textoindependiente"/>
        <w:spacing w:line="360" w:lineRule="auto"/>
        <w:ind w:left="284" w:firstLine="540"/>
        <w:rPr>
          <w:rFonts w:cs="Arial"/>
          <w:b w:val="0"/>
          <w:sz w:val="20"/>
          <w:lang w:val="es-ES_tradnl"/>
        </w:rPr>
      </w:pPr>
    </w:p>
    <w:p w:rsidR="001425BF" w:rsidRPr="001B2A75" w:rsidRDefault="001425BF" w:rsidP="001425BF">
      <w:pPr>
        <w:spacing w:line="360" w:lineRule="auto"/>
        <w:ind w:left="284" w:firstLine="540"/>
        <w:jc w:val="both"/>
        <w:rPr>
          <w:rFonts w:ascii="Arial" w:hAnsi="Arial" w:cs="Arial"/>
          <w:u w:val="single"/>
        </w:rPr>
      </w:pPr>
      <w:r w:rsidRPr="001B2A75">
        <w:rPr>
          <w:rFonts w:ascii="Arial" w:hAnsi="Arial" w:cs="Arial"/>
          <w:u w:val="single"/>
        </w:rPr>
        <w:t>4- Apoyo en el acceso a la financiación para la PYME</w:t>
      </w:r>
    </w:p>
    <w:p w:rsidR="001425BF" w:rsidRPr="001B2A75" w:rsidRDefault="001425BF" w:rsidP="001425BF">
      <w:pPr>
        <w:spacing w:line="360" w:lineRule="auto"/>
        <w:ind w:left="284" w:firstLine="540"/>
        <w:jc w:val="both"/>
        <w:rPr>
          <w:rFonts w:ascii="Arial" w:hAnsi="Arial" w:cs="Arial"/>
          <w:u w:val="single"/>
        </w:rPr>
      </w:pPr>
    </w:p>
    <w:tbl>
      <w:tblPr>
        <w:tblW w:w="7950" w:type="dxa"/>
        <w:tblInd w:w="765" w:type="dxa"/>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0" w:type="dxa"/>
          <w:right w:w="70" w:type="dxa"/>
        </w:tblCellMar>
        <w:tblLook w:val="04A0" w:firstRow="1" w:lastRow="0" w:firstColumn="1" w:lastColumn="0" w:noHBand="0" w:noVBand="1"/>
      </w:tblPr>
      <w:tblGrid>
        <w:gridCol w:w="979"/>
        <w:gridCol w:w="2827"/>
        <w:gridCol w:w="1036"/>
        <w:gridCol w:w="1036"/>
        <w:gridCol w:w="1224"/>
        <w:gridCol w:w="848"/>
      </w:tblGrid>
      <w:tr w:rsidR="001425BF" w:rsidRPr="001B2A75" w:rsidTr="001703B8">
        <w:tc>
          <w:tcPr>
            <w:tcW w:w="979" w:type="dxa"/>
            <w:tcBorders>
              <w:top w:val="nil"/>
              <w:left w:val="nil"/>
              <w:bottom w:val="single" w:sz="4" w:space="0" w:color="auto"/>
              <w:right w:val="single" w:sz="4" w:space="0" w:color="auto"/>
            </w:tcBorders>
            <w:vAlign w:val="center"/>
          </w:tcPr>
          <w:p w:rsidR="001425BF" w:rsidRPr="001B2A75" w:rsidRDefault="001425BF" w:rsidP="001703B8">
            <w:pPr>
              <w:spacing w:before="120" w:after="120"/>
              <w:jc w:val="center"/>
              <w:rPr>
                <w:rFonts w:ascii="Arial" w:hAnsi="Arial" w:cs="Arial"/>
                <w:b/>
                <w:caps/>
              </w:rPr>
            </w:pPr>
          </w:p>
        </w:tc>
        <w:tc>
          <w:tcPr>
            <w:tcW w:w="2827" w:type="dxa"/>
            <w:tcBorders>
              <w:top w:val="single" w:sz="4" w:space="0" w:color="auto"/>
              <w:left w:val="single" w:sz="4" w:space="0" w:color="auto"/>
              <w:bottom w:val="single" w:sz="4" w:space="0" w:color="auto"/>
              <w:right w:val="single" w:sz="4" w:space="0" w:color="auto"/>
            </w:tcBorders>
            <w:noWrap/>
            <w:vAlign w:val="center"/>
            <w:hideMark/>
          </w:tcPr>
          <w:p w:rsidR="001425BF" w:rsidRPr="001B2A75" w:rsidRDefault="001425BF" w:rsidP="001703B8">
            <w:pPr>
              <w:spacing w:before="120" w:after="120"/>
              <w:jc w:val="center"/>
              <w:rPr>
                <w:rFonts w:ascii="Arial" w:hAnsi="Arial" w:cs="Arial"/>
                <w:b/>
                <w:caps/>
              </w:rPr>
            </w:pPr>
            <w:r w:rsidRPr="001B2A75">
              <w:rPr>
                <w:rFonts w:ascii="Arial" w:hAnsi="Arial" w:cs="Arial"/>
                <w:b/>
                <w:caps/>
              </w:rPr>
              <w:t>tipo de ACTUACION</w:t>
            </w:r>
          </w:p>
        </w:tc>
        <w:tc>
          <w:tcPr>
            <w:tcW w:w="1036" w:type="dxa"/>
            <w:tcBorders>
              <w:top w:val="single" w:sz="6" w:space="0" w:color="auto"/>
              <w:left w:val="single" w:sz="4" w:space="0" w:color="auto"/>
              <w:bottom w:val="single" w:sz="4" w:space="0" w:color="auto"/>
              <w:right w:val="single" w:sz="4" w:space="0" w:color="auto"/>
            </w:tcBorders>
            <w:noWrap/>
            <w:vAlign w:val="center"/>
            <w:hideMark/>
          </w:tcPr>
          <w:p w:rsidR="001425BF" w:rsidRPr="001B2A75" w:rsidRDefault="001425BF" w:rsidP="001703B8">
            <w:pPr>
              <w:spacing w:before="120" w:after="120"/>
              <w:jc w:val="center"/>
              <w:rPr>
                <w:rFonts w:ascii="Arial" w:hAnsi="Arial" w:cs="Arial"/>
                <w:b/>
                <w:caps/>
              </w:rPr>
            </w:pPr>
            <w:r w:rsidRPr="001B2A75">
              <w:rPr>
                <w:rFonts w:ascii="Arial" w:hAnsi="Arial" w:cs="Arial"/>
                <w:b/>
              </w:rPr>
              <w:t>Huesca</w:t>
            </w:r>
          </w:p>
        </w:tc>
        <w:tc>
          <w:tcPr>
            <w:tcW w:w="1036" w:type="dxa"/>
            <w:tcBorders>
              <w:top w:val="single" w:sz="6" w:space="0" w:color="auto"/>
              <w:left w:val="single" w:sz="4" w:space="0" w:color="auto"/>
              <w:bottom w:val="single" w:sz="4" w:space="0" w:color="auto"/>
              <w:right w:val="single" w:sz="4" w:space="0" w:color="auto"/>
            </w:tcBorders>
            <w:vAlign w:val="center"/>
            <w:hideMark/>
          </w:tcPr>
          <w:p w:rsidR="001425BF" w:rsidRPr="001B2A75" w:rsidRDefault="001425BF" w:rsidP="001703B8">
            <w:pPr>
              <w:spacing w:before="120" w:after="120"/>
              <w:jc w:val="center"/>
              <w:rPr>
                <w:rFonts w:ascii="Arial" w:hAnsi="Arial" w:cs="Arial"/>
                <w:b/>
                <w:caps/>
              </w:rPr>
            </w:pPr>
            <w:r w:rsidRPr="001B2A75">
              <w:rPr>
                <w:rFonts w:ascii="Arial" w:hAnsi="Arial" w:cs="Arial"/>
                <w:b/>
              </w:rPr>
              <w:t>Teruel</w:t>
            </w:r>
          </w:p>
        </w:tc>
        <w:tc>
          <w:tcPr>
            <w:tcW w:w="1224" w:type="dxa"/>
            <w:tcBorders>
              <w:top w:val="single" w:sz="6" w:space="0" w:color="auto"/>
              <w:left w:val="single" w:sz="4" w:space="0" w:color="auto"/>
              <w:bottom w:val="single" w:sz="4" w:space="0" w:color="auto"/>
              <w:right w:val="single" w:sz="4" w:space="0" w:color="auto"/>
            </w:tcBorders>
            <w:vAlign w:val="center"/>
            <w:hideMark/>
          </w:tcPr>
          <w:p w:rsidR="001425BF" w:rsidRPr="001B2A75" w:rsidRDefault="001425BF" w:rsidP="001703B8">
            <w:pPr>
              <w:spacing w:before="120" w:after="120"/>
              <w:jc w:val="center"/>
              <w:rPr>
                <w:rFonts w:ascii="Arial" w:hAnsi="Arial" w:cs="Arial"/>
                <w:b/>
                <w:caps/>
              </w:rPr>
            </w:pPr>
            <w:r w:rsidRPr="001B2A75">
              <w:rPr>
                <w:rFonts w:ascii="Arial" w:hAnsi="Arial" w:cs="Arial"/>
                <w:b/>
              </w:rPr>
              <w:t>Zaragoza</w:t>
            </w:r>
          </w:p>
        </w:tc>
        <w:tc>
          <w:tcPr>
            <w:tcW w:w="848" w:type="dxa"/>
            <w:tcBorders>
              <w:top w:val="single" w:sz="6" w:space="0" w:color="auto"/>
              <w:left w:val="single" w:sz="4" w:space="0" w:color="auto"/>
              <w:bottom w:val="single" w:sz="4" w:space="0" w:color="auto"/>
              <w:right w:val="single" w:sz="6" w:space="0" w:color="auto"/>
            </w:tcBorders>
            <w:noWrap/>
            <w:vAlign w:val="center"/>
            <w:hideMark/>
          </w:tcPr>
          <w:p w:rsidR="001425BF" w:rsidRPr="001B2A75" w:rsidRDefault="001425BF" w:rsidP="001703B8">
            <w:pPr>
              <w:spacing w:before="120" w:after="120"/>
              <w:jc w:val="center"/>
              <w:rPr>
                <w:rFonts w:ascii="Arial" w:hAnsi="Arial" w:cs="Arial"/>
                <w:b/>
                <w:caps/>
              </w:rPr>
            </w:pPr>
            <w:r w:rsidRPr="001B2A75">
              <w:rPr>
                <w:rFonts w:ascii="Arial" w:hAnsi="Arial" w:cs="Arial"/>
                <w:b/>
              </w:rPr>
              <w:t>Total</w:t>
            </w:r>
          </w:p>
        </w:tc>
      </w:tr>
      <w:tr w:rsidR="001425BF" w:rsidRPr="001B2A75" w:rsidTr="001703B8">
        <w:tc>
          <w:tcPr>
            <w:tcW w:w="979" w:type="dxa"/>
            <w:tcBorders>
              <w:top w:val="single" w:sz="4" w:space="0" w:color="auto"/>
              <w:left w:val="single" w:sz="4" w:space="0" w:color="auto"/>
              <w:bottom w:val="single" w:sz="4" w:space="0" w:color="auto"/>
              <w:right w:val="single" w:sz="4" w:space="0" w:color="auto"/>
            </w:tcBorders>
            <w:vAlign w:val="center"/>
            <w:hideMark/>
          </w:tcPr>
          <w:p w:rsidR="001425BF" w:rsidRPr="001B2A75" w:rsidRDefault="001425BF" w:rsidP="001703B8">
            <w:pPr>
              <w:spacing w:before="120" w:after="120"/>
              <w:jc w:val="center"/>
              <w:rPr>
                <w:rFonts w:ascii="Arial" w:hAnsi="Arial" w:cs="Arial"/>
                <w:caps/>
              </w:rPr>
            </w:pPr>
            <w:r w:rsidRPr="001B2A75">
              <w:rPr>
                <w:rFonts w:ascii="Arial" w:hAnsi="Arial" w:cs="Arial"/>
                <w:caps/>
              </w:rPr>
              <w:t>eje 4</w:t>
            </w:r>
          </w:p>
        </w:tc>
        <w:tc>
          <w:tcPr>
            <w:tcW w:w="2827" w:type="dxa"/>
            <w:tcBorders>
              <w:top w:val="single" w:sz="4" w:space="0" w:color="auto"/>
              <w:left w:val="single" w:sz="4" w:space="0" w:color="auto"/>
              <w:bottom w:val="single" w:sz="4" w:space="0" w:color="auto"/>
              <w:right w:val="single" w:sz="4" w:space="0" w:color="auto"/>
            </w:tcBorders>
            <w:noWrap/>
            <w:vAlign w:val="center"/>
            <w:hideMark/>
          </w:tcPr>
          <w:p w:rsidR="001425BF" w:rsidRPr="00DC27B1" w:rsidRDefault="001425BF" w:rsidP="001703B8">
            <w:pPr>
              <w:tabs>
                <w:tab w:val="num" w:pos="1068"/>
              </w:tabs>
              <w:spacing w:before="120" w:after="120"/>
              <w:rPr>
                <w:rFonts w:ascii="Arial" w:hAnsi="Arial" w:cs="Arial"/>
                <w:bCs/>
                <w:sz w:val="18"/>
                <w:szCs w:val="18"/>
              </w:rPr>
            </w:pPr>
            <w:r w:rsidRPr="00DC27B1">
              <w:rPr>
                <w:rFonts w:ascii="Arial" w:hAnsi="Arial" w:cs="Arial"/>
                <w:bCs/>
                <w:sz w:val="18"/>
                <w:szCs w:val="18"/>
              </w:rPr>
              <w:t xml:space="preserve">Informes de financiación </w:t>
            </w:r>
          </w:p>
        </w:tc>
        <w:tc>
          <w:tcPr>
            <w:tcW w:w="1036"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120</w:t>
            </w:r>
          </w:p>
        </w:tc>
        <w:tc>
          <w:tcPr>
            <w:tcW w:w="1036"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 73</w:t>
            </w:r>
          </w:p>
        </w:tc>
        <w:tc>
          <w:tcPr>
            <w:tcW w:w="1224" w:type="dxa"/>
            <w:tcBorders>
              <w:top w:val="single" w:sz="4" w:space="0" w:color="auto"/>
              <w:left w:val="single" w:sz="4" w:space="0" w:color="auto"/>
              <w:bottom w:val="single" w:sz="4" w:space="0" w:color="auto"/>
              <w:right w:val="single" w:sz="4" w:space="0" w:color="auto"/>
            </w:tcBorders>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1</w:t>
            </w:r>
            <w:r>
              <w:rPr>
                <w:rFonts w:ascii="Arial" w:hAnsi="Arial" w:cs="Arial"/>
                <w:sz w:val="18"/>
                <w:szCs w:val="18"/>
              </w:rPr>
              <w:t>0</w:t>
            </w:r>
          </w:p>
        </w:tc>
        <w:tc>
          <w:tcPr>
            <w:tcW w:w="848" w:type="dxa"/>
            <w:tcBorders>
              <w:top w:val="single" w:sz="4" w:space="0" w:color="auto"/>
              <w:left w:val="single" w:sz="4" w:space="0" w:color="auto"/>
              <w:bottom w:val="single" w:sz="4" w:space="0" w:color="auto"/>
              <w:right w:val="single" w:sz="4" w:space="0" w:color="auto"/>
            </w:tcBorders>
            <w:noWrap/>
            <w:vAlign w:val="center"/>
          </w:tcPr>
          <w:p w:rsidR="001425BF" w:rsidRPr="006A0ED7" w:rsidRDefault="001425BF" w:rsidP="001703B8">
            <w:pPr>
              <w:spacing w:before="60" w:after="60"/>
              <w:jc w:val="center"/>
              <w:rPr>
                <w:rFonts w:ascii="Arial" w:hAnsi="Arial" w:cs="Arial"/>
                <w:sz w:val="18"/>
                <w:szCs w:val="18"/>
              </w:rPr>
            </w:pPr>
            <w:r w:rsidRPr="006A0ED7">
              <w:rPr>
                <w:rFonts w:ascii="Arial" w:hAnsi="Arial" w:cs="Arial"/>
                <w:sz w:val="18"/>
                <w:szCs w:val="18"/>
              </w:rPr>
              <w:t>20</w:t>
            </w:r>
            <w:r>
              <w:rPr>
                <w:rFonts w:ascii="Arial" w:hAnsi="Arial" w:cs="Arial"/>
                <w:sz w:val="18"/>
                <w:szCs w:val="18"/>
              </w:rPr>
              <w:t>3</w:t>
            </w:r>
          </w:p>
        </w:tc>
      </w:tr>
    </w:tbl>
    <w:p w:rsidR="001425BF" w:rsidRPr="001B2A75" w:rsidRDefault="001425BF" w:rsidP="001425BF">
      <w:pPr>
        <w:spacing w:line="360" w:lineRule="auto"/>
        <w:ind w:left="284" w:firstLine="540"/>
        <w:jc w:val="both"/>
        <w:rPr>
          <w:rFonts w:ascii="Arial" w:hAnsi="Arial" w:cs="Arial"/>
        </w:rPr>
      </w:pPr>
    </w:p>
    <w:p w:rsidR="001425BF" w:rsidRPr="001B2A75" w:rsidRDefault="001425BF" w:rsidP="001425BF">
      <w:pPr>
        <w:spacing w:line="360" w:lineRule="auto"/>
        <w:ind w:left="284" w:firstLine="540"/>
        <w:jc w:val="both"/>
        <w:rPr>
          <w:rFonts w:ascii="Arial" w:hAnsi="Arial" w:cs="Arial"/>
        </w:rPr>
      </w:pPr>
      <w:r w:rsidRPr="001B2A75">
        <w:rPr>
          <w:rFonts w:ascii="Arial" w:hAnsi="Arial" w:cs="Arial"/>
        </w:rPr>
        <w:t>Indicadores vinculados a resultados:</w:t>
      </w:r>
    </w:p>
    <w:p w:rsidR="001425BF" w:rsidRPr="001B2A75" w:rsidRDefault="001425BF" w:rsidP="001425BF">
      <w:pPr>
        <w:pStyle w:val="Textoindependiente"/>
        <w:numPr>
          <w:ilvl w:val="1"/>
          <w:numId w:val="17"/>
        </w:numPr>
        <w:spacing w:line="360" w:lineRule="auto"/>
        <w:ind w:left="284" w:firstLine="540"/>
        <w:rPr>
          <w:rFonts w:cs="Arial"/>
          <w:b w:val="0"/>
          <w:sz w:val="20"/>
          <w:lang w:val="es-ES_tradnl"/>
        </w:rPr>
      </w:pPr>
      <w:r w:rsidRPr="001B2A75">
        <w:rPr>
          <w:rFonts w:cs="Arial"/>
          <w:b w:val="0"/>
          <w:sz w:val="20"/>
          <w:lang w:val="es-ES_tradnl"/>
        </w:rPr>
        <w:t>Satisfacción de los usuarios</w:t>
      </w:r>
    </w:p>
    <w:p w:rsidR="001425BF" w:rsidRPr="001B2A75" w:rsidRDefault="001425BF" w:rsidP="001425BF">
      <w:pPr>
        <w:pStyle w:val="Textoindependiente"/>
        <w:numPr>
          <w:ilvl w:val="1"/>
          <w:numId w:val="17"/>
        </w:numPr>
        <w:spacing w:line="360" w:lineRule="auto"/>
        <w:ind w:left="284" w:firstLine="540"/>
        <w:rPr>
          <w:rFonts w:cs="Arial"/>
          <w:b w:val="0"/>
          <w:sz w:val="20"/>
          <w:lang w:val="es-ES_tradnl"/>
        </w:rPr>
      </w:pPr>
      <w:r w:rsidRPr="001B2A75">
        <w:rPr>
          <w:rFonts w:cs="Arial"/>
          <w:b w:val="0"/>
          <w:sz w:val="20"/>
          <w:lang w:val="es-ES_tradnl"/>
        </w:rPr>
        <w:t>Nº consultas ayudas atendidas</w:t>
      </w:r>
    </w:p>
    <w:p w:rsidR="001425BF" w:rsidRPr="001B2A75" w:rsidRDefault="001425BF" w:rsidP="001425BF">
      <w:pPr>
        <w:pStyle w:val="Textoindependiente"/>
        <w:numPr>
          <w:ilvl w:val="1"/>
          <w:numId w:val="17"/>
        </w:numPr>
        <w:spacing w:line="360" w:lineRule="auto"/>
        <w:ind w:left="284" w:firstLine="540"/>
        <w:rPr>
          <w:rFonts w:cs="Arial"/>
          <w:b w:val="0"/>
          <w:sz w:val="20"/>
          <w:lang w:val="es-ES_tradnl"/>
        </w:rPr>
      </w:pPr>
      <w:r w:rsidRPr="001B2A75">
        <w:rPr>
          <w:rFonts w:cs="Arial"/>
          <w:b w:val="0"/>
          <w:sz w:val="20"/>
          <w:lang w:val="es-ES_tradnl"/>
        </w:rPr>
        <w:t>% ayudas presentadas</w:t>
      </w:r>
    </w:p>
    <w:p w:rsidR="001425BF" w:rsidRDefault="001425BF" w:rsidP="001425BF">
      <w:pPr>
        <w:pBdr>
          <w:top w:val="nil"/>
          <w:left w:val="nil"/>
          <w:bottom w:val="nil"/>
          <w:right w:val="nil"/>
          <w:between w:val="nil"/>
        </w:pBdr>
        <w:spacing w:before="120"/>
        <w:ind w:firstLine="360"/>
        <w:jc w:val="both"/>
        <w:rPr>
          <w:rFonts w:ascii="Verdana" w:eastAsia="Verdana" w:hAnsi="Verdana" w:cs="Verdana"/>
          <w:color w:val="000000"/>
          <w:sz w:val="22"/>
          <w:szCs w:val="22"/>
        </w:rPr>
      </w:pPr>
      <w:r w:rsidRPr="003A1AFB">
        <w:rPr>
          <w:rFonts w:ascii="Verdana" w:eastAsia="Verdana" w:hAnsi="Verdana" w:cs="Verdana"/>
          <w:sz w:val="22"/>
          <w:szCs w:val="22"/>
        </w:rPr>
        <w:t xml:space="preserve">Los objetivos numéricos fijados en este convenio podrán ser adaptados </w:t>
      </w:r>
      <w:r>
        <w:rPr>
          <w:rFonts w:ascii="Verdana" w:eastAsia="Verdana" w:hAnsi="Verdana" w:cs="Verdana"/>
          <w:color w:val="000000"/>
          <w:sz w:val="22"/>
          <w:szCs w:val="22"/>
        </w:rPr>
        <w:t xml:space="preserve">de forma justificada y </w:t>
      </w:r>
      <w:r>
        <w:rPr>
          <w:rFonts w:ascii="Verdana" w:eastAsia="Verdana" w:hAnsi="Verdana" w:cs="Verdana"/>
          <w:sz w:val="22"/>
          <w:szCs w:val="22"/>
        </w:rPr>
        <w:t>compensándose</w:t>
      </w:r>
      <w:r>
        <w:rPr>
          <w:rFonts w:ascii="Verdana" w:eastAsia="Verdana" w:hAnsi="Verdana" w:cs="Verdana"/>
          <w:color w:val="000000"/>
          <w:sz w:val="22"/>
          <w:szCs w:val="22"/>
        </w:rPr>
        <w:t xml:space="preserve"> entre ejes, con anterioridad a la justificación final del convenio, mediante comunicación previa a la Dirección General de Industria y PYMES para su aprobación. </w:t>
      </w:r>
    </w:p>
    <w:p w:rsidR="001425BF" w:rsidRPr="0023465D" w:rsidRDefault="001425BF" w:rsidP="001425BF">
      <w:pPr>
        <w:pBdr>
          <w:top w:val="nil"/>
          <w:left w:val="nil"/>
          <w:bottom w:val="nil"/>
          <w:right w:val="nil"/>
          <w:between w:val="nil"/>
        </w:pBdr>
        <w:spacing w:before="120"/>
        <w:ind w:firstLine="360"/>
        <w:jc w:val="both"/>
        <w:rPr>
          <w:rFonts w:ascii="Verdana" w:eastAsia="Verdana" w:hAnsi="Verdana" w:cs="Verdana"/>
          <w:sz w:val="22"/>
          <w:szCs w:val="22"/>
        </w:rPr>
      </w:pPr>
      <w:r w:rsidRPr="0023465D">
        <w:rPr>
          <w:rFonts w:ascii="Verdana" w:eastAsia="Verdana" w:hAnsi="Verdana" w:cs="Verdana"/>
          <w:sz w:val="22"/>
          <w:szCs w:val="22"/>
        </w:rPr>
        <w:t>La selección de las empresas que participan en el programa</w:t>
      </w:r>
      <w:r>
        <w:rPr>
          <w:rFonts w:ascii="Verdana" w:eastAsia="Verdana" w:hAnsi="Verdana" w:cs="Verdana"/>
          <w:sz w:val="22"/>
          <w:szCs w:val="22"/>
        </w:rPr>
        <w:t xml:space="preserve"> se </w:t>
      </w:r>
      <w:r w:rsidRPr="0023465D">
        <w:rPr>
          <w:rFonts w:ascii="Verdana" w:eastAsia="Verdana" w:hAnsi="Verdana" w:cs="Verdana"/>
          <w:sz w:val="22"/>
          <w:szCs w:val="22"/>
        </w:rPr>
        <w:t>llevar</w:t>
      </w:r>
      <w:r>
        <w:rPr>
          <w:rFonts w:ascii="Verdana" w:eastAsia="Verdana" w:hAnsi="Verdana" w:cs="Verdana"/>
          <w:sz w:val="22"/>
          <w:szCs w:val="22"/>
        </w:rPr>
        <w:t>á</w:t>
      </w:r>
      <w:r w:rsidRPr="0023465D">
        <w:rPr>
          <w:rFonts w:ascii="Verdana" w:eastAsia="Verdana" w:hAnsi="Verdana" w:cs="Verdana"/>
          <w:sz w:val="22"/>
          <w:szCs w:val="22"/>
        </w:rPr>
        <w:t xml:space="preserve"> a cabo </w:t>
      </w:r>
      <w:r>
        <w:rPr>
          <w:rFonts w:ascii="Verdana" w:eastAsia="Verdana" w:hAnsi="Verdana" w:cs="Verdana"/>
          <w:sz w:val="22"/>
          <w:szCs w:val="22"/>
        </w:rPr>
        <w:t xml:space="preserve">mediante </w:t>
      </w:r>
      <w:r w:rsidRPr="0023465D">
        <w:rPr>
          <w:rFonts w:ascii="Verdana" w:eastAsia="Verdana" w:hAnsi="Verdana" w:cs="Verdana"/>
          <w:sz w:val="22"/>
          <w:szCs w:val="22"/>
        </w:rPr>
        <w:t>criterios objetivos</w:t>
      </w:r>
      <w:r>
        <w:rPr>
          <w:rFonts w:ascii="Verdana" w:eastAsia="Verdana" w:hAnsi="Verdana" w:cs="Verdana"/>
          <w:sz w:val="22"/>
          <w:szCs w:val="22"/>
        </w:rPr>
        <w:t xml:space="preserve"> a través de</w:t>
      </w:r>
      <w:r w:rsidRPr="0023465D">
        <w:rPr>
          <w:rFonts w:ascii="Verdana" w:eastAsia="Verdana" w:hAnsi="Verdana" w:cs="Verdana"/>
          <w:sz w:val="22"/>
          <w:szCs w:val="22"/>
        </w:rPr>
        <w:t xml:space="preserve"> un procedimiento </w:t>
      </w:r>
      <w:r>
        <w:rPr>
          <w:rFonts w:ascii="Verdana" w:eastAsia="Verdana" w:hAnsi="Verdana" w:cs="Verdana"/>
          <w:sz w:val="22"/>
          <w:szCs w:val="22"/>
        </w:rPr>
        <w:t xml:space="preserve">que asegure la </w:t>
      </w:r>
      <w:r w:rsidRPr="0023465D">
        <w:rPr>
          <w:rFonts w:ascii="Verdana" w:eastAsia="Verdana" w:hAnsi="Verdana" w:cs="Verdana"/>
          <w:sz w:val="22"/>
          <w:szCs w:val="22"/>
        </w:rPr>
        <w:t>publicidad y transparencia. En el caso de superarse el número de solicitudes al número de objetivos previstos se dará prioridad a las empresas de menor tamaño.</w:t>
      </w:r>
    </w:p>
    <w:p w:rsidR="001425BF" w:rsidRDefault="001425BF" w:rsidP="001425BF">
      <w:pPr>
        <w:pBdr>
          <w:top w:val="nil"/>
          <w:left w:val="nil"/>
          <w:bottom w:val="nil"/>
          <w:right w:val="nil"/>
          <w:between w:val="nil"/>
        </w:pBdr>
        <w:spacing w:before="120"/>
        <w:ind w:firstLine="360"/>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spacing w:before="120"/>
        <w:jc w:val="both"/>
        <w:rPr>
          <w:rFonts w:ascii="Verdana" w:eastAsia="Verdana" w:hAnsi="Verdana" w:cs="Verdana"/>
          <w:color w:val="000000"/>
          <w:sz w:val="22"/>
          <w:szCs w:val="22"/>
        </w:rPr>
      </w:pPr>
    </w:p>
    <w:p w:rsidR="001425BF" w:rsidRDefault="001425BF" w:rsidP="001425BF">
      <w:pPr>
        <w:rPr>
          <w:rFonts w:ascii="Verdana" w:eastAsia="Verdana" w:hAnsi="Verdana" w:cs="Verdana"/>
          <w:b/>
          <w:color w:val="000000"/>
          <w:sz w:val="22"/>
          <w:szCs w:val="22"/>
        </w:rPr>
      </w:pPr>
      <w:r>
        <w:rPr>
          <w:rFonts w:ascii="Verdana" w:eastAsia="Verdana" w:hAnsi="Verdana" w:cs="Verdana"/>
          <w:b/>
          <w:color w:val="000000"/>
          <w:sz w:val="22"/>
          <w:szCs w:val="22"/>
        </w:rPr>
        <w:br w:type="page"/>
      </w:r>
    </w:p>
    <w:p w:rsidR="001425BF" w:rsidRDefault="001425BF" w:rsidP="001425BF">
      <w:pPr>
        <w:pBdr>
          <w:top w:val="nil"/>
          <w:left w:val="nil"/>
          <w:bottom w:val="nil"/>
          <w:right w:val="nil"/>
          <w:between w:val="nil"/>
        </w:pBdr>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lastRenderedPageBreak/>
        <w:t>TERCERA. -Compromisos, coste del proyecto y régimen de compatibilidad.</w:t>
      </w:r>
    </w:p>
    <w:p w:rsidR="001425BF" w:rsidRPr="00AD7389" w:rsidRDefault="001425BF" w:rsidP="001425BF">
      <w:pPr>
        <w:spacing w:before="120"/>
        <w:ind w:left="714" w:hanging="357"/>
        <w:jc w:val="both"/>
        <w:rPr>
          <w:rFonts w:ascii="Verdana" w:eastAsia="Verdana" w:hAnsi="Verdana" w:cs="Verdana"/>
          <w:sz w:val="22"/>
          <w:szCs w:val="22"/>
        </w:rPr>
      </w:pPr>
      <w:r>
        <w:rPr>
          <w:rFonts w:ascii="Verdana" w:eastAsia="Verdana" w:hAnsi="Verdana" w:cs="Verdana"/>
          <w:color w:val="000000"/>
          <w:sz w:val="22"/>
          <w:szCs w:val="22"/>
        </w:rPr>
        <w:t xml:space="preserve">1. </w:t>
      </w:r>
      <w:r w:rsidRPr="00AD7389">
        <w:rPr>
          <w:rFonts w:ascii="Verdana" w:eastAsia="Verdana" w:hAnsi="Verdana" w:cs="Verdana"/>
          <w:sz w:val="22"/>
          <w:szCs w:val="22"/>
        </w:rPr>
        <w:t>El Gobierno de Aragón realizará una aportación máxima para la ejecución de este convenio, de UN MILLÓN CINCUENTA Y CINCO MIL EUROS (1.055.000 €) con cargo a las aplicaciones presupuestarias 19020.723.1.440168 (91002), 19020.723.1.440169 (91002) y 19020.723.1.440170 (91002) de los Presupuestos de la Comunidad Autónoma de Aragón para el año 2023, de acuerdo con la siguiente distribución.</w:t>
      </w:r>
    </w:p>
    <w:p w:rsidR="001425BF" w:rsidRPr="00AD7389" w:rsidRDefault="001425BF" w:rsidP="001425BF">
      <w:pPr>
        <w:tabs>
          <w:tab w:val="left" w:pos="567"/>
        </w:tabs>
        <w:spacing w:line="360" w:lineRule="auto"/>
        <w:ind w:firstLine="567"/>
        <w:jc w:val="both"/>
        <w:rPr>
          <w:rFonts w:ascii="Verdana" w:eastAsia="Verdana" w:hAnsi="Verdana" w:cs="Verdana"/>
          <w:sz w:val="21"/>
          <w:szCs w:val="21"/>
        </w:rPr>
      </w:pPr>
    </w:p>
    <w:tbl>
      <w:tblPr>
        <w:tblW w:w="8647" w:type="dxa"/>
        <w:tblInd w:w="843" w:type="dxa"/>
        <w:tblBorders>
          <w:top w:val="single" w:sz="6" w:space="0" w:color="000000"/>
          <w:left w:val="single" w:sz="6" w:space="0" w:color="000000"/>
          <w:bottom w:val="single" w:sz="6" w:space="0" w:color="000000"/>
          <w:right w:val="single" w:sz="6" w:space="0" w:color="000000"/>
          <w:insideH w:val="single" w:sz="6" w:space="0" w:color="000000"/>
          <w:insideV w:val="single" w:sz="4" w:space="0" w:color="000000"/>
        </w:tblBorders>
        <w:tblLayout w:type="fixed"/>
        <w:tblLook w:val="0000" w:firstRow="0" w:lastRow="0" w:firstColumn="0" w:lastColumn="0" w:noHBand="0" w:noVBand="0"/>
      </w:tblPr>
      <w:tblGrid>
        <w:gridCol w:w="3366"/>
        <w:gridCol w:w="1620"/>
        <w:gridCol w:w="1818"/>
        <w:gridCol w:w="1843"/>
      </w:tblGrid>
      <w:tr w:rsidR="001425BF" w:rsidRPr="00AD7389" w:rsidTr="004B78CB">
        <w:trPr>
          <w:tblHeader/>
        </w:trPr>
        <w:tc>
          <w:tcPr>
            <w:tcW w:w="3366" w:type="dxa"/>
            <w:tcBorders>
              <w:bottom w:val="nil"/>
            </w:tcBorders>
            <w:shd w:val="clear" w:color="auto" w:fill="auto"/>
            <w:vAlign w:val="center"/>
          </w:tcPr>
          <w:p w:rsidR="001425BF" w:rsidRPr="00AD7389" w:rsidRDefault="001425BF" w:rsidP="001703B8">
            <w:pPr>
              <w:spacing w:before="120" w:after="120" w:line="360" w:lineRule="auto"/>
              <w:ind w:right="170"/>
              <w:jc w:val="center"/>
              <w:rPr>
                <w:rFonts w:ascii="Verdana" w:eastAsia="Verdana" w:hAnsi="Verdana" w:cs="Verdana"/>
                <w:b/>
                <w:smallCaps/>
              </w:rPr>
            </w:pPr>
          </w:p>
        </w:tc>
        <w:tc>
          <w:tcPr>
            <w:tcW w:w="1620" w:type="dxa"/>
            <w:shd w:val="clear" w:color="auto" w:fill="auto"/>
            <w:vAlign w:val="center"/>
          </w:tcPr>
          <w:p w:rsidR="001425BF" w:rsidRPr="00AD7389" w:rsidRDefault="001425BF" w:rsidP="001703B8">
            <w:pPr>
              <w:spacing w:before="120" w:after="120" w:line="360" w:lineRule="auto"/>
              <w:ind w:right="170"/>
              <w:jc w:val="center"/>
              <w:rPr>
                <w:rFonts w:ascii="Verdana" w:eastAsia="Verdana" w:hAnsi="Verdana" w:cs="Verdana"/>
                <w:b/>
                <w:smallCaps/>
              </w:rPr>
            </w:pPr>
            <w:r w:rsidRPr="00AD7389">
              <w:rPr>
                <w:rFonts w:ascii="Verdana" w:eastAsia="Verdana" w:hAnsi="Verdana" w:cs="Verdana"/>
                <w:b/>
              </w:rPr>
              <w:t>Huesca</w:t>
            </w:r>
          </w:p>
        </w:tc>
        <w:tc>
          <w:tcPr>
            <w:tcW w:w="1818" w:type="dxa"/>
            <w:shd w:val="clear" w:color="auto" w:fill="auto"/>
            <w:vAlign w:val="center"/>
          </w:tcPr>
          <w:p w:rsidR="001425BF" w:rsidRPr="00AD7389" w:rsidRDefault="001425BF" w:rsidP="001703B8">
            <w:pPr>
              <w:spacing w:before="120" w:after="120" w:line="360" w:lineRule="auto"/>
              <w:ind w:right="170"/>
              <w:jc w:val="center"/>
              <w:rPr>
                <w:rFonts w:ascii="Verdana" w:eastAsia="Verdana" w:hAnsi="Verdana" w:cs="Verdana"/>
                <w:b/>
                <w:smallCaps/>
              </w:rPr>
            </w:pPr>
            <w:r w:rsidRPr="00AD7389">
              <w:rPr>
                <w:rFonts w:ascii="Verdana" w:eastAsia="Verdana" w:hAnsi="Verdana" w:cs="Verdana"/>
                <w:b/>
              </w:rPr>
              <w:t>Teruel</w:t>
            </w:r>
          </w:p>
        </w:tc>
        <w:tc>
          <w:tcPr>
            <w:tcW w:w="1843" w:type="dxa"/>
            <w:shd w:val="clear" w:color="auto" w:fill="auto"/>
            <w:vAlign w:val="center"/>
          </w:tcPr>
          <w:p w:rsidR="001425BF" w:rsidRPr="00AD7389" w:rsidRDefault="001425BF" w:rsidP="001703B8">
            <w:pPr>
              <w:spacing w:before="120" w:after="120" w:line="360" w:lineRule="auto"/>
              <w:ind w:right="170"/>
              <w:jc w:val="center"/>
              <w:rPr>
                <w:rFonts w:ascii="Verdana" w:eastAsia="Verdana" w:hAnsi="Verdana" w:cs="Verdana"/>
                <w:b/>
                <w:smallCaps/>
              </w:rPr>
            </w:pPr>
            <w:r w:rsidRPr="00AD7389">
              <w:rPr>
                <w:rFonts w:ascii="Verdana" w:eastAsia="Verdana" w:hAnsi="Verdana" w:cs="Verdana"/>
                <w:b/>
              </w:rPr>
              <w:t>Zaragoza</w:t>
            </w:r>
          </w:p>
        </w:tc>
      </w:tr>
      <w:tr w:rsidR="001425BF" w:rsidRPr="00AD7389" w:rsidTr="004B78CB">
        <w:trPr>
          <w:tblHeader/>
        </w:trPr>
        <w:tc>
          <w:tcPr>
            <w:tcW w:w="3366" w:type="dxa"/>
            <w:tcBorders>
              <w:top w:val="nil"/>
              <w:bottom w:val="single" w:sz="4" w:space="0" w:color="auto"/>
            </w:tcBorders>
            <w:shd w:val="clear" w:color="auto" w:fill="auto"/>
            <w:vAlign w:val="center"/>
          </w:tcPr>
          <w:p w:rsidR="001425BF" w:rsidRPr="00AD7389" w:rsidRDefault="001425BF" w:rsidP="001703B8">
            <w:pPr>
              <w:spacing w:before="120" w:after="60" w:line="360" w:lineRule="auto"/>
              <w:ind w:right="170"/>
              <w:jc w:val="center"/>
              <w:rPr>
                <w:rFonts w:ascii="Verdana" w:eastAsia="Verdana" w:hAnsi="Verdana" w:cs="Verdana"/>
              </w:rPr>
            </w:pPr>
            <w:r w:rsidRPr="00AD7389">
              <w:rPr>
                <w:rFonts w:ascii="Verdana" w:eastAsia="Verdana" w:hAnsi="Verdana" w:cs="Verdana"/>
              </w:rPr>
              <w:t>Partida presupuestaria</w:t>
            </w:r>
          </w:p>
        </w:tc>
        <w:tc>
          <w:tcPr>
            <w:tcW w:w="1620" w:type="dxa"/>
            <w:tcBorders>
              <w:bottom w:val="single" w:sz="4" w:space="0" w:color="auto"/>
            </w:tcBorders>
            <w:shd w:val="clear" w:color="auto" w:fill="auto"/>
            <w:vAlign w:val="center"/>
          </w:tcPr>
          <w:p w:rsidR="001425BF" w:rsidRPr="00AD7389" w:rsidRDefault="001425BF" w:rsidP="001703B8">
            <w:pPr>
              <w:spacing w:line="360" w:lineRule="auto"/>
              <w:jc w:val="center"/>
              <w:rPr>
                <w:rFonts w:ascii="Verdana" w:eastAsia="Verdana" w:hAnsi="Verdana" w:cs="Verdana"/>
              </w:rPr>
            </w:pPr>
            <w:r w:rsidRPr="00AD7389">
              <w:rPr>
                <w:rFonts w:ascii="Verdana" w:eastAsia="Verdana" w:hAnsi="Verdana" w:cs="Verdana"/>
              </w:rPr>
              <w:t>440169</w:t>
            </w:r>
          </w:p>
        </w:tc>
        <w:tc>
          <w:tcPr>
            <w:tcW w:w="1818" w:type="dxa"/>
            <w:shd w:val="clear" w:color="auto" w:fill="auto"/>
            <w:vAlign w:val="center"/>
          </w:tcPr>
          <w:p w:rsidR="001425BF" w:rsidRPr="00AD7389" w:rsidRDefault="001425BF" w:rsidP="001703B8">
            <w:pPr>
              <w:spacing w:line="360" w:lineRule="auto"/>
              <w:jc w:val="center"/>
              <w:rPr>
                <w:rFonts w:ascii="Verdana" w:eastAsia="Verdana" w:hAnsi="Verdana" w:cs="Verdana"/>
              </w:rPr>
            </w:pPr>
            <w:r w:rsidRPr="00AD7389">
              <w:rPr>
                <w:rFonts w:ascii="Verdana" w:eastAsia="Verdana" w:hAnsi="Verdana" w:cs="Verdana"/>
              </w:rPr>
              <w:t>440168</w:t>
            </w:r>
          </w:p>
        </w:tc>
        <w:tc>
          <w:tcPr>
            <w:tcW w:w="1843" w:type="dxa"/>
            <w:shd w:val="clear" w:color="auto" w:fill="auto"/>
            <w:vAlign w:val="center"/>
          </w:tcPr>
          <w:p w:rsidR="001425BF" w:rsidRPr="00AD7389" w:rsidRDefault="001425BF" w:rsidP="001703B8">
            <w:pPr>
              <w:spacing w:line="360" w:lineRule="auto"/>
              <w:jc w:val="center"/>
              <w:rPr>
                <w:rFonts w:ascii="Verdana" w:eastAsia="Verdana" w:hAnsi="Verdana" w:cs="Verdana"/>
              </w:rPr>
            </w:pPr>
            <w:r w:rsidRPr="00AD7389">
              <w:rPr>
                <w:rFonts w:ascii="Verdana" w:eastAsia="Verdana" w:hAnsi="Verdana" w:cs="Verdana"/>
              </w:rPr>
              <w:t>440170</w:t>
            </w:r>
          </w:p>
        </w:tc>
      </w:tr>
      <w:tr w:rsidR="001425BF" w:rsidRPr="00AD7389" w:rsidTr="004B78CB">
        <w:trPr>
          <w:tblHeader/>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1425BF" w:rsidRPr="00AD7389" w:rsidRDefault="001425BF" w:rsidP="001703B8">
            <w:pPr>
              <w:spacing w:before="120" w:after="60" w:line="360" w:lineRule="auto"/>
              <w:ind w:right="170"/>
              <w:jc w:val="center"/>
              <w:rPr>
                <w:rFonts w:ascii="Verdana" w:eastAsia="Verdana" w:hAnsi="Verdana" w:cs="Verdana"/>
              </w:rPr>
            </w:pPr>
            <w:r w:rsidRPr="00AD7389">
              <w:rPr>
                <w:rFonts w:ascii="Verdana" w:eastAsia="Verdana" w:hAnsi="Verdana" w:cs="Verdana"/>
              </w:rPr>
              <w:t xml:space="preserve">Aportación máxima </w:t>
            </w:r>
          </w:p>
          <w:p w:rsidR="001425BF" w:rsidRPr="00AD7389" w:rsidRDefault="001425BF" w:rsidP="001703B8">
            <w:pPr>
              <w:spacing w:before="120" w:after="60" w:line="360" w:lineRule="auto"/>
              <w:ind w:right="170"/>
              <w:jc w:val="center"/>
              <w:rPr>
                <w:rFonts w:ascii="Verdana" w:eastAsia="Verdana" w:hAnsi="Verdana" w:cs="Verdana"/>
                <w:smallCaps/>
              </w:rPr>
            </w:pPr>
            <w:r w:rsidRPr="00AD7389">
              <w:rPr>
                <w:rFonts w:ascii="Verdana" w:eastAsia="Verdana" w:hAnsi="Verdana" w:cs="Verdana"/>
              </w:rPr>
              <w:t>del Gobierno de Aragón 2023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425BF" w:rsidRPr="00AD7389" w:rsidRDefault="001425BF" w:rsidP="001703B8">
            <w:pPr>
              <w:spacing w:line="360" w:lineRule="auto"/>
              <w:jc w:val="center"/>
              <w:rPr>
                <w:rFonts w:ascii="Verdana" w:eastAsia="Verdana" w:hAnsi="Verdana" w:cs="Verdana"/>
              </w:rPr>
            </w:pPr>
            <w:r w:rsidRPr="00AD7389">
              <w:rPr>
                <w:rFonts w:ascii="Verdana" w:eastAsia="Verdana" w:hAnsi="Verdana" w:cs="Verdana"/>
              </w:rPr>
              <w:t>330.000,00 €</w:t>
            </w:r>
          </w:p>
        </w:tc>
        <w:tc>
          <w:tcPr>
            <w:tcW w:w="1818" w:type="dxa"/>
            <w:tcBorders>
              <w:left w:val="single" w:sz="4" w:space="0" w:color="auto"/>
            </w:tcBorders>
            <w:shd w:val="clear" w:color="auto" w:fill="auto"/>
            <w:vAlign w:val="center"/>
          </w:tcPr>
          <w:p w:rsidR="001425BF" w:rsidRPr="00AD7389" w:rsidRDefault="001425BF" w:rsidP="001703B8">
            <w:pPr>
              <w:spacing w:line="360" w:lineRule="auto"/>
              <w:jc w:val="center"/>
              <w:rPr>
                <w:rFonts w:ascii="Verdana" w:eastAsia="Verdana" w:hAnsi="Verdana" w:cs="Verdana"/>
              </w:rPr>
            </w:pPr>
            <w:r w:rsidRPr="00AD7389">
              <w:rPr>
                <w:rFonts w:ascii="Verdana" w:eastAsia="Verdana" w:hAnsi="Verdana" w:cs="Verdana"/>
              </w:rPr>
              <w:t>250.000,00 €</w:t>
            </w:r>
          </w:p>
        </w:tc>
        <w:tc>
          <w:tcPr>
            <w:tcW w:w="1843" w:type="dxa"/>
            <w:shd w:val="clear" w:color="auto" w:fill="auto"/>
            <w:vAlign w:val="center"/>
          </w:tcPr>
          <w:p w:rsidR="001425BF" w:rsidRPr="00AD7389" w:rsidRDefault="001425BF" w:rsidP="001703B8">
            <w:pPr>
              <w:spacing w:line="360" w:lineRule="auto"/>
              <w:jc w:val="center"/>
              <w:rPr>
                <w:rFonts w:ascii="Verdana" w:eastAsia="Verdana" w:hAnsi="Verdana" w:cs="Verdana"/>
              </w:rPr>
            </w:pPr>
            <w:r w:rsidRPr="00AD7389">
              <w:rPr>
                <w:rFonts w:ascii="Verdana" w:eastAsia="Verdana" w:hAnsi="Verdana" w:cs="Verdana"/>
              </w:rPr>
              <w:t>475.000,00 €</w:t>
            </w:r>
          </w:p>
        </w:tc>
      </w:tr>
    </w:tbl>
    <w:p w:rsidR="001425BF" w:rsidRDefault="001425BF" w:rsidP="001425BF">
      <w:pPr>
        <w:tabs>
          <w:tab w:val="left" w:pos="567"/>
        </w:tabs>
        <w:spacing w:line="360" w:lineRule="auto"/>
        <w:ind w:firstLine="567"/>
        <w:jc w:val="both"/>
        <w:rPr>
          <w:rFonts w:ascii="Verdana" w:eastAsia="Verdana" w:hAnsi="Verdana" w:cs="Verdana"/>
          <w:color w:val="000000"/>
          <w:sz w:val="22"/>
          <w:szCs w:val="22"/>
        </w:rPr>
      </w:pPr>
    </w:p>
    <w:p w:rsidR="001425BF" w:rsidRDefault="001425BF" w:rsidP="001425BF">
      <w:pPr>
        <w:numPr>
          <w:ilvl w:val="0"/>
          <w:numId w:val="4"/>
        </w:numPr>
        <w:pBdr>
          <w:top w:val="nil"/>
          <w:left w:val="nil"/>
          <w:bottom w:val="nil"/>
          <w:right w:val="nil"/>
          <w:between w:val="nil"/>
        </w:pBdr>
        <w:spacing w:before="120"/>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 xml:space="preserve">Estas ayudas son compatibles con la percepción de cualquier otra ayuda, subvención o ingresos cuya finalidad sea la misma que las recogidas en este convenio, procedentes de cualesquiera administraciones o entes públicos o privados, nacionales, de la Unión Europea o de organismos internacionales. </w:t>
      </w:r>
    </w:p>
    <w:p w:rsidR="001425BF" w:rsidRDefault="001425BF" w:rsidP="001425BF">
      <w:pPr>
        <w:pBdr>
          <w:top w:val="nil"/>
          <w:left w:val="nil"/>
          <w:bottom w:val="nil"/>
          <w:right w:val="nil"/>
          <w:between w:val="nil"/>
        </w:pBdr>
        <w:ind w:left="709"/>
        <w:jc w:val="both"/>
        <w:rPr>
          <w:rFonts w:ascii="Verdana" w:eastAsia="Verdana" w:hAnsi="Verdana" w:cs="Verdana"/>
          <w:color w:val="000000"/>
          <w:sz w:val="22"/>
          <w:szCs w:val="22"/>
        </w:rPr>
      </w:pPr>
    </w:p>
    <w:p w:rsidR="001425BF" w:rsidRDefault="001425BF" w:rsidP="001425BF">
      <w:pPr>
        <w:numPr>
          <w:ilvl w:val="0"/>
          <w:numId w:val="4"/>
        </w:numPr>
        <w:pBdr>
          <w:top w:val="nil"/>
          <w:left w:val="nil"/>
          <w:bottom w:val="nil"/>
          <w:right w:val="nil"/>
          <w:between w:val="nil"/>
        </w:pBdr>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 xml:space="preserve">El beneficiario tiene la obligación de comunicar de inmediato al órgano concedente cualesquiera subvenciones, ayudas o ingresos que para la misma finalidad y de cualquier procedencia haya solicitado o le haya sido concedida o pagada. </w:t>
      </w:r>
    </w:p>
    <w:p w:rsidR="001425BF" w:rsidRDefault="001425BF" w:rsidP="001425BF">
      <w:pPr>
        <w:pBdr>
          <w:top w:val="nil"/>
          <w:left w:val="nil"/>
          <w:bottom w:val="nil"/>
          <w:right w:val="nil"/>
          <w:between w:val="nil"/>
        </w:pBdr>
        <w:ind w:left="709"/>
        <w:jc w:val="both"/>
        <w:rPr>
          <w:rFonts w:ascii="Verdana" w:eastAsia="Verdana" w:hAnsi="Verdana" w:cs="Verdana"/>
          <w:color w:val="000000"/>
          <w:sz w:val="22"/>
          <w:szCs w:val="22"/>
        </w:rPr>
      </w:pPr>
    </w:p>
    <w:p w:rsidR="001425BF" w:rsidRDefault="001425BF" w:rsidP="001425BF">
      <w:pPr>
        <w:numPr>
          <w:ilvl w:val="0"/>
          <w:numId w:val="4"/>
        </w:numPr>
        <w:pBdr>
          <w:top w:val="nil"/>
          <w:left w:val="nil"/>
          <w:bottom w:val="nil"/>
          <w:right w:val="nil"/>
          <w:between w:val="nil"/>
        </w:pBdr>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La aportación de la Administración autonómica prevista supone como máximo un porcentaje de ayuda del 100% con respecto al coste total. Si el coste final de la actuación fuese inferior al previsto en este convenio, el importe de la ayuda se reducirá proporcionalmente de forma que se respete el citado porcentaje. En el caso de no financiar la totalidad de las actuaciones, el % no financiado por el Gobierno de Aragón podrá ser financiado a través de recursos propios, de aportaciones de empresas o de aportaciones de otras entidades públicas y privadas, y se acreditará con la aportación de los documentos de justificación de los correspondientes gastos subvencionados tal y como se dispone en este convenio.</w:t>
      </w:r>
    </w:p>
    <w:p w:rsidR="001425BF" w:rsidRDefault="001425BF" w:rsidP="001425BF">
      <w:pPr>
        <w:pBdr>
          <w:top w:val="nil"/>
          <w:left w:val="nil"/>
          <w:bottom w:val="nil"/>
          <w:right w:val="nil"/>
          <w:between w:val="nil"/>
        </w:pBdr>
        <w:ind w:left="709"/>
        <w:jc w:val="both"/>
        <w:rPr>
          <w:rFonts w:ascii="Verdana" w:eastAsia="Verdana" w:hAnsi="Verdana" w:cs="Verdana"/>
          <w:color w:val="000000"/>
          <w:sz w:val="22"/>
          <w:szCs w:val="22"/>
        </w:rPr>
      </w:pPr>
    </w:p>
    <w:p w:rsidR="001425BF" w:rsidRDefault="001425BF" w:rsidP="001425BF">
      <w:pPr>
        <w:numPr>
          <w:ilvl w:val="0"/>
          <w:numId w:val="4"/>
        </w:numPr>
        <w:pBdr>
          <w:top w:val="nil"/>
          <w:left w:val="nil"/>
          <w:bottom w:val="nil"/>
          <w:right w:val="nil"/>
          <w:between w:val="nil"/>
        </w:pBdr>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 xml:space="preserve">El importe de la subvención nunca podrá, en concurrencia con ayudas y subvenciones de otras Administraciones públicas, entidades públicas o privadas, nacionales o internacionales, superar el coste de la actividad a desarrollar por el beneficiario. En caso contrario, la aportación de la Administración de la Comunidad Autónoma de Aragón se reducirá, de conformidad con lo establecido en la Ley 5/2015, de 25 de marzo, de Subvenciones de Aragón. </w:t>
      </w:r>
    </w:p>
    <w:p w:rsidR="001425BF" w:rsidRDefault="001425BF" w:rsidP="001425BF">
      <w:pPr>
        <w:pBdr>
          <w:top w:val="nil"/>
          <w:left w:val="nil"/>
          <w:bottom w:val="nil"/>
          <w:right w:val="nil"/>
          <w:between w:val="nil"/>
        </w:pBdr>
        <w:ind w:left="709"/>
        <w:jc w:val="both"/>
        <w:rPr>
          <w:rFonts w:ascii="Verdana" w:eastAsia="Verdana" w:hAnsi="Verdana" w:cs="Verdana"/>
          <w:color w:val="000000"/>
          <w:sz w:val="22"/>
          <w:szCs w:val="22"/>
        </w:rPr>
      </w:pPr>
    </w:p>
    <w:p w:rsidR="001425BF" w:rsidRDefault="001425BF" w:rsidP="001425BF">
      <w:pPr>
        <w:numPr>
          <w:ilvl w:val="0"/>
          <w:numId w:val="4"/>
        </w:numPr>
        <w:pBdr>
          <w:top w:val="nil"/>
          <w:left w:val="nil"/>
          <w:bottom w:val="nil"/>
          <w:right w:val="nil"/>
          <w:between w:val="nil"/>
        </w:pBdr>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lastRenderedPageBreak/>
        <w:t>Cuando, como consecuencia de la ejecución de la actuación el presupuesto del programa precise ser modificado a la baja en más de un 10%, las Cámaras deberán justificar debidamente dicha modificación, que requerirá de la previa aprobación del Consejo Rector, previa solicitud de la correspondiente Cámara, que deberá realizarse antes de la finalización del plazo de ejecución.</w:t>
      </w:r>
    </w:p>
    <w:p w:rsidR="001425BF" w:rsidRDefault="001425BF" w:rsidP="001425BF">
      <w:pPr>
        <w:pStyle w:val="Prrafodelista"/>
        <w:rPr>
          <w:rFonts w:ascii="Verdana" w:eastAsia="Verdana" w:hAnsi="Verdana" w:cs="Verdana"/>
          <w:color w:val="000000"/>
          <w:sz w:val="22"/>
          <w:szCs w:val="22"/>
        </w:rPr>
      </w:pPr>
    </w:p>
    <w:p w:rsidR="001425BF" w:rsidRDefault="001425BF" w:rsidP="001425BF">
      <w:pPr>
        <w:pBdr>
          <w:top w:val="nil"/>
          <w:left w:val="nil"/>
          <w:bottom w:val="nil"/>
          <w:right w:val="nil"/>
          <w:between w:val="nil"/>
        </w:pBdr>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t xml:space="preserve">CUARTA. - Equipo de trabajo </w:t>
      </w:r>
    </w:p>
    <w:p w:rsidR="001425BF" w:rsidRDefault="001425BF" w:rsidP="001425BF">
      <w:pPr>
        <w:pStyle w:val="Textoindependiente"/>
        <w:spacing w:before="120" w:after="120"/>
        <w:ind w:firstLine="709"/>
        <w:rPr>
          <w:rFonts w:ascii="Verdana" w:hAnsi="Verdana" w:cs="Arial"/>
          <w:b w:val="0"/>
          <w:szCs w:val="22"/>
        </w:rPr>
      </w:pPr>
      <w:r w:rsidRPr="004922DC">
        <w:rPr>
          <w:rFonts w:ascii="Verdana" w:hAnsi="Verdana" w:cs="Arial"/>
          <w:b w:val="0"/>
          <w:szCs w:val="22"/>
        </w:rPr>
        <w:t>Para la ejecución de las actuaciones previstas en el convenio</w:t>
      </w:r>
      <w:r>
        <w:rPr>
          <w:rFonts w:ascii="Verdana" w:hAnsi="Verdana" w:cs="Arial"/>
          <w:b w:val="0"/>
          <w:szCs w:val="22"/>
        </w:rPr>
        <w:t xml:space="preserve"> se destinará el equipo </w:t>
      </w:r>
      <w:r w:rsidRPr="004922DC">
        <w:rPr>
          <w:rFonts w:ascii="Verdana" w:hAnsi="Verdana" w:cs="Arial"/>
          <w:b w:val="0"/>
          <w:szCs w:val="22"/>
        </w:rPr>
        <w:t>de técnicos</w:t>
      </w:r>
      <w:r>
        <w:rPr>
          <w:rFonts w:ascii="Verdana" w:hAnsi="Verdana" w:cs="Arial"/>
          <w:b w:val="0"/>
          <w:szCs w:val="22"/>
        </w:rPr>
        <w:t xml:space="preserve"> con el número de componentes que se relaciona seguidamente,</w:t>
      </w:r>
      <w:r w:rsidRPr="004922DC">
        <w:rPr>
          <w:rFonts w:ascii="Verdana" w:hAnsi="Verdana" w:cs="Arial"/>
          <w:b w:val="0"/>
          <w:szCs w:val="22"/>
        </w:rPr>
        <w:t xml:space="preserve"> expresado en jornadas completas de trabajo y que han sido definidos por las Cámaras</w:t>
      </w:r>
      <w:r>
        <w:rPr>
          <w:rFonts w:ascii="Verdana" w:hAnsi="Verdana" w:cs="Arial"/>
          <w:b w:val="0"/>
          <w:szCs w:val="22"/>
        </w:rPr>
        <w:t xml:space="preserve">. </w:t>
      </w:r>
      <w:r w:rsidRPr="004922DC">
        <w:rPr>
          <w:rFonts w:ascii="Verdana" w:hAnsi="Verdana" w:cs="Arial"/>
          <w:b w:val="0"/>
          <w:szCs w:val="22"/>
        </w:rPr>
        <w:t xml:space="preserve">Las modificaciones, que a propuesta de la correspondiente Cámara </w:t>
      </w:r>
      <w:r>
        <w:rPr>
          <w:rFonts w:ascii="Verdana" w:hAnsi="Verdana" w:cs="Arial"/>
          <w:b w:val="0"/>
          <w:szCs w:val="22"/>
        </w:rPr>
        <w:t>resultara</w:t>
      </w:r>
      <w:r w:rsidRPr="004922DC">
        <w:rPr>
          <w:rFonts w:ascii="Verdana" w:hAnsi="Verdana" w:cs="Arial"/>
          <w:b w:val="0"/>
          <w:szCs w:val="22"/>
        </w:rPr>
        <w:t>n necesarias en los equipos</w:t>
      </w:r>
      <w:r>
        <w:rPr>
          <w:rFonts w:ascii="Verdana" w:hAnsi="Verdana" w:cs="Arial"/>
          <w:b w:val="0"/>
          <w:szCs w:val="22"/>
        </w:rPr>
        <w:t xml:space="preserve"> deberán</w:t>
      </w:r>
      <w:r w:rsidRPr="004922DC">
        <w:rPr>
          <w:rFonts w:ascii="Verdana" w:hAnsi="Verdana" w:cs="Arial"/>
          <w:b w:val="0"/>
          <w:szCs w:val="22"/>
        </w:rPr>
        <w:t xml:space="preserve"> ser </w:t>
      </w:r>
      <w:r>
        <w:rPr>
          <w:rFonts w:ascii="Verdana" w:hAnsi="Verdana" w:cs="Arial"/>
          <w:b w:val="0"/>
          <w:szCs w:val="22"/>
        </w:rPr>
        <w:t>aprobadas por el Consejo Rector, siempre que supongan una variación de más menos una persona expresada en jornada de trabajo anual.</w:t>
      </w:r>
    </w:p>
    <w:p w:rsidR="001425BF" w:rsidRDefault="001425BF" w:rsidP="001425BF">
      <w:pPr>
        <w:pBdr>
          <w:top w:val="nil"/>
          <w:left w:val="nil"/>
          <w:bottom w:val="nil"/>
          <w:right w:val="nil"/>
          <w:between w:val="nil"/>
        </w:pBdr>
        <w:spacing w:before="120" w:after="120"/>
        <w:ind w:firstLine="709"/>
        <w:jc w:val="both"/>
        <w:rPr>
          <w:rFonts w:ascii="Verdana" w:eastAsia="Verdana" w:hAnsi="Verdana" w:cs="Verdana"/>
          <w:color w:val="000000"/>
          <w:sz w:val="22"/>
          <w:szCs w:val="22"/>
        </w:rPr>
      </w:pPr>
    </w:p>
    <w:tbl>
      <w:tblPr>
        <w:tblW w:w="8777"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000" w:firstRow="0" w:lastRow="0" w:firstColumn="0" w:lastColumn="0" w:noHBand="0" w:noVBand="0"/>
      </w:tblPr>
      <w:tblGrid>
        <w:gridCol w:w="3614"/>
        <w:gridCol w:w="1721"/>
        <w:gridCol w:w="1721"/>
        <w:gridCol w:w="1721"/>
      </w:tblGrid>
      <w:tr w:rsidR="001425BF" w:rsidRPr="00C37BEC" w:rsidTr="001703B8">
        <w:tc>
          <w:tcPr>
            <w:tcW w:w="3614" w:type="dxa"/>
            <w:tcBorders>
              <w:top w:val="single" w:sz="6" w:space="0" w:color="000000"/>
              <w:bottom w:val="single" w:sz="6" w:space="0" w:color="000000"/>
            </w:tcBorders>
            <w:shd w:val="clear" w:color="auto" w:fill="E6E6E6"/>
            <w:vAlign w:val="center"/>
          </w:tcPr>
          <w:p w:rsidR="001425BF" w:rsidRPr="001703B8" w:rsidRDefault="001425BF" w:rsidP="001703B8">
            <w:pPr>
              <w:spacing w:before="120" w:after="60"/>
              <w:ind w:right="170"/>
              <w:jc w:val="center"/>
              <w:rPr>
                <w:rFonts w:ascii="Verdana" w:eastAsia="Verdana" w:hAnsi="Verdana" w:cs="Verdana"/>
                <w:b/>
                <w:sz w:val="22"/>
                <w:szCs w:val="22"/>
              </w:rPr>
            </w:pPr>
            <w:r w:rsidRPr="001703B8">
              <w:rPr>
                <w:rFonts w:ascii="Verdana" w:eastAsia="Verdana" w:hAnsi="Verdana" w:cs="Verdana"/>
                <w:b/>
                <w:sz w:val="22"/>
                <w:szCs w:val="22"/>
              </w:rPr>
              <w:t>ACCIONES</w:t>
            </w:r>
          </w:p>
        </w:tc>
        <w:tc>
          <w:tcPr>
            <w:tcW w:w="1721" w:type="dxa"/>
            <w:tcBorders>
              <w:top w:val="single" w:sz="6" w:space="0" w:color="000000"/>
              <w:bottom w:val="single" w:sz="6" w:space="0" w:color="000000"/>
            </w:tcBorders>
            <w:shd w:val="clear" w:color="auto" w:fill="E6E6E6"/>
            <w:vAlign w:val="center"/>
          </w:tcPr>
          <w:p w:rsidR="001425BF" w:rsidRPr="001703B8" w:rsidRDefault="001425BF" w:rsidP="001703B8">
            <w:pPr>
              <w:spacing w:before="120" w:after="60"/>
              <w:jc w:val="center"/>
              <w:rPr>
                <w:rFonts w:ascii="Verdana" w:eastAsia="Verdana" w:hAnsi="Verdana" w:cs="Verdana"/>
                <w:b/>
                <w:sz w:val="22"/>
                <w:szCs w:val="22"/>
              </w:rPr>
            </w:pPr>
            <w:r w:rsidRPr="001703B8">
              <w:rPr>
                <w:rFonts w:ascii="Verdana" w:eastAsia="Verdana" w:hAnsi="Verdana" w:cs="Verdana"/>
                <w:b/>
                <w:sz w:val="22"/>
                <w:szCs w:val="22"/>
              </w:rPr>
              <w:t>Equipo HUESCA</w:t>
            </w:r>
          </w:p>
        </w:tc>
        <w:tc>
          <w:tcPr>
            <w:tcW w:w="1721" w:type="dxa"/>
            <w:tcBorders>
              <w:top w:val="single" w:sz="6" w:space="0" w:color="000000"/>
              <w:bottom w:val="single" w:sz="6" w:space="0" w:color="000000"/>
            </w:tcBorders>
            <w:shd w:val="clear" w:color="auto" w:fill="E6E6E6"/>
            <w:vAlign w:val="center"/>
          </w:tcPr>
          <w:p w:rsidR="001425BF" w:rsidRPr="001703B8" w:rsidRDefault="001425BF" w:rsidP="001703B8">
            <w:pPr>
              <w:spacing w:before="120" w:after="60"/>
              <w:jc w:val="center"/>
              <w:rPr>
                <w:rFonts w:ascii="Verdana" w:eastAsia="Verdana" w:hAnsi="Verdana" w:cs="Verdana"/>
                <w:b/>
                <w:sz w:val="22"/>
                <w:szCs w:val="22"/>
              </w:rPr>
            </w:pPr>
            <w:r w:rsidRPr="001703B8">
              <w:rPr>
                <w:rFonts w:ascii="Verdana" w:eastAsia="Verdana" w:hAnsi="Verdana" w:cs="Verdana"/>
                <w:b/>
                <w:sz w:val="22"/>
                <w:szCs w:val="22"/>
              </w:rPr>
              <w:t>Equipo TERUEL</w:t>
            </w:r>
          </w:p>
        </w:tc>
        <w:tc>
          <w:tcPr>
            <w:tcW w:w="1721" w:type="dxa"/>
            <w:tcBorders>
              <w:top w:val="single" w:sz="6" w:space="0" w:color="000000"/>
              <w:bottom w:val="single" w:sz="6" w:space="0" w:color="000000"/>
            </w:tcBorders>
            <w:shd w:val="clear" w:color="auto" w:fill="E6E6E6"/>
            <w:vAlign w:val="center"/>
          </w:tcPr>
          <w:p w:rsidR="001425BF" w:rsidRPr="001703B8" w:rsidRDefault="001425BF" w:rsidP="001703B8">
            <w:pPr>
              <w:spacing w:before="120" w:after="60"/>
              <w:jc w:val="center"/>
              <w:rPr>
                <w:rFonts w:ascii="Verdana" w:eastAsia="Verdana" w:hAnsi="Verdana" w:cs="Verdana"/>
                <w:b/>
                <w:sz w:val="22"/>
                <w:szCs w:val="22"/>
              </w:rPr>
            </w:pPr>
            <w:r w:rsidRPr="001703B8">
              <w:rPr>
                <w:rFonts w:ascii="Verdana" w:eastAsia="Verdana" w:hAnsi="Verdana" w:cs="Verdana"/>
                <w:b/>
                <w:sz w:val="22"/>
                <w:szCs w:val="22"/>
              </w:rPr>
              <w:t>Equipo ZARAGOZA</w:t>
            </w:r>
          </w:p>
        </w:tc>
      </w:tr>
      <w:tr w:rsidR="001425BF" w:rsidRPr="00C37BEC" w:rsidTr="001703B8">
        <w:tc>
          <w:tcPr>
            <w:tcW w:w="3614" w:type="dxa"/>
            <w:tcBorders>
              <w:top w:val="single" w:sz="6" w:space="0" w:color="000000"/>
              <w:bottom w:val="single" w:sz="6" w:space="0" w:color="000000"/>
            </w:tcBorders>
            <w:shd w:val="clear" w:color="auto" w:fill="auto"/>
            <w:vAlign w:val="center"/>
          </w:tcPr>
          <w:p w:rsidR="001425BF" w:rsidRPr="001703B8" w:rsidRDefault="001425BF" w:rsidP="001703B8">
            <w:pPr>
              <w:spacing w:before="120" w:after="60"/>
              <w:jc w:val="center"/>
              <w:rPr>
                <w:rFonts w:ascii="Verdana" w:eastAsia="Verdana" w:hAnsi="Verdana" w:cs="Verdana"/>
                <w:sz w:val="22"/>
                <w:szCs w:val="22"/>
              </w:rPr>
            </w:pPr>
            <w:r w:rsidRPr="001703B8">
              <w:rPr>
                <w:rFonts w:ascii="Verdana" w:eastAsia="Verdana" w:hAnsi="Verdana" w:cs="Verdana"/>
                <w:sz w:val="22"/>
                <w:szCs w:val="22"/>
              </w:rPr>
              <w:t>Personal 2023</w:t>
            </w:r>
          </w:p>
        </w:tc>
        <w:tc>
          <w:tcPr>
            <w:tcW w:w="1721" w:type="dxa"/>
            <w:tcBorders>
              <w:top w:val="single" w:sz="6" w:space="0" w:color="000000"/>
              <w:bottom w:val="single" w:sz="6" w:space="0" w:color="000000"/>
            </w:tcBorders>
            <w:vAlign w:val="center"/>
          </w:tcPr>
          <w:p w:rsidR="001425BF" w:rsidRPr="001703B8" w:rsidRDefault="001425BF" w:rsidP="001703B8">
            <w:pPr>
              <w:jc w:val="center"/>
              <w:rPr>
                <w:rFonts w:ascii="Verdana" w:eastAsia="Verdana" w:hAnsi="Verdana" w:cs="Verdana"/>
                <w:sz w:val="22"/>
                <w:szCs w:val="22"/>
              </w:rPr>
            </w:pPr>
            <w:r w:rsidRPr="001703B8">
              <w:rPr>
                <w:rFonts w:ascii="Verdana" w:eastAsia="Verdana" w:hAnsi="Verdana" w:cs="Verdana"/>
                <w:sz w:val="18"/>
                <w:szCs w:val="18"/>
              </w:rPr>
              <w:t>6</w:t>
            </w:r>
          </w:p>
        </w:tc>
        <w:tc>
          <w:tcPr>
            <w:tcW w:w="1721" w:type="dxa"/>
            <w:tcBorders>
              <w:top w:val="single" w:sz="6" w:space="0" w:color="000000"/>
              <w:bottom w:val="single" w:sz="6" w:space="0" w:color="000000"/>
            </w:tcBorders>
            <w:vAlign w:val="center"/>
          </w:tcPr>
          <w:p w:rsidR="001425BF" w:rsidRPr="001703B8" w:rsidRDefault="001425BF" w:rsidP="001703B8">
            <w:pPr>
              <w:jc w:val="center"/>
              <w:rPr>
                <w:rFonts w:ascii="Verdana" w:eastAsia="Verdana" w:hAnsi="Verdana" w:cs="Verdana"/>
                <w:sz w:val="22"/>
                <w:szCs w:val="22"/>
              </w:rPr>
            </w:pPr>
            <w:r w:rsidRPr="001703B8">
              <w:rPr>
                <w:rFonts w:ascii="Verdana" w:eastAsia="Verdana" w:hAnsi="Verdana" w:cs="Verdana"/>
                <w:sz w:val="18"/>
                <w:szCs w:val="18"/>
              </w:rPr>
              <w:t>6</w:t>
            </w:r>
          </w:p>
        </w:tc>
        <w:tc>
          <w:tcPr>
            <w:tcW w:w="1721" w:type="dxa"/>
            <w:tcBorders>
              <w:top w:val="single" w:sz="6" w:space="0" w:color="000000"/>
              <w:bottom w:val="single" w:sz="6" w:space="0" w:color="000000"/>
            </w:tcBorders>
            <w:shd w:val="clear" w:color="auto" w:fill="auto"/>
            <w:vAlign w:val="center"/>
          </w:tcPr>
          <w:p w:rsidR="001425BF" w:rsidRPr="001703B8" w:rsidRDefault="001425BF" w:rsidP="001703B8">
            <w:pPr>
              <w:jc w:val="center"/>
              <w:rPr>
                <w:rFonts w:ascii="Verdana" w:eastAsia="Verdana" w:hAnsi="Verdana" w:cs="Verdana"/>
                <w:sz w:val="18"/>
                <w:szCs w:val="18"/>
              </w:rPr>
            </w:pPr>
            <w:r w:rsidRPr="001703B8">
              <w:rPr>
                <w:rFonts w:ascii="Verdana" w:eastAsia="Verdana" w:hAnsi="Verdana" w:cs="Verdana"/>
                <w:sz w:val="18"/>
                <w:szCs w:val="18"/>
              </w:rPr>
              <w:t>6</w:t>
            </w:r>
          </w:p>
        </w:tc>
      </w:tr>
    </w:tbl>
    <w:p w:rsidR="001425BF" w:rsidRDefault="001425BF" w:rsidP="001425BF">
      <w:pPr>
        <w:pBdr>
          <w:top w:val="nil"/>
          <w:left w:val="nil"/>
          <w:bottom w:val="nil"/>
          <w:right w:val="nil"/>
          <w:between w:val="nil"/>
        </w:pBdr>
        <w:spacing w:before="120" w:after="120"/>
        <w:ind w:firstLine="709"/>
        <w:jc w:val="both"/>
        <w:rPr>
          <w:rFonts w:ascii="Verdana" w:eastAsia="Verdana" w:hAnsi="Verdana" w:cs="Verdana"/>
          <w:b/>
          <w:color w:val="5B9BD5" w:themeColor="accent1"/>
          <w:sz w:val="22"/>
          <w:szCs w:val="22"/>
        </w:rPr>
      </w:pPr>
    </w:p>
    <w:p w:rsidR="001425BF" w:rsidRPr="003A1AFB" w:rsidRDefault="001425BF" w:rsidP="001425BF">
      <w:pPr>
        <w:pBdr>
          <w:top w:val="nil"/>
          <w:left w:val="nil"/>
          <w:bottom w:val="nil"/>
          <w:right w:val="nil"/>
          <w:between w:val="nil"/>
        </w:pBdr>
        <w:spacing w:before="120" w:after="120"/>
        <w:ind w:firstLine="709"/>
        <w:jc w:val="both"/>
        <w:rPr>
          <w:rFonts w:ascii="Verdana" w:eastAsia="Verdana" w:hAnsi="Verdana" w:cs="Verdana"/>
          <w:sz w:val="22"/>
          <w:szCs w:val="22"/>
        </w:rPr>
      </w:pPr>
      <w:r w:rsidRPr="003A1AFB">
        <w:rPr>
          <w:rFonts w:ascii="Verdana" w:eastAsia="Verdana" w:hAnsi="Verdana" w:cs="Verdana"/>
          <w:sz w:val="22"/>
          <w:szCs w:val="22"/>
        </w:rPr>
        <w:t xml:space="preserve">Para la atención de los distintos Ejes de actuación, se contará además con la participación de profesionales técnicos externos, de la rama de ingeniería industrial, economistas, tecnologías u otros, cuando el desarrollo de los servicios </w:t>
      </w:r>
      <w:r>
        <w:rPr>
          <w:rFonts w:ascii="Verdana" w:eastAsia="Verdana" w:hAnsi="Verdana" w:cs="Verdana"/>
          <w:sz w:val="22"/>
          <w:szCs w:val="22"/>
        </w:rPr>
        <w:t>ARIES</w:t>
      </w:r>
      <w:r w:rsidRPr="003A1AFB">
        <w:rPr>
          <w:rFonts w:ascii="Verdana" w:eastAsia="Verdana" w:hAnsi="Verdana" w:cs="Verdana"/>
          <w:sz w:val="22"/>
          <w:szCs w:val="22"/>
        </w:rPr>
        <w:t xml:space="preserve"> así lo requiera.</w:t>
      </w:r>
    </w:p>
    <w:p w:rsidR="001425BF" w:rsidRDefault="001425BF" w:rsidP="001425BF">
      <w:pPr>
        <w:pBdr>
          <w:top w:val="nil"/>
          <w:left w:val="nil"/>
          <w:bottom w:val="nil"/>
          <w:right w:val="nil"/>
          <w:between w:val="nil"/>
        </w:pBdr>
        <w:spacing w:before="120"/>
        <w:jc w:val="both"/>
        <w:rPr>
          <w:rFonts w:ascii="Verdana" w:eastAsia="Verdana" w:hAnsi="Verdana" w:cs="Verdana"/>
          <w:b/>
          <w:color w:val="000000"/>
          <w:sz w:val="22"/>
          <w:szCs w:val="22"/>
        </w:rPr>
      </w:pPr>
    </w:p>
    <w:p w:rsidR="001425BF" w:rsidRDefault="001425BF" w:rsidP="001425BF">
      <w:pPr>
        <w:pBdr>
          <w:top w:val="nil"/>
          <w:left w:val="nil"/>
          <w:bottom w:val="nil"/>
          <w:right w:val="nil"/>
          <w:between w:val="nil"/>
        </w:pBdr>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t xml:space="preserve">QUINTA. - Compromisos y obligaciones </w:t>
      </w:r>
    </w:p>
    <w:p w:rsidR="001425BF" w:rsidRDefault="001425BF" w:rsidP="001425BF">
      <w:pPr>
        <w:spacing w:before="120"/>
        <w:ind w:firstLine="539"/>
        <w:jc w:val="both"/>
        <w:rPr>
          <w:rFonts w:ascii="Verdana" w:eastAsia="Verdana" w:hAnsi="Verdana" w:cs="Verdana"/>
          <w:color w:val="000000"/>
          <w:sz w:val="22"/>
          <w:szCs w:val="22"/>
        </w:rPr>
      </w:pPr>
      <w:r>
        <w:rPr>
          <w:rFonts w:ascii="Verdana" w:eastAsia="Verdana" w:hAnsi="Verdana" w:cs="Verdana"/>
          <w:color w:val="000000"/>
          <w:sz w:val="22"/>
          <w:szCs w:val="22"/>
        </w:rPr>
        <w:t>1- Para la obtención de las subvenciones, las Cámaras deberán cumplir los requisitos para obtener la condición de beneficiarios exigidos en el artículo 13 de la Ley 38/2003, de 17 de noviembre General de Subvenciones, en el artículo 9 de la de 25 de marzo, de Subvenciones de Aragón y demás normativa aplicable en materia de subvenciones, y en virtud de lo dispuesto en la Ley de Presupuestos de la Comunidad Autónoma de Aragón, autorizan al órgano gestor para recabar los certificados a emitir, tanto por la Agencia Estatal Tributaria y por la Seguridad Social, como por los órganos de la Administración tributaria de la Comunidad Autónoma de Aragón.</w:t>
      </w:r>
    </w:p>
    <w:p w:rsidR="001425BF" w:rsidRDefault="001425BF" w:rsidP="001425BF">
      <w:pPr>
        <w:spacing w:before="120"/>
        <w:ind w:firstLine="539"/>
        <w:jc w:val="both"/>
        <w:rPr>
          <w:rFonts w:ascii="Verdana" w:eastAsia="Verdana" w:hAnsi="Verdana" w:cs="Verdana"/>
          <w:color w:val="000000"/>
          <w:sz w:val="22"/>
          <w:szCs w:val="22"/>
        </w:rPr>
      </w:pPr>
    </w:p>
    <w:p w:rsidR="001425BF" w:rsidRDefault="001425BF" w:rsidP="001425BF">
      <w:pPr>
        <w:spacing w:before="120"/>
        <w:ind w:firstLine="567"/>
        <w:jc w:val="both"/>
        <w:rPr>
          <w:rFonts w:ascii="Verdana" w:eastAsia="Verdana" w:hAnsi="Verdana" w:cs="Verdana"/>
          <w:color w:val="000000"/>
          <w:sz w:val="22"/>
          <w:szCs w:val="22"/>
        </w:rPr>
      </w:pPr>
      <w:r>
        <w:rPr>
          <w:rFonts w:ascii="Verdana" w:eastAsia="Verdana" w:hAnsi="Verdana" w:cs="Verdana"/>
          <w:color w:val="000000"/>
          <w:sz w:val="22"/>
          <w:szCs w:val="22"/>
        </w:rPr>
        <w:t>2- Con la firma de este convenio, las Cámaras asumirán las obligaciones que se detallan seguidamente, sin perjuicio de las establecidas en la normativa aplicable en materia de subvenciones:</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Cumplir la finalidad para la que se concede la ayuda y destinar la cuantía aportada por la Administración de la Comunidad Autónoma de Aragón a los fines propios de cada una de las actuaciones comprendidas en este convenio.</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Comunicar a la Dirección General de Industria y PYMES, por escrito o de forma fehaciente, la obtención de cualquier tipo de subvención o aportación económica de otros organismos o instituciones públicas o privadas para la misma finalidad, inmediatamente si ya estuviesen reconocidas a la fecha de la firma de este convenio, o en el plazo máximo de diez días desde la constancia fehaciente de su concesión. Asimismo, deberán comunicar cualquier circunstancia que provoque una modificación en los términos de la actuación subvencionada, en el plazo de un mes desde que se produjo la modificación.</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Acreditar el efectivo cumplimiento de los requisitos y la realización de la actividad en todas las subvenciones que le hayan sido concedidas con anterioridad para un mismo destino y finalidad en ejercicios anteriores por alguno de los sujetos comprendidos en los aparta</w:t>
      </w:r>
      <w:r w:rsidR="00A203C2">
        <w:rPr>
          <w:rFonts w:ascii="Verdana" w:eastAsia="Verdana" w:hAnsi="Verdana" w:cs="Verdana"/>
          <w:color w:val="000000"/>
          <w:sz w:val="22"/>
          <w:szCs w:val="22"/>
        </w:rPr>
        <w:t>dos 1 y 2 del artículo 2 de la L</w:t>
      </w:r>
      <w:r>
        <w:rPr>
          <w:rFonts w:ascii="Verdana" w:eastAsia="Verdana" w:hAnsi="Verdana" w:cs="Verdana"/>
          <w:color w:val="000000"/>
          <w:sz w:val="22"/>
          <w:szCs w:val="22"/>
        </w:rPr>
        <w:t>ey 5/2015, de Subvenciones de Aragón, aunque se trate de diferentes fases o aspectos de un mismo proyecto.</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Justificar la realización y el pago de las actuaciones en los términos expuestos en el convenio, así como el cumplimiento del resto de los compromisos asumidos.</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 xml:space="preserve"> 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contable o de cualquier tipo sea solicitada a tal efecto.</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Conservar los documentos justificativos de la aplicación de los fondos recibidos, incluidos los documentos electrónicos, en tanto puedan ser objeto de las actuaciones de comprobación y control.</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Aplicar criterios de economía y racionalidad en el gasto siguiendo las sugerencias que al respecto pueda realizar el Departamento de Industria, Competitividad y Desarrollo Empresarial.</w:t>
      </w:r>
    </w:p>
    <w:p w:rsidR="001425BF" w:rsidRDefault="001425BF" w:rsidP="001425BF">
      <w:pPr>
        <w:numPr>
          <w:ilvl w:val="1"/>
          <w:numId w:val="1"/>
        </w:num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Hacer constar en cualquier acto o medio de difusión que su financiación se realiza con la colaboración del Departamento de Industria, Competitividad y Desarrollo Empresarial. A estos efectos,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utilizando los modelos debidamente autorizados por la Comisión de Comunicación Institucional del Gobierno de Aragón.</w:t>
      </w:r>
    </w:p>
    <w:p w:rsidR="001425BF" w:rsidRDefault="001425BF" w:rsidP="001425BF">
      <w:pPr>
        <w:spacing w:before="120"/>
        <w:ind w:left="1620"/>
        <w:jc w:val="both"/>
        <w:rPr>
          <w:rFonts w:ascii="Verdana" w:eastAsia="Verdana" w:hAnsi="Verdana" w:cs="Verdana"/>
          <w:color w:val="000000"/>
          <w:sz w:val="22"/>
          <w:szCs w:val="22"/>
        </w:rPr>
      </w:pPr>
      <w:r>
        <w:rPr>
          <w:rFonts w:ascii="Verdana" w:eastAsia="Verdana" w:hAnsi="Verdana" w:cs="Verdana"/>
          <w:color w:val="000000"/>
          <w:sz w:val="22"/>
          <w:szCs w:val="22"/>
        </w:rPr>
        <w:t xml:space="preserve">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w:t>
      </w:r>
      <w:r>
        <w:rPr>
          <w:rFonts w:ascii="Verdana" w:eastAsia="Verdana" w:hAnsi="Verdana" w:cs="Verdana"/>
          <w:color w:val="000000"/>
          <w:sz w:val="22"/>
          <w:szCs w:val="22"/>
        </w:rPr>
        <w:lastRenderedPageBreak/>
        <w:t>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1425BF" w:rsidRDefault="001425BF" w:rsidP="001425BF">
      <w:pPr>
        <w:numPr>
          <w:ilvl w:val="1"/>
          <w:numId w:val="1"/>
        </w:numPr>
        <w:spacing w:before="120"/>
        <w:ind w:left="1622" w:hanging="900"/>
        <w:jc w:val="both"/>
        <w:rPr>
          <w:rFonts w:ascii="Verdana" w:eastAsia="Verdana" w:hAnsi="Verdana" w:cs="Verdana"/>
          <w:color w:val="000000"/>
          <w:sz w:val="22"/>
          <w:szCs w:val="22"/>
        </w:rPr>
      </w:pPr>
      <w:r>
        <w:rPr>
          <w:rFonts w:ascii="Verdana" w:eastAsia="Verdana" w:hAnsi="Verdana" w:cs="Verdana"/>
          <w:color w:val="000000"/>
          <w:sz w:val="22"/>
          <w:szCs w:val="22"/>
        </w:rPr>
        <w:t>Reintegrar el importe de la subvención percibida en los casos en que proceda, conforme a la normativa aplicable.</w:t>
      </w:r>
    </w:p>
    <w:p w:rsidR="001425BF" w:rsidRDefault="001425BF" w:rsidP="003016E4">
      <w:pPr>
        <w:pBdr>
          <w:top w:val="nil"/>
          <w:left w:val="nil"/>
          <w:bottom w:val="nil"/>
          <w:right w:val="nil"/>
          <w:between w:val="nil"/>
        </w:pBdr>
        <w:spacing w:before="120"/>
        <w:ind w:left="1622" w:hanging="902"/>
        <w:jc w:val="both"/>
        <w:rPr>
          <w:rFonts w:ascii="Verdana" w:eastAsia="Verdana" w:hAnsi="Verdana" w:cs="Verdana"/>
          <w:color w:val="000000"/>
          <w:sz w:val="22"/>
          <w:szCs w:val="22"/>
        </w:rPr>
      </w:pPr>
      <w:r>
        <w:rPr>
          <w:rFonts w:ascii="Verdana" w:eastAsia="Verdana" w:hAnsi="Verdana" w:cs="Verdana"/>
          <w:color w:val="000000"/>
          <w:sz w:val="22"/>
          <w:szCs w:val="22"/>
        </w:rPr>
        <w:t>j)</w:t>
      </w:r>
      <w:r>
        <w:rPr>
          <w:rFonts w:ascii="Verdana" w:eastAsia="Verdana" w:hAnsi="Verdana" w:cs="Verdana"/>
          <w:color w:val="000000"/>
          <w:sz w:val="22"/>
          <w:szCs w:val="22"/>
        </w:rPr>
        <w:tab/>
        <w:t>Suministrar a la Dirección General de Industria y PYMES, toda la información necesaria en relación a la concesión de la subvención para que esta pueda cumplir a su vez con sus obligaciones de transparencia, conforme a lo exigido en la legislación sobre transparencia y subvenciones.</w:t>
      </w:r>
    </w:p>
    <w:p w:rsidR="001425BF" w:rsidRDefault="001425BF" w:rsidP="003016E4">
      <w:pPr>
        <w:pBdr>
          <w:top w:val="nil"/>
          <w:left w:val="nil"/>
          <w:bottom w:val="nil"/>
          <w:right w:val="nil"/>
          <w:between w:val="nil"/>
        </w:pBdr>
        <w:spacing w:before="120"/>
        <w:ind w:left="1622" w:hanging="902"/>
        <w:jc w:val="both"/>
        <w:rPr>
          <w:rFonts w:ascii="Verdana" w:eastAsia="Verdana" w:hAnsi="Verdana" w:cs="Verdana"/>
          <w:color w:val="000000"/>
          <w:sz w:val="22"/>
          <w:szCs w:val="22"/>
        </w:rPr>
      </w:pPr>
      <w:r>
        <w:rPr>
          <w:rFonts w:ascii="Verdana" w:eastAsia="Verdana" w:hAnsi="Verdana" w:cs="Verdana"/>
          <w:color w:val="000000"/>
          <w:sz w:val="22"/>
          <w:szCs w:val="22"/>
        </w:rPr>
        <w:t>k)</w:t>
      </w:r>
      <w:r>
        <w:rPr>
          <w:rFonts w:ascii="Verdana" w:eastAsia="Verdana" w:hAnsi="Verdana" w:cs="Verdana"/>
          <w:color w:val="000000"/>
          <w:sz w:val="22"/>
          <w:szCs w:val="22"/>
        </w:rPr>
        <w:tab/>
        <w:t xml:space="preserve">Comunicar a la Dirección General de Industria y PYMES los medios publicitarios que van a adoptar para hacer visible ante el público el origen de la financiación de la ayuda. </w:t>
      </w:r>
    </w:p>
    <w:p w:rsidR="001425BF" w:rsidRDefault="001425BF" w:rsidP="001425BF">
      <w:pPr>
        <w:pBdr>
          <w:top w:val="nil"/>
          <w:left w:val="nil"/>
          <w:bottom w:val="nil"/>
          <w:right w:val="nil"/>
          <w:between w:val="nil"/>
        </w:pBdr>
        <w:spacing w:before="120"/>
        <w:ind w:left="1622" w:hanging="912"/>
        <w:jc w:val="both"/>
        <w:rPr>
          <w:rFonts w:ascii="Verdana" w:eastAsia="Verdana" w:hAnsi="Verdana" w:cs="Verdana"/>
          <w:color w:val="000000"/>
          <w:sz w:val="22"/>
          <w:szCs w:val="22"/>
        </w:rPr>
      </w:pPr>
      <w:r>
        <w:rPr>
          <w:rFonts w:ascii="Verdana" w:eastAsia="Verdana" w:hAnsi="Verdana" w:cs="Verdana"/>
          <w:color w:val="000000"/>
          <w:sz w:val="22"/>
          <w:szCs w:val="22"/>
        </w:rPr>
        <w:t>l)</w:t>
      </w:r>
      <w:r>
        <w:rPr>
          <w:rFonts w:ascii="Verdana" w:eastAsia="Verdana" w:hAnsi="Verdana" w:cs="Verdana"/>
          <w:color w:val="000000"/>
          <w:sz w:val="22"/>
          <w:szCs w:val="22"/>
        </w:rPr>
        <w:tab/>
        <w:t xml:space="preserve">Dar publicidad de las subvenciones percibidas con indicación del concedente, su importe, objetivo o finalidad plazo y porcentaje, compatibilidad con otras ayudas o subvenciones y si se han obtenido otras ayudas para ese mismo objetivo o finalidad, de acuerdo con lo dispuesto en el artículo 18.2, de la Ley 8/2015, de 25 de marzo, de Transparencia de la Actividad Pública y Participación Ciudadana de Aragón. </w:t>
      </w:r>
    </w:p>
    <w:p w:rsidR="001425BF" w:rsidRDefault="001425BF" w:rsidP="001425BF">
      <w:pPr>
        <w:pBdr>
          <w:top w:val="nil"/>
          <w:left w:val="nil"/>
          <w:bottom w:val="nil"/>
          <w:right w:val="nil"/>
          <w:between w:val="nil"/>
        </w:pBdr>
        <w:spacing w:before="120"/>
        <w:ind w:left="1622" w:hanging="913"/>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t>SEXTA. - Gastos subvencionables.</w:t>
      </w:r>
    </w:p>
    <w:p w:rsidR="001425BF" w:rsidRDefault="001425BF" w:rsidP="001425BF">
      <w:pPr>
        <w:pBdr>
          <w:top w:val="nil"/>
          <w:left w:val="nil"/>
          <w:bottom w:val="nil"/>
          <w:right w:val="nil"/>
          <w:between w:val="nil"/>
        </w:pBdr>
        <w:spacing w:before="120"/>
        <w:ind w:firstLine="567"/>
        <w:jc w:val="both"/>
        <w:rPr>
          <w:rFonts w:ascii="Verdana" w:eastAsia="Verdana" w:hAnsi="Verdana" w:cs="Verdana"/>
          <w:color w:val="000000"/>
          <w:sz w:val="22"/>
          <w:szCs w:val="22"/>
        </w:rPr>
      </w:pPr>
      <w:r>
        <w:rPr>
          <w:rFonts w:ascii="Verdana" w:eastAsia="Verdana" w:hAnsi="Verdana" w:cs="Verdana"/>
          <w:color w:val="000000"/>
          <w:sz w:val="22"/>
          <w:szCs w:val="22"/>
        </w:rPr>
        <w:t>Tendrán el carácter de gastos subvencionables aquellos que se deriven de la ejecución de las actuaciones previstas en el Plan Cameral de Competitividad de Aragón y determinadas en este Convenio, y que de manera indubitada respondan a la naturaleza de la actividad subvencionable y se incluyan en los siguientes conceptos:</w:t>
      </w:r>
    </w:p>
    <w:p w:rsidR="001425BF" w:rsidRDefault="001425BF" w:rsidP="001425BF">
      <w:pPr>
        <w:pBdr>
          <w:top w:val="nil"/>
          <w:left w:val="nil"/>
          <w:bottom w:val="nil"/>
          <w:right w:val="nil"/>
          <w:between w:val="nil"/>
        </w:pBdr>
        <w:spacing w:before="120" w:after="120"/>
        <w:ind w:left="283" w:firstLine="567"/>
        <w:jc w:val="both"/>
        <w:rPr>
          <w:rFonts w:ascii="Verdana" w:eastAsia="Verdana" w:hAnsi="Verdana" w:cs="Verdana"/>
          <w:color w:val="000000"/>
          <w:sz w:val="22"/>
          <w:szCs w:val="22"/>
        </w:rPr>
      </w:pPr>
      <w:r>
        <w:rPr>
          <w:rFonts w:ascii="Verdana" w:eastAsia="Verdana" w:hAnsi="Verdana" w:cs="Verdana"/>
          <w:color w:val="000000"/>
          <w:sz w:val="22"/>
          <w:szCs w:val="22"/>
        </w:rPr>
        <w:t xml:space="preserve">a) Los gastos de personal o contratación de empresas especializadas. En cualquier caso, las retribuciones del personal directivo únicamente se </w:t>
      </w:r>
      <w:r>
        <w:rPr>
          <w:rFonts w:ascii="Verdana" w:eastAsia="Verdana" w:hAnsi="Verdana" w:cs="Verdana"/>
          <w:sz w:val="22"/>
          <w:szCs w:val="22"/>
        </w:rPr>
        <w:t>subvencionarán</w:t>
      </w:r>
      <w:r>
        <w:rPr>
          <w:rFonts w:ascii="Verdana" w:eastAsia="Verdana" w:hAnsi="Verdana" w:cs="Verdana"/>
          <w:color w:val="000000"/>
          <w:sz w:val="22"/>
          <w:szCs w:val="22"/>
        </w:rPr>
        <w:t xml:space="preserve"> hasta el límite de las retribuciones de un Director General de la Administración de la Comunidad Autónoma de Aragón, conforme a lo previsto en el Plan de Racionalización del Gasto Corriente del Gobierno de Aragón.</w:t>
      </w:r>
    </w:p>
    <w:p w:rsidR="001425BF" w:rsidRDefault="001425BF" w:rsidP="001425BF">
      <w:pPr>
        <w:pBdr>
          <w:top w:val="nil"/>
          <w:left w:val="nil"/>
          <w:bottom w:val="nil"/>
          <w:right w:val="nil"/>
          <w:between w:val="nil"/>
        </w:pBdr>
        <w:spacing w:before="120" w:after="120"/>
        <w:ind w:left="283" w:firstLine="567"/>
        <w:jc w:val="both"/>
        <w:rPr>
          <w:rFonts w:ascii="Verdana" w:eastAsia="Verdana" w:hAnsi="Verdana" w:cs="Verdana"/>
          <w:color w:val="000000"/>
          <w:sz w:val="22"/>
          <w:szCs w:val="22"/>
        </w:rPr>
      </w:pPr>
      <w:r>
        <w:rPr>
          <w:rFonts w:ascii="Verdana" w:eastAsia="Verdana" w:hAnsi="Verdana" w:cs="Verdana"/>
          <w:color w:val="000000"/>
          <w:sz w:val="22"/>
          <w:szCs w:val="22"/>
        </w:rPr>
        <w:t>b) Las indemnizaciones por razó</w:t>
      </w:r>
      <w:r w:rsidR="006F2C6C">
        <w:rPr>
          <w:rFonts w:ascii="Verdana" w:eastAsia="Verdana" w:hAnsi="Verdana" w:cs="Verdana"/>
          <w:color w:val="000000"/>
          <w:sz w:val="22"/>
          <w:szCs w:val="22"/>
        </w:rPr>
        <w:t>n de servicio que sean necesaria</w:t>
      </w:r>
      <w:r>
        <w:rPr>
          <w:rFonts w:ascii="Verdana" w:eastAsia="Verdana" w:hAnsi="Verdana" w:cs="Verdana"/>
          <w:color w:val="000000"/>
          <w:sz w:val="22"/>
          <w:szCs w:val="22"/>
        </w:rPr>
        <w:t>s para el desarrollo de la actividad objeto de subvención siemp</w:t>
      </w:r>
      <w:r w:rsidR="006F2C6C">
        <w:rPr>
          <w:rFonts w:ascii="Verdana" w:eastAsia="Verdana" w:hAnsi="Verdana" w:cs="Verdana"/>
          <w:color w:val="000000"/>
          <w:sz w:val="22"/>
          <w:szCs w:val="22"/>
        </w:rPr>
        <w:t>re que no hayan sido contemplada</w:t>
      </w:r>
      <w:r>
        <w:rPr>
          <w:rFonts w:ascii="Verdana" w:eastAsia="Verdana" w:hAnsi="Verdana" w:cs="Verdana"/>
          <w:color w:val="000000"/>
          <w:sz w:val="22"/>
          <w:szCs w:val="22"/>
        </w:rPr>
        <w:t xml:space="preserve">s en los gastos generales referenciados en el apartado c). Los importes máximos que se podrán financiar, serán los mismos que los previstos en la normativa vigente para las indemnizaciones por razón de servicio al personal de la Administración de la Comunidad Autónoma de Aragón para el Grupo 2 (Real Decreto 462/2002, de 24 de mayo sobre indemnizaciones por razón del servicio), conforme a lo previsto en el Plan de Racionalización del Gasto Corriente del Gobierno de Aragón. </w:t>
      </w:r>
    </w:p>
    <w:p w:rsidR="001425BF" w:rsidRDefault="001425BF" w:rsidP="001425BF">
      <w:pPr>
        <w:pBdr>
          <w:top w:val="nil"/>
          <w:left w:val="nil"/>
          <w:bottom w:val="nil"/>
          <w:right w:val="nil"/>
          <w:between w:val="nil"/>
        </w:pBdr>
        <w:spacing w:before="120" w:after="120"/>
        <w:ind w:left="283" w:firstLine="567"/>
        <w:jc w:val="both"/>
        <w:rPr>
          <w:rFonts w:ascii="Verdana" w:eastAsia="Verdana" w:hAnsi="Verdana" w:cs="Verdana"/>
          <w:color w:val="000000"/>
          <w:sz w:val="22"/>
          <w:szCs w:val="22"/>
        </w:rPr>
      </w:pPr>
      <w:r>
        <w:rPr>
          <w:rFonts w:ascii="Verdana" w:eastAsia="Verdana" w:hAnsi="Verdana" w:cs="Verdana"/>
          <w:color w:val="000000"/>
          <w:sz w:val="22"/>
          <w:szCs w:val="22"/>
        </w:rPr>
        <w:t xml:space="preserve">c) </w:t>
      </w:r>
      <w:r w:rsidRPr="00AD7389">
        <w:rPr>
          <w:rFonts w:ascii="Verdana" w:eastAsia="Verdana" w:hAnsi="Verdana" w:cs="Verdana"/>
          <w:sz w:val="22"/>
          <w:szCs w:val="22"/>
        </w:rPr>
        <w:t>Hasta un 15% de los gastos de personal propio de las Cámaras, dedicado a la ejecución de las actividades del convenio</w:t>
      </w:r>
      <w:r>
        <w:rPr>
          <w:rFonts w:ascii="Verdana" w:eastAsia="Verdana" w:hAnsi="Verdana" w:cs="Verdana"/>
          <w:color w:val="000000"/>
          <w:sz w:val="22"/>
          <w:szCs w:val="22"/>
        </w:rPr>
        <w:t xml:space="preserve">, en concepto de gastos generales, que comprende los siguientes conceptos: operación y mantenimiento del local, </w:t>
      </w:r>
      <w:r>
        <w:rPr>
          <w:rFonts w:ascii="Verdana" w:eastAsia="Verdana" w:hAnsi="Verdana" w:cs="Verdana"/>
          <w:color w:val="000000"/>
          <w:sz w:val="22"/>
          <w:szCs w:val="22"/>
        </w:rPr>
        <w:lastRenderedPageBreak/>
        <w:t>materiales fungibles de oficina, relaciones públicas, publicaciones y suscripciones, viajes, otros servicios, cuotas de organismos, impuesto municipal de bienes inmuebles y gastos financieros de la cuenta de crédito para financiar las actividades propias de este convenio.</w:t>
      </w:r>
    </w:p>
    <w:p w:rsidR="001425BF" w:rsidRDefault="001425BF" w:rsidP="001425BF">
      <w:pPr>
        <w:pBdr>
          <w:top w:val="nil"/>
          <w:left w:val="nil"/>
          <w:bottom w:val="nil"/>
          <w:right w:val="nil"/>
          <w:between w:val="nil"/>
        </w:pBdr>
        <w:spacing w:before="120" w:after="120"/>
        <w:ind w:left="283" w:firstLine="567"/>
        <w:jc w:val="both"/>
        <w:rPr>
          <w:rFonts w:ascii="Verdana" w:eastAsia="Verdana" w:hAnsi="Verdana" w:cs="Verdana"/>
          <w:color w:val="000000"/>
          <w:sz w:val="22"/>
          <w:szCs w:val="22"/>
        </w:rPr>
      </w:pPr>
      <w:r>
        <w:rPr>
          <w:rFonts w:ascii="Verdana" w:eastAsia="Verdana" w:hAnsi="Verdana" w:cs="Verdana"/>
          <w:color w:val="000000"/>
          <w:sz w:val="22"/>
          <w:szCs w:val="22"/>
        </w:rPr>
        <w:t>d) Gastos corrientes directos imputables al programa ARIES que no hayan sido contemplados en los gastos generales referenciados en el apartado c): telefonía</w:t>
      </w:r>
      <w:r>
        <w:rPr>
          <w:rFonts w:ascii="Verdana" w:eastAsia="Verdana" w:hAnsi="Verdana" w:cs="Verdana"/>
          <w:i/>
          <w:color w:val="000000"/>
          <w:sz w:val="22"/>
          <w:szCs w:val="22"/>
        </w:rPr>
        <w:t>,</w:t>
      </w:r>
      <w:r>
        <w:rPr>
          <w:rFonts w:ascii="Verdana" w:eastAsia="Verdana" w:hAnsi="Verdana" w:cs="Verdana"/>
          <w:color w:val="000000"/>
          <w:sz w:val="22"/>
          <w:szCs w:val="22"/>
        </w:rPr>
        <w:t xml:space="preserve"> material de oficina, publicaciones, formación, asistencias técnicas, mantenimiento y armonización Base ARIES, correos y envíos, difusión o material informático fungible.</w:t>
      </w:r>
    </w:p>
    <w:p w:rsidR="001425BF" w:rsidRDefault="001425BF" w:rsidP="001425BF">
      <w:pPr>
        <w:pBdr>
          <w:top w:val="nil"/>
          <w:left w:val="nil"/>
          <w:bottom w:val="nil"/>
          <w:right w:val="nil"/>
          <w:between w:val="nil"/>
        </w:pBdr>
        <w:spacing w:before="120" w:after="120"/>
        <w:ind w:left="283" w:firstLine="567"/>
        <w:jc w:val="both"/>
        <w:rPr>
          <w:rFonts w:ascii="Verdana" w:eastAsia="Verdana" w:hAnsi="Verdana" w:cs="Verdana"/>
          <w:color w:val="000000"/>
          <w:sz w:val="22"/>
          <w:szCs w:val="22"/>
        </w:rPr>
      </w:pPr>
      <w:r>
        <w:rPr>
          <w:rFonts w:ascii="Verdana" w:eastAsia="Verdana" w:hAnsi="Verdana" w:cs="Verdana"/>
          <w:color w:val="000000"/>
          <w:sz w:val="22"/>
          <w:szCs w:val="22"/>
        </w:rPr>
        <w:t>e) Para la consideración del IVA como gasto subvencionable, la Cámara deberá aportar certificación de la Agencia Tributaria de exención de la declaración de IVA o bien comunicación de la Agencia Tributaria relativa a la regla de prorrata que se aplica en el momento de la justificación. Así mismo, la Cámara podrá solicitar que el porcentaje del IVA pagado que sea subvencionable sea inferior al establecido por la regla de prorrata. Una vez finalizado el ejercicio fiscal, la Cámara deberá comunicar la liquidación final sobre el IVA, de manera que, si se hubiera considerado como subvencionable un porcentaje de IVA superior al finalmente soportado, se procederá al reintegro de las cantidades indebidamente cobradas.</w:t>
      </w:r>
    </w:p>
    <w:p w:rsidR="001425BF" w:rsidRPr="00EC1388" w:rsidRDefault="001425BF" w:rsidP="001425BF">
      <w:pPr>
        <w:pBdr>
          <w:top w:val="nil"/>
          <w:left w:val="nil"/>
          <w:bottom w:val="nil"/>
          <w:right w:val="nil"/>
          <w:between w:val="nil"/>
        </w:pBdr>
        <w:spacing w:before="120" w:after="120"/>
        <w:jc w:val="both"/>
        <w:rPr>
          <w:rFonts w:ascii="Verdana" w:eastAsia="Verdana" w:hAnsi="Verdana" w:cs="Verdana"/>
          <w:sz w:val="22"/>
          <w:szCs w:val="22"/>
        </w:rPr>
      </w:pPr>
      <w:r>
        <w:rPr>
          <w:rFonts w:ascii="Verdana" w:eastAsia="Verdana" w:hAnsi="Verdana" w:cs="Verdana"/>
          <w:color w:val="000000"/>
          <w:sz w:val="22"/>
          <w:szCs w:val="22"/>
        </w:rPr>
        <w:t>En todo caso se tendrán en cuenta los límites dispuestos en el artículo 31 de la Ley 38/</w:t>
      </w:r>
      <w:r w:rsidRPr="00EC1388">
        <w:rPr>
          <w:rFonts w:ascii="Verdana" w:eastAsia="Verdana" w:hAnsi="Verdana" w:cs="Verdana"/>
          <w:sz w:val="22"/>
          <w:szCs w:val="22"/>
        </w:rPr>
        <w:t>2003 General de Subvenciones y en el artículo 34 de la Ley 5/2015, de 25 de marzo de Subvenciones de Aragón.</w:t>
      </w:r>
    </w:p>
    <w:p w:rsidR="001425BF" w:rsidRPr="00EC1388" w:rsidRDefault="001425BF" w:rsidP="001425BF">
      <w:pPr>
        <w:pBdr>
          <w:top w:val="nil"/>
          <w:left w:val="nil"/>
          <w:bottom w:val="nil"/>
          <w:right w:val="nil"/>
          <w:between w:val="nil"/>
        </w:pBdr>
        <w:spacing w:before="120" w:after="120"/>
        <w:jc w:val="both"/>
        <w:rPr>
          <w:rFonts w:ascii="Verdana" w:eastAsia="Verdana" w:hAnsi="Verdana" w:cs="Verdana"/>
          <w:sz w:val="22"/>
          <w:szCs w:val="22"/>
        </w:rPr>
      </w:pPr>
      <w:r w:rsidRPr="00EC1388">
        <w:rPr>
          <w:rFonts w:ascii="Verdana" w:eastAsia="Verdana" w:hAnsi="Verdana" w:cs="Verdana"/>
          <w:sz w:val="22"/>
          <w:szCs w:val="22"/>
        </w:rPr>
        <w:t xml:space="preserve">En relación a la subcontratación, de acuerdo al artículo 29 de la </w:t>
      </w:r>
      <w:r>
        <w:rPr>
          <w:rFonts w:ascii="Verdana" w:eastAsia="Verdana" w:hAnsi="Verdana" w:cs="Verdana"/>
          <w:sz w:val="22"/>
          <w:szCs w:val="22"/>
        </w:rPr>
        <w:t>L</w:t>
      </w:r>
      <w:r w:rsidRPr="00EC1388">
        <w:rPr>
          <w:rFonts w:ascii="Verdana" w:eastAsia="Verdana" w:hAnsi="Verdana" w:cs="Verdana"/>
          <w:sz w:val="22"/>
          <w:szCs w:val="22"/>
        </w:rPr>
        <w:t>e</w:t>
      </w:r>
      <w:r w:rsidR="0086216D">
        <w:rPr>
          <w:rFonts w:ascii="Verdana" w:eastAsia="Verdana" w:hAnsi="Verdana" w:cs="Verdana"/>
          <w:sz w:val="22"/>
          <w:szCs w:val="22"/>
        </w:rPr>
        <w:t>y 38/2003, de 17 de noviembre, General de S</w:t>
      </w:r>
      <w:r w:rsidRPr="00EC1388">
        <w:rPr>
          <w:rFonts w:ascii="Verdana" w:eastAsia="Verdana" w:hAnsi="Verdana" w:cs="Verdana"/>
          <w:sz w:val="22"/>
          <w:szCs w:val="22"/>
        </w:rPr>
        <w:t xml:space="preserve">ubvenciones, y el artículo 31 de </w:t>
      </w:r>
      <w:r>
        <w:rPr>
          <w:rFonts w:ascii="Verdana" w:eastAsia="Verdana" w:hAnsi="Verdana" w:cs="Verdana"/>
          <w:sz w:val="22"/>
          <w:szCs w:val="22"/>
        </w:rPr>
        <w:t>L</w:t>
      </w:r>
      <w:r w:rsidR="0086216D">
        <w:rPr>
          <w:rFonts w:ascii="Verdana" w:eastAsia="Verdana" w:hAnsi="Verdana" w:cs="Verdana"/>
          <w:sz w:val="22"/>
          <w:szCs w:val="22"/>
        </w:rPr>
        <w:t>ey 5/2015, de 25 de marzo, de S</w:t>
      </w:r>
      <w:r w:rsidRPr="00EC1388">
        <w:rPr>
          <w:rFonts w:ascii="Verdana" w:eastAsia="Verdana" w:hAnsi="Verdana" w:cs="Verdana"/>
          <w:sz w:val="22"/>
          <w:szCs w:val="22"/>
        </w:rPr>
        <w:t xml:space="preserve">ubvenciones de Aragón se mantendrá la previsión de que la proporción de costes externos sobre los costes totales será inferior al 50% del coste total de las acciones. </w:t>
      </w:r>
    </w:p>
    <w:p w:rsidR="001425BF" w:rsidRPr="00EC1388" w:rsidRDefault="001425BF" w:rsidP="001425BF">
      <w:pPr>
        <w:pBdr>
          <w:top w:val="nil"/>
          <w:left w:val="nil"/>
          <w:bottom w:val="nil"/>
          <w:right w:val="nil"/>
          <w:between w:val="nil"/>
        </w:pBdr>
        <w:spacing w:before="120" w:after="120"/>
        <w:jc w:val="both"/>
        <w:rPr>
          <w:rFonts w:ascii="Verdana" w:eastAsia="Verdana" w:hAnsi="Verdana" w:cs="Verdana"/>
          <w:sz w:val="22"/>
          <w:szCs w:val="22"/>
        </w:rPr>
      </w:pPr>
      <w:r w:rsidRPr="00EC1388">
        <w:rPr>
          <w:rFonts w:ascii="Verdana" w:eastAsia="Verdana" w:hAnsi="Verdana" w:cs="Verdana"/>
          <w:sz w:val="22"/>
          <w:szCs w:val="22"/>
        </w:rPr>
        <w:t>Así mismo, como señala la ley, cuando la actividad concertada con terceros sobrepase el 20 por 100 del importe de la subvención y dicho importe sea superior a 60.000 euros, la subcontratación estará sometida al cumplimiento de los siguientes requisitos:</w:t>
      </w:r>
    </w:p>
    <w:p w:rsidR="001425BF" w:rsidRPr="00EC1388" w:rsidRDefault="001425BF" w:rsidP="001425BF">
      <w:pPr>
        <w:pBdr>
          <w:top w:val="nil"/>
          <w:left w:val="nil"/>
          <w:bottom w:val="nil"/>
          <w:right w:val="nil"/>
          <w:between w:val="nil"/>
        </w:pBdr>
        <w:spacing w:before="120" w:after="120"/>
        <w:jc w:val="both"/>
        <w:rPr>
          <w:rFonts w:ascii="Verdana" w:eastAsia="Verdana" w:hAnsi="Verdana" w:cs="Verdana"/>
          <w:sz w:val="22"/>
          <w:szCs w:val="22"/>
        </w:rPr>
      </w:pPr>
      <w:r w:rsidRPr="00EC1388">
        <w:rPr>
          <w:rFonts w:ascii="Verdana" w:eastAsia="Verdana" w:hAnsi="Verdana" w:cs="Verdana"/>
          <w:sz w:val="22"/>
          <w:szCs w:val="22"/>
        </w:rPr>
        <w:t>a) Que el contrato se celebre por escrito.</w:t>
      </w:r>
    </w:p>
    <w:p w:rsidR="001425BF" w:rsidRDefault="001425BF" w:rsidP="001425BF">
      <w:pPr>
        <w:pBdr>
          <w:top w:val="nil"/>
          <w:left w:val="nil"/>
          <w:bottom w:val="nil"/>
          <w:right w:val="nil"/>
          <w:between w:val="nil"/>
        </w:pBdr>
        <w:spacing w:before="120" w:after="120"/>
        <w:jc w:val="both"/>
        <w:rPr>
          <w:rFonts w:ascii="Verdana" w:eastAsia="Verdana" w:hAnsi="Verdana" w:cs="Verdana"/>
          <w:sz w:val="22"/>
          <w:szCs w:val="22"/>
        </w:rPr>
      </w:pPr>
      <w:r w:rsidRPr="00EC1388">
        <w:rPr>
          <w:rFonts w:ascii="Verdana" w:eastAsia="Verdana" w:hAnsi="Verdana" w:cs="Verdana"/>
          <w:sz w:val="22"/>
          <w:szCs w:val="22"/>
        </w:rPr>
        <w:t>b) Que la celebración del mismo se autorice previamente por la entidad concedente de la subvención para lo cual el beneficiario solicitará dicha autorización por escrito al citado órgano con carácter previo a la celebración del contrato, no pudiendo celebrarse éste hasta que la misma fuera otorgada.</w:t>
      </w:r>
      <w:r w:rsidRPr="00EC1388">
        <w:rPr>
          <w:rFonts w:ascii="Verdana" w:eastAsia="Verdana" w:hAnsi="Verdana" w:cs="Verdana"/>
          <w:sz w:val="22"/>
          <w:szCs w:val="22"/>
        </w:rPr>
        <w:cr/>
      </w:r>
    </w:p>
    <w:p w:rsidR="001425BF" w:rsidRDefault="001425BF" w:rsidP="001425BF">
      <w:pPr>
        <w:jc w:val="both"/>
        <w:rPr>
          <w:rFonts w:ascii="Verdana" w:eastAsia="Verdana" w:hAnsi="Verdana" w:cs="Verdana"/>
          <w:b/>
          <w:color w:val="000000"/>
          <w:sz w:val="22"/>
          <w:szCs w:val="22"/>
        </w:rPr>
      </w:pPr>
      <w:r>
        <w:rPr>
          <w:rFonts w:ascii="Verdana" w:eastAsia="Verdana" w:hAnsi="Verdana" w:cs="Verdana"/>
          <w:b/>
          <w:color w:val="000000"/>
          <w:sz w:val="22"/>
          <w:szCs w:val="22"/>
        </w:rPr>
        <w:t xml:space="preserve">SÉPTIMA. - Forma y plazo de justificación. </w:t>
      </w:r>
    </w:p>
    <w:p w:rsidR="001425BF" w:rsidRDefault="001425BF" w:rsidP="001425BF">
      <w:pPr>
        <w:spacing w:before="120" w:after="120"/>
        <w:ind w:firstLine="708"/>
        <w:jc w:val="both"/>
        <w:rPr>
          <w:rFonts w:ascii="Verdana" w:eastAsia="Verdana" w:hAnsi="Verdana" w:cs="Verdana"/>
          <w:color w:val="000000"/>
          <w:sz w:val="22"/>
          <w:szCs w:val="22"/>
        </w:rPr>
      </w:pPr>
      <w:r>
        <w:rPr>
          <w:rFonts w:ascii="Verdana" w:eastAsia="Verdana" w:hAnsi="Verdana" w:cs="Verdana"/>
          <w:color w:val="000000"/>
          <w:sz w:val="22"/>
          <w:szCs w:val="22"/>
        </w:rPr>
        <w:t>1. La justificación del cumplimiento de la ejecución de la actividad subvencionada, deberá efectuarse por el beneficiario hasta el 15 de noviembre de 2023 para los gastos ya pagados hasta la fecha y hasta el 29 de febrero de 2024 para los gastos pagados con posterioridad, que no podrán superar el 25% de los gastos totales.</w:t>
      </w:r>
    </w:p>
    <w:p w:rsidR="001425BF" w:rsidRDefault="001425BF" w:rsidP="001425BF">
      <w:pPr>
        <w:ind w:firstLine="720"/>
        <w:jc w:val="both"/>
        <w:rPr>
          <w:rFonts w:ascii="Verdana" w:eastAsia="Verdana" w:hAnsi="Verdana" w:cs="Verdana"/>
          <w:color w:val="000000"/>
          <w:sz w:val="22"/>
          <w:szCs w:val="22"/>
        </w:rPr>
      </w:pPr>
      <w:r>
        <w:rPr>
          <w:rFonts w:ascii="Verdana" w:eastAsia="Verdana" w:hAnsi="Verdana" w:cs="Verdana"/>
          <w:color w:val="000000"/>
          <w:sz w:val="22"/>
          <w:szCs w:val="22"/>
        </w:rPr>
        <w:t xml:space="preserve">En la justificación a fecha 15 de noviembre de 2023 serán admisibles los gastos de personal e IRPF de profesionales que se devenguen hasta el 31 de diciembre de 2023, cuyos pagos se hacen con posterioridad, así como los gastos externos y gastos </w:t>
      </w:r>
      <w:r>
        <w:rPr>
          <w:rFonts w:ascii="Verdana" w:eastAsia="Verdana" w:hAnsi="Verdana" w:cs="Verdana"/>
          <w:color w:val="000000"/>
          <w:sz w:val="22"/>
          <w:szCs w:val="22"/>
        </w:rPr>
        <w:lastRenderedPageBreak/>
        <w:t xml:space="preserve">generales, admitiendo como justificante en el periodo de la justificación la previsión de los mismos siempre que responda a la planificación inicial de las acciones del convenio y se presente un aval por la cuantía prevista. El importe de esta previsión no podrá superar el 25% de los gastos totales. </w:t>
      </w:r>
      <w:r w:rsidRPr="00AD7389">
        <w:rPr>
          <w:rFonts w:ascii="Verdana" w:eastAsia="Verdana" w:hAnsi="Verdana" w:cs="Verdana"/>
          <w:sz w:val="22"/>
          <w:szCs w:val="22"/>
        </w:rPr>
        <w:t xml:space="preserve">No obstante, deberá realizarse la justificación efectiva de los mismos con fecha límite el 29 de febrero de 2024, inclusive. </w:t>
      </w:r>
      <w:r>
        <w:rPr>
          <w:rFonts w:ascii="Verdana" w:eastAsia="Verdana" w:hAnsi="Verdana" w:cs="Verdana"/>
          <w:color w:val="000000"/>
          <w:sz w:val="22"/>
          <w:szCs w:val="22"/>
        </w:rPr>
        <w:t>Si dicha justificación no se realizara en el plazo indicado, las Cámaras deberán reintegrar el importe abonado correspondiente a los documentos de previsión de gastos.</w:t>
      </w:r>
    </w:p>
    <w:p w:rsidR="001425BF" w:rsidRDefault="001425BF" w:rsidP="001425BF">
      <w:pPr>
        <w:spacing w:before="120"/>
        <w:ind w:firstLine="708"/>
        <w:jc w:val="both"/>
        <w:rPr>
          <w:rFonts w:ascii="Verdana" w:eastAsia="Verdana" w:hAnsi="Verdana" w:cs="Verdana"/>
          <w:color w:val="000000"/>
          <w:sz w:val="22"/>
          <w:szCs w:val="22"/>
        </w:rPr>
      </w:pPr>
      <w:r>
        <w:rPr>
          <w:rFonts w:ascii="Verdana" w:eastAsia="Verdana" w:hAnsi="Verdana" w:cs="Verdana"/>
          <w:color w:val="000000"/>
          <w:sz w:val="22"/>
          <w:szCs w:val="22"/>
        </w:rPr>
        <w:t xml:space="preserve">Con anterioridad al 15 de noviembre de 2023 se podrán realizar por parte del beneficiario justificaciones parciales al ritmo de ejecución de las acciones subvencionadas, presentando la documentación prevista en esta cláusula. </w:t>
      </w:r>
    </w:p>
    <w:p w:rsidR="001425BF" w:rsidRDefault="001425BF" w:rsidP="001425BF">
      <w:pPr>
        <w:pBdr>
          <w:top w:val="nil"/>
          <w:left w:val="nil"/>
          <w:bottom w:val="nil"/>
          <w:right w:val="nil"/>
          <w:between w:val="nil"/>
        </w:pBdr>
        <w:spacing w:before="120" w:after="120"/>
        <w:ind w:firstLine="357"/>
        <w:jc w:val="both"/>
        <w:rPr>
          <w:rFonts w:ascii="Verdana" w:eastAsia="Verdana" w:hAnsi="Verdana" w:cs="Verdana"/>
          <w:color w:val="000000"/>
          <w:sz w:val="22"/>
          <w:szCs w:val="22"/>
        </w:rPr>
      </w:pPr>
      <w:r>
        <w:rPr>
          <w:rFonts w:ascii="Verdana" w:eastAsia="Verdana" w:hAnsi="Verdana" w:cs="Verdana"/>
          <w:color w:val="000000"/>
          <w:sz w:val="22"/>
          <w:szCs w:val="22"/>
        </w:rPr>
        <w:t>2. El cumplimiento de esta obligación de justificación conllevará la de acreditar ante la Dirección General de Industria y PYMES, la realización y el pago de las actividades subvencionadas, así como el cumplimiento del resto de las obligaciones previstas en el convenio, conforme a lo dispuesto en los artículos 29, 30 y 31 de la Ley 38/2003, de 17 de noviembre, General de Subvenciones, y los artículos 31, 32 y 34 de la Ley 5/2015, de 25 de marzo de Subvenciones de Aragón y demás normativa aplicable en la materia.</w:t>
      </w:r>
    </w:p>
    <w:p w:rsidR="001425BF" w:rsidRDefault="001425BF" w:rsidP="001425BF">
      <w:pPr>
        <w:ind w:firstLine="360"/>
        <w:jc w:val="both"/>
        <w:rPr>
          <w:rFonts w:ascii="Verdana" w:eastAsia="Verdana" w:hAnsi="Verdana" w:cs="Verdana"/>
          <w:color w:val="000000"/>
          <w:sz w:val="22"/>
          <w:szCs w:val="22"/>
        </w:rPr>
      </w:pPr>
      <w:r>
        <w:rPr>
          <w:rFonts w:ascii="Verdana" w:eastAsia="Verdana" w:hAnsi="Verdana" w:cs="Verdana"/>
          <w:color w:val="000000"/>
          <w:sz w:val="22"/>
          <w:szCs w:val="22"/>
        </w:rPr>
        <w:t>3. A estos efectos, y de acuerdo con la modalidad de justificación de cuenta justificativa, el beneficiario deberá presentar la siguiente documentación:</w:t>
      </w:r>
    </w:p>
    <w:p w:rsidR="001425BF" w:rsidRDefault="001425BF" w:rsidP="001425BF">
      <w:pPr>
        <w:spacing w:before="120"/>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a) Una memoria de actuación justificativa del cumplimiento de las condiciones impuestas en la concesión de la subvención, con indicación de las actividades realizadas.</w:t>
      </w:r>
    </w:p>
    <w:p w:rsidR="001425BF" w:rsidRDefault="001425BF" w:rsidP="001425BF">
      <w:pPr>
        <w:spacing w:before="120"/>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b) Una memoria económica justificativa del coste de las actividades realizadas, que contendrá:</w:t>
      </w:r>
    </w:p>
    <w:p w:rsidR="001425BF" w:rsidRPr="00B67D83" w:rsidRDefault="001425BF" w:rsidP="001425BF">
      <w:pPr>
        <w:ind w:left="708"/>
        <w:jc w:val="both"/>
        <w:rPr>
          <w:rFonts w:ascii="Verdana" w:eastAsia="Verdana" w:hAnsi="Verdana" w:cs="Verdana"/>
          <w:color w:val="FF0000"/>
          <w:sz w:val="22"/>
          <w:szCs w:val="22"/>
        </w:rPr>
      </w:pPr>
      <w:r>
        <w:rPr>
          <w:rFonts w:ascii="Verdana" w:eastAsia="Verdana" w:hAnsi="Verdana" w:cs="Verdana"/>
          <w:color w:val="000000"/>
          <w:sz w:val="22"/>
          <w:szCs w:val="22"/>
        </w:rPr>
        <w:t xml:space="preserve">- Una relación clasificada de los gastos de la actividad, con identificación del acreedor y del documento, su importe, fecha de emisión y, en su caso, fecha de pago. En caso de que la subvención se otorgue con arreglo a un presupuesto, se indicarán las desviaciones acaecidas. </w:t>
      </w:r>
    </w:p>
    <w:p w:rsidR="001425BF" w:rsidRDefault="001425BF" w:rsidP="001425BF">
      <w:pPr>
        <w:ind w:left="708"/>
        <w:jc w:val="both"/>
        <w:rPr>
          <w:rFonts w:ascii="Verdana" w:eastAsia="Verdana" w:hAnsi="Verdana" w:cs="Verdana"/>
          <w:color w:val="000000"/>
          <w:sz w:val="22"/>
          <w:szCs w:val="22"/>
        </w:rPr>
      </w:pPr>
      <w:r>
        <w:rPr>
          <w:rFonts w:ascii="Verdana" w:eastAsia="Verdana" w:hAnsi="Verdana" w:cs="Verdana"/>
          <w:color w:val="000000"/>
          <w:sz w:val="22"/>
          <w:szCs w:val="22"/>
        </w:rPr>
        <w:t xml:space="preserve">- Original de las facturas, así como de sus correspondientes justificantes de pago, para que la unidad administrativa que gestione la justificación estampille indicando la ayuda concedida o el porcentaje de subvención sobre cada documento, acompañándolos de una copia. En el resto de los gastos incorporados en la relación a que se hace referencia en el párrafo anterior, tales como nóminas e IRPF, se presentarán copias de dichos documentos. </w:t>
      </w:r>
    </w:p>
    <w:p w:rsidR="001425BF" w:rsidRDefault="001425BF" w:rsidP="001425BF">
      <w:pPr>
        <w:ind w:left="708"/>
        <w:jc w:val="both"/>
        <w:rPr>
          <w:rFonts w:ascii="Verdana" w:eastAsia="Verdana" w:hAnsi="Verdana" w:cs="Verdana"/>
          <w:color w:val="000000"/>
          <w:sz w:val="22"/>
          <w:szCs w:val="22"/>
        </w:rPr>
      </w:pPr>
      <w:r>
        <w:rPr>
          <w:rFonts w:ascii="Verdana" w:eastAsia="Verdana" w:hAnsi="Verdana" w:cs="Verdana"/>
          <w:color w:val="000000"/>
          <w:sz w:val="22"/>
          <w:szCs w:val="22"/>
        </w:rPr>
        <w:t>- Una certificación del Secretario General en la que consten los gastos generales imputados al convenio</w:t>
      </w:r>
      <w:r w:rsidR="003907A0">
        <w:rPr>
          <w:rFonts w:ascii="Verdana" w:eastAsia="Verdana" w:hAnsi="Verdana" w:cs="Verdana"/>
          <w:color w:val="000000"/>
          <w:sz w:val="22"/>
          <w:szCs w:val="22"/>
        </w:rPr>
        <w:t>.</w:t>
      </w:r>
    </w:p>
    <w:p w:rsidR="001425BF" w:rsidRPr="00644920" w:rsidRDefault="001425BF" w:rsidP="001425BF">
      <w:pPr>
        <w:ind w:left="708"/>
        <w:jc w:val="both"/>
        <w:rPr>
          <w:rFonts w:ascii="Verdana" w:eastAsia="Verdana" w:hAnsi="Verdana" w:cs="Verdana"/>
          <w:color w:val="000000"/>
          <w:sz w:val="22"/>
          <w:szCs w:val="22"/>
        </w:rPr>
      </w:pPr>
      <w:r>
        <w:rPr>
          <w:rFonts w:ascii="Verdana" w:eastAsia="Verdana" w:hAnsi="Verdana" w:cs="Verdana"/>
          <w:color w:val="000000"/>
          <w:sz w:val="22"/>
          <w:szCs w:val="22"/>
        </w:rPr>
        <w:t xml:space="preserve">- Una certificación del Secretario General que especifique el porcentaje de dedicación de </w:t>
      </w:r>
      <w:r w:rsidRPr="001703B8">
        <w:rPr>
          <w:rFonts w:ascii="Verdana" w:eastAsia="Verdana" w:hAnsi="Verdana" w:cs="Verdana"/>
          <w:color w:val="000000"/>
          <w:sz w:val="22"/>
          <w:szCs w:val="22"/>
        </w:rPr>
        <w:t>cada persona adscrita a este convenio y a todos los convenios o ayudas en las que dicha persona también esté adscrita</w:t>
      </w:r>
      <w:r w:rsidRPr="00644920">
        <w:rPr>
          <w:rFonts w:ascii="Verdana" w:eastAsia="Verdana" w:hAnsi="Verdana" w:cs="Verdana"/>
          <w:color w:val="000000"/>
          <w:sz w:val="22"/>
          <w:szCs w:val="22"/>
        </w:rPr>
        <w:t>.</w:t>
      </w:r>
    </w:p>
    <w:p w:rsidR="001425BF" w:rsidRPr="005C1E9E" w:rsidRDefault="001425BF" w:rsidP="001425BF">
      <w:pPr>
        <w:ind w:left="708"/>
        <w:jc w:val="both"/>
        <w:rPr>
          <w:rFonts w:ascii="Verdana" w:eastAsia="Verdana" w:hAnsi="Verdana" w:cs="Verdana"/>
          <w:color w:val="FF0000"/>
          <w:sz w:val="22"/>
          <w:szCs w:val="22"/>
        </w:rPr>
      </w:pPr>
      <w:r w:rsidRPr="00644920">
        <w:rPr>
          <w:rFonts w:ascii="Verdana" w:eastAsia="Verdana" w:hAnsi="Verdana" w:cs="Verdana"/>
          <w:color w:val="000000"/>
          <w:sz w:val="22"/>
          <w:szCs w:val="22"/>
        </w:rPr>
        <w:t>- Una certificación del Secretario General en la que consten los gastos generales imputados al convenio</w:t>
      </w:r>
      <w:r w:rsidR="003907A0">
        <w:rPr>
          <w:rFonts w:ascii="Verdana" w:eastAsia="Verdana" w:hAnsi="Verdana" w:cs="Verdana"/>
          <w:color w:val="000000"/>
          <w:sz w:val="22"/>
          <w:szCs w:val="22"/>
        </w:rPr>
        <w:t>.</w:t>
      </w:r>
    </w:p>
    <w:p w:rsidR="001425BF" w:rsidRPr="00080956" w:rsidRDefault="001425BF" w:rsidP="001425BF">
      <w:pPr>
        <w:ind w:left="708"/>
        <w:jc w:val="both"/>
        <w:rPr>
          <w:rFonts w:ascii="Verdana" w:eastAsia="Verdana" w:hAnsi="Verdana" w:cs="Verdana"/>
          <w:sz w:val="22"/>
          <w:szCs w:val="22"/>
        </w:rPr>
      </w:pPr>
      <w:r w:rsidRPr="005C1E9E">
        <w:rPr>
          <w:rFonts w:ascii="Verdana" w:eastAsia="Verdana" w:hAnsi="Verdana" w:cs="Verdana"/>
          <w:sz w:val="22"/>
          <w:szCs w:val="22"/>
        </w:rPr>
        <w:t>- Deberá aportarse en formato .</w:t>
      </w:r>
      <w:proofErr w:type="spellStart"/>
      <w:r w:rsidRPr="005C1E9E">
        <w:rPr>
          <w:rFonts w:ascii="Verdana" w:eastAsia="Verdana" w:hAnsi="Verdana" w:cs="Verdana"/>
          <w:sz w:val="22"/>
          <w:szCs w:val="22"/>
        </w:rPr>
        <w:t>xls</w:t>
      </w:r>
      <w:proofErr w:type="spellEnd"/>
      <w:r w:rsidRPr="005C1E9E">
        <w:rPr>
          <w:rFonts w:ascii="Verdana" w:eastAsia="Verdana" w:hAnsi="Verdana" w:cs="Verdana"/>
          <w:sz w:val="22"/>
          <w:szCs w:val="22"/>
        </w:rPr>
        <w:t xml:space="preserve"> una r</w:t>
      </w:r>
      <w:r w:rsidRPr="001703B8">
        <w:rPr>
          <w:rFonts w:ascii="Verdana" w:eastAsia="Verdana" w:hAnsi="Verdana" w:cs="Verdana"/>
          <w:sz w:val="22"/>
          <w:szCs w:val="22"/>
        </w:rPr>
        <w:t>elación de gastos solicitados, indicando los importes globales solicitados</w:t>
      </w:r>
      <w:r w:rsidRPr="00080956">
        <w:rPr>
          <w:rFonts w:ascii="Verdana" w:eastAsia="Verdana" w:hAnsi="Verdana" w:cs="Verdana"/>
          <w:sz w:val="22"/>
          <w:szCs w:val="22"/>
        </w:rPr>
        <w:t xml:space="preserve"> para cada una de las siguientes categorías: </w:t>
      </w:r>
    </w:p>
    <w:p w:rsidR="001425BF" w:rsidRPr="00080956" w:rsidRDefault="001425BF" w:rsidP="001425BF">
      <w:pPr>
        <w:pStyle w:val="Prrafodelista"/>
        <w:numPr>
          <w:ilvl w:val="0"/>
          <w:numId w:val="21"/>
        </w:numPr>
        <w:jc w:val="both"/>
        <w:rPr>
          <w:rFonts w:ascii="Verdana" w:eastAsia="Verdana" w:hAnsi="Verdana" w:cs="Verdana"/>
          <w:sz w:val="22"/>
          <w:szCs w:val="22"/>
        </w:rPr>
      </w:pPr>
      <w:r w:rsidRPr="00080956">
        <w:rPr>
          <w:rFonts w:ascii="Verdana" w:eastAsia="Verdana" w:hAnsi="Verdana" w:cs="Verdana"/>
          <w:sz w:val="22"/>
          <w:szCs w:val="22"/>
        </w:rPr>
        <w:t>Gastos de personal o contratación de empresas especializadas</w:t>
      </w:r>
      <w:r w:rsidR="003907A0">
        <w:rPr>
          <w:rFonts w:ascii="Verdana" w:eastAsia="Verdana" w:hAnsi="Verdana" w:cs="Verdana"/>
          <w:sz w:val="22"/>
          <w:szCs w:val="22"/>
        </w:rPr>
        <w:t>.</w:t>
      </w:r>
    </w:p>
    <w:p w:rsidR="001425BF" w:rsidRPr="00080956" w:rsidRDefault="001425BF" w:rsidP="001425BF">
      <w:pPr>
        <w:pStyle w:val="Prrafodelista"/>
        <w:numPr>
          <w:ilvl w:val="0"/>
          <w:numId w:val="21"/>
        </w:numPr>
        <w:jc w:val="both"/>
        <w:rPr>
          <w:rFonts w:ascii="Verdana" w:eastAsia="Verdana" w:hAnsi="Verdana" w:cs="Verdana"/>
          <w:sz w:val="22"/>
          <w:szCs w:val="22"/>
        </w:rPr>
      </w:pPr>
      <w:r w:rsidRPr="00080956">
        <w:rPr>
          <w:rFonts w:ascii="Verdana" w:eastAsia="Verdana" w:hAnsi="Verdana" w:cs="Verdana"/>
          <w:sz w:val="22"/>
          <w:szCs w:val="22"/>
        </w:rPr>
        <w:lastRenderedPageBreak/>
        <w:t xml:space="preserve">En su caso, indemnizaciones por razón de servicio que sean necesarios para el desarrollo de la actividad objeto de subvención siempre que no hayan sido contemplados en los gastos generales; </w:t>
      </w:r>
    </w:p>
    <w:p w:rsidR="001425BF" w:rsidRPr="00080956" w:rsidRDefault="001425BF" w:rsidP="001425BF">
      <w:pPr>
        <w:pStyle w:val="Prrafodelista"/>
        <w:numPr>
          <w:ilvl w:val="0"/>
          <w:numId w:val="21"/>
        </w:numPr>
        <w:jc w:val="both"/>
        <w:rPr>
          <w:rFonts w:ascii="Verdana" w:eastAsia="Verdana" w:hAnsi="Verdana" w:cs="Verdana"/>
          <w:sz w:val="22"/>
          <w:szCs w:val="22"/>
        </w:rPr>
      </w:pPr>
      <w:r w:rsidRPr="00080956">
        <w:rPr>
          <w:rFonts w:ascii="Verdana" w:eastAsia="Verdana" w:hAnsi="Verdana" w:cs="Verdana"/>
          <w:sz w:val="22"/>
          <w:szCs w:val="22"/>
        </w:rPr>
        <w:t>Gastos generales (operación y mantenimiento del local, materiales fungibles de oficina, relaciones públicas, publicaciones y suscripciones, viajes, otros servicios, cuotas de organismos, impuesto municipal de bienes inmuebles y gastos financieros de la cuenta de crédito para financiar las actividades propias de este convenio)</w:t>
      </w:r>
      <w:r w:rsidR="003907A0">
        <w:rPr>
          <w:rFonts w:ascii="Verdana" w:eastAsia="Verdana" w:hAnsi="Verdana" w:cs="Verdana"/>
          <w:sz w:val="22"/>
          <w:szCs w:val="22"/>
        </w:rPr>
        <w:t>.</w:t>
      </w:r>
    </w:p>
    <w:p w:rsidR="001425BF" w:rsidRPr="00080956" w:rsidRDefault="001425BF" w:rsidP="001425BF">
      <w:pPr>
        <w:pStyle w:val="Prrafodelista"/>
        <w:numPr>
          <w:ilvl w:val="0"/>
          <w:numId w:val="21"/>
        </w:numPr>
        <w:jc w:val="both"/>
        <w:rPr>
          <w:rFonts w:ascii="Verdana" w:eastAsia="Verdana" w:hAnsi="Verdana" w:cs="Verdana"/>
          <w:sz w:val="22"/>
          <w:szCs w:val="22"/>
        </w:rPr>
      </w:pPr>
      <w:r w:rsidRPr="00080956">
        <w:rPr>
          <w:rFonts w:ascii="Verdana" w:eastAsia="Verdana" w:hAnsi="Verdana" w:cs="Verdana"/>
          <w:sz w:val="22"/>
          <w:szCs w:val="22"/>
        </w:rPr>
        <w:t>Gastos corrientes directos imputables al programa ARIES que no hayan sido contemplados en los gastos generales (telefonía, material de oficina, publicaciones, formación, asistencias técnicas, mantenimiento y armonización Base ARIES, correos y envíos, difusión o material informático fungible).</w:t>
      </w:r>
    </w:p>
    <w:p w:rsidR="001425BF" w:rsidRPr="00080956" w:rsidRDefault="001425BF" w:rsidP="001425BF">
      <w:pPr>
        <w:ind w:left="720"/>
        <w:jc w:val="both"/>
        <w:rPr>
          <w:rFonts w:ascii="Verdana" w:eastAsia="Verdana" w:hAnsi="Verdana" w:cs="Verdana"/>
          <w:sz w:val="22"/>
          <w:szCs w:val="22"/>
        </w:rPr>
      </w:pPr>
      <w:r w:rsidRPr="00080956">
        <w:rPr>
          <w:rFonts w:ascii="Verdana" w:eastAsia="Verdana" w:hAnsi="Verdana" w:cs="Verdana"/>
          <w:sz w:val="22"/>
          <w:szCs w:val="22"/>
        </w:rPr>
        <w:t>- Deberá aportarse en formato .</w:t>
      </w:r>
      <w:proofErr w:type="spellStart"/>
      <w:r w:rsidRPr="00080956">
        <w:rPr>
          <w:rFonts w:ascii="Verdana" w:eastAsia="Verdana" w:hAnsi="Verdana" w:cs="Verdana"/>
          <w:sz w:val="22"/>
          <w:szCs w:val="22"/>
        </w:rPr>
        <w:t>xls</w:t>
      </w:r>
      <w:proofErr w:type="spellEnd"/>
      <w:r w:rsidRPr="00080956">
        <w:rPr>
          <w:rFonts w:ascii="Verdana" w:eastAsia="Verdana" w:hAnsi="Verdana" w:cs="Verdana"/>
          <w:sz w:val="22"/>
          <w:szCs w:val="22"/>
        </w:rPr>
        <w:t xml:space="preserve"> una relación de gastos de personal donde se indique</w:t>
      </w:r>
      <w:r w:rsidRPr="00644920">
        <w:rPr>
          <w:rFonts w:ascii="Verdana" w:eastAsia="Verdana" w:hAnsi="Verdana" w:cs="Verdana"/>
          <w:sz w:val="22"/>
          <w:szCs w:val="22"/>
        </w:rPr>
        <w:t xml:space="preserve">, </w:t>
      </w:r>
      <w:r w:rsidRPr="001703B8">
        <w:rPr>
          <w:rFonts w:ascii="Verdana" w:eastAsia="Verdana" w:hAnsi="Verdana" w:cs="Verdana"/>
          <w:sz w:val="22"/>
          <w:szCs w:val="22"/>
        </w:rPr>
        <w:t>para cada trabajador y cada mes del año</w:t>
      </w:r>
      <w:r w:rsidRPr="00644920">
        <w:rPr>
          <w:rFonts w:ascii="Verdana" w:eastAsia="Verdana" w:hAnsi="Verdana" w:cs="Verdana"/>
          <w:sz w:val="22"/>
          <w:szCs w:val="22"/>
        </w:rPr>
        <w:t>: I</w:t>
      </w:r>
      <w:r w:rsidRPr="005C1E9E">
        <w:rPr>
          <w:rFonts w:ascii="Verdana" w:eastAsia="Verdana" w:hAnsi="Verdana" w:cs="Verdana"/>
          <w:sz w:val="22"/>
          <w:szCs w:val="22"/>
        </w:rPr>
        <w:t>mporte devengado, importe de la seguridad social, porcentaje de dedicación de cada persona adscrita a este convenio y a todos los convenios o ayudas en las que</w:t>
      </w:r>
      <w:r w:rsidRPr="00080956">
        <w:rPr>
          <w:rFonts w:ascii="Verdana" w:eastAsia="Verdana" w:hAnsi="Verdana" w:cs="Verdana"/>
          <w:sz w:val="22"/>
          <w:szCs w:val="22"/>
        </w:rPr>
        <w:t xml:space="preserve"> dicha persona también esté adscrita (que deberá coincidir con la certificación hecha por el Secretario General) y el importe total solicitado. Para el mes de octubre se separará el gasto ya realizado del previsto.</w:t>
      </w:r>
    </w:p>
    <w:p w:rsidR="001425BF" w:rsidRPr="00080956" w:rsidRDefault="001425BF" w:rsidP="001425BF">
      <w:pPr>
        <w:ind w:left="720"/>
        <w:jc w:val="both"/>
        <w:rPr>
          <w:rFonts w:ascii="Verdana" w:eastAsia="Verdana" w:hAnsi="Verdana" w:cs="Verdana"/>
          <w:sz w:val="22"/>
          <w:szCs w:val="22"/>
        </w:rPr>
      </w:pPr>
      <w:r w:rsidRPr="00080956">
        <w:rPr>
          <w:rFonts w:ascii="Verdana" w:eastAsia="Verdana" w:hAnsi="Verdana" w:cs="Verdana"/>
          <w:sz w:val="22"/>
          <w:szCs w:val="22"/>
        </w:rPr>
        <w:t>- Deberá aportarse en formato .</w:t>
      </w:r>
      <w:proofErr w:type="spellStart"/>
      <w:r w:rsidRPr="00080956">
        <w:rPr>
          <w:rFonts w:ascii="Verdana" w:eastAsia="Verdana" w:hAnsi="Verdana" w:cs="Verdana"/>
          <w:sz w:val="22"/>
          <w:szCs w:val="22"/>
        </w:rPr>
        <w:t>xls</w:t>
      </w:r>
      <w:proofErr w:type="spellEnd"/>
      <w:r w:rsidRPr="00080956">
        <w:rPr>
          <w:rFonts w:ascii="Verdana" w:eastAsia="Verdana" w:hAnsi="Verdana" w:cs="Verdana"/>
          <w:sz w:val="22"/>
          <w:szCs w:val="22"/>
        </w:rPr>
        <w:t xml:space="preserve"> una relación de gastos de contratación de empresas especializadas; donde se indique factura a factura: proveedor, número de factura, fecha de factura, fecha valor de pago, importe solicitado sin IVA, IVA.</w:t>
      </w:r>
    </w:p>
    <w:p w:rsidR="001425BF" w:rsidRDefault="001425BF" w:rsidP="001425BF">
      <w:pPr>
        <w:ind w:left="708"/>
        <w:jc w:val="both"/>
        <w:rPr>
          <w:rFonts w:ascii="Verdana" w:eastAsia="Verdana" w:hAnsi="Verdana" w:cs="Verdana"/>
          <w:color w:val="000000"/>
          <w:sz w:val="22"/>
          <w:szCs w:val="22"/>
        </w:rPr>
      </w:pPr>
      <w:r>
        <w:rPr>
          <w:rFonts w:ascii="Verdana" w:eastAsia="Verdana" w:hAnsi="Verdana" w:cs="Verdana"/>
          <w:color w:val="000000"/>
          <w:sz w:val="22"/>
          <w:szCs w:val="22"/>
        </w:rPr>
        <w:t>- Una declaración relativa a la obtención o no de otras ayudas para la misma actividad subvencionada acompañada en caso afirmativo, de una relación detallada de las mismas con indicación del importe y su procedencia. Asimismo, en los supuestos en los que las actuaciones hayan sido financiadas, además de con la subvención, con fondos propios u otras subvenciones o recursos, deberá acreditarse en la justificación el importe, procedencia y aplicación de tales fondos a las actuaciones subvencionadas.</w:t>
      </w:r>
    </w:p>
    <w:p w:rsidR="001425BF" w:rsidRDefault="001425BF" w:rsidP="001425BF">
      <w:pPr>
        <w:ind w:left="708"/>
        <w:jc w:val="both"/>
        <w:rPr>
          <w:rFonts w:ascii="Verdana" w:eastAsia="Verdana" w:hAnsi="Verdana" w:cs="Verdana"/>
          <w:color w:val="000000"/>
          <w:sz w:val="22"/>
          <w:szCs w:val="22"/>
        </w:rPr>
      </w:pPr>
      <w:r>
        <w:rPr>
          <w:rFonts w:ascii="Verdana" w:eastAsia="Verdana" w:hAnsi="Verdana" w:cs="Verdana"/>
          <w:color w:val="000000"/>
          <w:sz w:val="22"/>
          <w:szCs w:val="22"/>
        </w:rPr>
        <w:t>- Los tres presupuestos que, en aplicación del artículo 31.3 de la Ley General de Subvenciones y del artículo 34.3 de la Ley 5/2015, de Subvenciones de Aragón, deba de haber solicitado el beneficiario.</w:t>
      </w:r>
    </w:p>
    <w:p w:rsidR="001425BF" w:rsidRDefault="001425BF" w:rsidP="001425BF">
      <w:pPr>
        <w:ind w:left="708"/>
        <w:jc w:val="both"/>
        <w:rPr>
          <w:rFonts w:ascii="Verdana" w:eastAsia="Verdana" w:hAnsi="Verdana" w:cs="Verdana"/>
          <w:color w:val="000000"/>
          <w:sz w:val="22"/>
          <w:szCs w:val="22"/>
        </w:rPr>
      </w:pPr>
      <w:r>
        <w:rPr>
          <w:rFonts w:ascii="Verdana" w:eastAsia="Verdana" w:hAnsi="Verdana" w:cs="Verdana"/>
          <w:color w:val="000000"/>
          <w:sz w:val="22"/>
          <w:szCs w:val="22"/>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rsidR="001425BF" w:rsidRPr="00AD7389" w:rsidRDefault="001425BF" w:rsidP="001425BF">
      <w:pPr>
        <w:spacing w:before="120"/>
        <w:ind w:firstLine="357"/>
        <w:jc w:val="both"/>
        <w:rPr>
          <w:rFonts w:ascii="Verdana" w:eastAsia="Verdana" w:hAnsi="Verdana" w:cs="Verdana"/>
          <w:sz w:val="22"/>
          <w:szCs w:val="22"/>
        </w:rPr>
      </w:pPr>
      <w:r>
        <w:rPr>
          <w:rFonts w:ascii="Verdana" w:eastAsia="Verdana" w:hAnsi="Verdana" w:cs="Verdana"/>
          <w:color w:val="000000"/>
          <w:sz w:val="22"/>
          <w:szCs w:val="22"/>
        </w:rPr>
        <w:t xml:space="preserve">4. </w:t>
      </w:r>
      <w:r w:rsidRPr="00AD7389">
        <w:rPr>
          <w:rFonts w:ascii="Verdana" w:eastAsia="Verdana" w:hAnsi="Verdana" w:cs="Verdana"/>
          <w:sz w:val="22"/>
          <w:szCs w:val="22"/>
        </w:rPr>
        <w:t>Los justificantes de pago correspondientes a los gastos derivados de las actuaciones objeto de subvención estarán comprendidos en el periodo entre el 1 de enero y el 31 de diciembre del ejercicio económico en curso, excepto para los costes de personal devengados hasta el 31 de diciembre de 2023 e IRPF de profesionales cuyo pago corresponda realizar en el 2024.</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5. Excepcionalmente y si por razones justificadas debidamente motivadas no pudiera realizarse la justificación de la subvención en el plazo fijado, el órgano concedente podrá acordar, siempre con anterioridad a su finalización, la prórroga del mismo, que no podrá exceder de la mitad del previsto inicialmente, siempre que no </w:t>
      </w:r>
      <w:r>
        <w:rPr>
          <w:rFonts w:ascii="Verdana" w:eastAsia="Verdana" w:hAnsi="Verdana" w:cs="Verdana"/>
          <w:color w:val="000000"/>
          <w:sz w:val="22"/>
          <w:szCs w:val="22"/>
        </w:rPr>
        <w:lastRenderedPageBreak/>
        <w:t>perjudique los derechos de terceros. Si al concederse la prórroga se modificasen las anualidades previstas en el convenio de concesión, para el pago de la subvención, se deberá realizar un reajuste de las mismas.</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6. Transcurrido el plazo de justificación, incluida, en su caso, la prorroga sin que se haya presentado la justificación, se requerirá al beneficiario para que sea presentada en el plazo improrrogable de quince días. La falta de presentación en plazo llevará consigo la exigencia de reintegro. </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7. Cuando el órgano competente para la comprobación de la subvención aprecie la existencia de defectos subsanables en la justificación presentada por el beneficiario, lo pondrá en su conocimiento concediéndole un plazo de diez días para su corrección. La falta de subsanación de los defectos en este plazo si son sustanciales de modo que impidan comprobar el cumplimiento, llevará consigo la existencia de reintegro. </w:t>
      </w:r>
    </w:p>
    <w:p w:rsidR="001425BF" w:rsidRDefault="001425BF" w:rsidP="001425BF">
      <w:pPr>
        <w:spacing w:before="120"/>
        <w:ind w:firstLine="357"/>
        <w:jc w:val="both"/>
        <w:rPr>
          <w:rFonts w:ascii="Verdana" w:eastAsia="Verdana" w:hAnsi="Verdana" w:cs="Verdana"/>
          <w:color w:val="000000"/>
          <w:sz w:val="22"/>
          <w:szCs w:val="22"/>
        </w:rPr>
      </w:pPr>
      <w:bookmarkStart w:id="1" w:name="bookmark=id.30j0zll" w:colFirst="0" w:colLast="0"/>
      <w:bookmarkEnd w:id="1"/>
      <w:r>
        <w:rPr>
          <w:rFonts w:ascii="Verdana" w:eastAsia="Verdana" w:hAnsi="Verdana" w:cs="Verdana"/>
          <w:color w:val="000000"/>
          <w:sz w:val="22"/>
          <w:szCs w:val="22"/>
        </w:rPr>
        <w:t>8. Se producirá la revocación de la concesión de subvención, con la consiguiente pérdida del derecho al cobro, cuando el beneficiario incumpla las obligaciones de justificación o el resto de las obligaciones y compromisos contraídos o concurra cualquier otra causa de reintegro previstas en el artículo 37 de la Ley 38/2003, de 17 de noviembre, General de Subvenciones, y artículo 43 de la Ley 5/2015, de 25 de marzo, de Subvenciones de Aragón.</w:t>
      </w:r>
    </w:p>
    <w:p w:rsidR="001425BF" w:rsidRDefault="001425BF" w:rsidP="001425BF">
      <w:pPr>
        <w:tabs>
          <w:tab w:val="left" w:pos="567"/>
        </w:tabs>
        <w:spacing w:before="120"/>
        <w:jc w:val="both"/>
        <w:rPr>
          <w:rFonts w:ascii="Verdana" w:eastAsia="Verdana" w:hAnsi="Verdana" w:cs="Verdana"/>
          <w:color w:val="000000"/>
          <w:sz w:val="22"/>
          <w:szCs w:val="22"/>
        </w:rPr>
      </w:pPr>
    </w:p>
    <w:p w:rsidR="001425BF" w:rsidRDefault="001425BF" w:rsidP="001425BF">
      <w:pPr>
        <w:tabs>
          <w:tab w:val="left" w:pos="567"/>
        </w:tabs>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t xml:space="preserve">OCTAVA. - Comprobación y Pago. </w:t>
      </w:r>
    </w:p>
    <w:p w:rsidR="001425BF" w:rsidRDefault="001425BF" w:rsidP="001425BF">
      <w:pPr>
        <w:pBdr>
          <w:top w:val="nil"/>
          <w:left w:val="nil"/>
          <w:bottom w:val="nil"/>
          <w:right w:val="nil"/>
          <w:between w:val="nil"/>
        </w:pBdr>
        <w:spacing w:before="120" w:after="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1. La Dirección General de Industria y PYMES comprobará la adecuada justificación de la subvención, así como la realización de la actividad y el cumplimiento de la finalidad que determine la concesión de la subvención. </w:t>
      </w:r>
    </w:p>
    <w:p w:rsidR="001425BF" w:rsidRDefault="001425BF" w:rsidP="001425BF">
      <w:pPr>
        <w:pBdr>
          <w:top w:val="nil"/>
          <w:left w:val="nil"/>
          <w:bottom w:val="nil"/>
          <w:right w:val="nil"/>
          <w:between w:val="nil"/>
        </w:pBdr>
        <w:tabs>
          <w:tab w:val="left" w:pos="567"/>
        </w:tabs>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2. El pago de la ayuda por parte de la Administración de la Comunidad Autónoma de Aragón se efectuará cuando se haya acreditado el cumplimiento de la finalidad para la que fue otorgada y se haya justificado la realización de la actuación subvencionada y el gasto realizado, además de la acreditación de que la beneficiaria está al corriente de sus obligaciones tributarias y frente a la Seguridad Social, así como la ausencia de toda deuda pendiente de pago con la Comunidad Autónoma de Aragón. </w:t>
      </w:r>
    </w:p>
    <w:p w:rsidR="001425BF" w:rsidRDefault="001425BF" w:rsidP="001425BF">
      <w:pPr>
        <w:pBdr>
          <w:top w:val="nil"/>
          <w:left w:val="nil"/>
          <w:bottom w:val="nil"/>
          <w:right w:val="nil"/>
          <w:between w:val="nil"/>
        </w:pBdr>
        <w:tabs>
          <w:tab w:val="left" w:pos="567"/>
        </w:tabs>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3. Podrán llevarse a cabo pagos a cuenta que supondrán la realización de pagos fraccionados que responderán al ritmo de ejecución de las acciones subvencionadas, abonándose por cuantía equivalente a la justificación presentada.</w:t>
      </w:r>
    </w:p>
    <w:p w:rsidR="001425BF" w:rsidRDefault="001425BF" w:rsidP="001425BF">
      <w:pPr>
        <w:pBdr>
          <w:top w:val="nil"/>
          <w:left w:val="nil"/>
          <w:bottom w:val="nil"/>
          <w:right w:val="nil"/>
          <w:between w:val="nil"/>
        </w:pBdr>
        <w:tabs>
          <w:tab w:val="left" w:pos="567"/>
        </w:tabs>
        <w:spacing w:before="120"/>
        <w:ind w:firstLine="360"/>
        <w:jc w:val="both"/>
        <w:rPr>
          <w:rFonts w:ascii="Verdana" w:eastAsia="Verdana" w:hAnsi="Verdana" w:cs="Verdana"/>
          <w:color w:val="000000"/>
          <w:sz w:val="22"/>
          <w:szCs w:val="22"/>
        </w:rPr>
      </w:pPr>
      <w:r>
        <w:rPr>
          <w:rFonts w:ascii="Verdana" w:eastAsia="Verdana" w:hAnsi="Verdana" w:cs="Verdana"/>
          <w:color w:val="000000"/>
          <w:sz w:val="22"/>
          <w:szCs w:val="22"/>
        </w:rPr>
        <w:t xml:space="preserve">La no justificación en plazo o de forma indebida supondrá, respecto de las cantidades no justificadas en tiempo o forma, la pérdida de eficacia del compromiso de subvención asumido con la Administración de la Comunidad Autónoma de Aragón, abonándose solamente la cantidad que corresponda según la justificación presentada en tiempo y forma, siempre que la actuación subvencionada se hubiera ejecutado. </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4. Solo se admitirá el pago en metálico en facturas o documentos justificativos del gasto de cuantía inferior a 600 euros por proveedor, con un máximo de 3.000 euros por expediente y, en todo caso, la factura incluirá la expresión “recibí en metálico” o se aportará certificación de la empresa proveedora que </w:t>
      </w:r>
      <w:proofErr w:type="gramStart"/>
      <w:r>
        <w:rPr>
          <w:rFonts w:ascii="Verdana" w:eastAsia="Verdana" w:hAnsi="Verdana" w:cs="Verdana"/>
          <w:color w:val="000000"/>
          <w:sz w:val="22"/>
          <w:szCs w:val="22"/>
        </w:rPr>
        <w:t>acredite</w:t>
      </w:r>
      <w:proofErr w:type="gramEnd"/>
      <w:r>
        <w:rPr>
          <w:rFonts w:ascii="Verdana" w:eastAsia="Verdana" w:hAnsi="Verdana" w:cs="Verdana"/>
          <w:color w:val="000000"/>
          <w:sz w:val="22"/>
          <w:szCs w:val="22"/>
        </w:rPr>
        <w:t xml:space="preserve"> dicho pago en metálico.</w:t>
      </w:r>
    </w:p>
    <w:p w:rsidR="001425BF" w:rsidRDefault="001425BF" w:rsidP="001425BF">
      <w:pPr>
        <w:tabs>
          <w:tab w:val="left" w:pos="567"/>
        </w:tabs>
        <w:spacing w:before="120"/>
        <w:jc w:val="both"/>
        <w:rPr>
          <w:rFonts w:ascii="Verdana" w:eastAsia="Verdana" w:hAnsi="Verdana" w:cs="Verdana"/>
          <w:b/>
          <w:color w:val="000000"/>
          <w:sz w:val="22"/>
          <w:szCs w:val="22"/>
        </w:rPr>
      </w:pPr>
    </w:p>
    <w:p w:rsidR="001425BF" w:rsidRDefault="001425BF" w:rsidP="001425BF">
      <w:pPr>
        <w:rPr>
          <w:rFonts w:ascii="Verdana" w:eastAsia="Verdana" w:hAnsi="Verdana" w:cs="Verdana"/>
          <w:b/>
          <w:color w:val="000000"/>
          <w:sz w:val="22"/>
          <w:szCs w:val="22"/>
        </w:rPr>
      </w:pPr>
      <w:r>
        <w:rPr>
          <w:rFonts w:ascii="Verdana" w:eastAsia="Verdana" w:hAnsi="Verdana" w:cs="Verdana"/>
          <w:b/>
          <w:color w:val="000000"/>
          <w:sz w:val="22"/>
          <w:szCs w:val="22"/>
        </w:rPr>
        <w:br w:type="page"/>
      </w:r>
    </w:p>
    <w:p w:rsidR="001425BF" w:rsidRDefault="001425BF" w:rsidP="001425BF">
      <w:pPr>
        <w:tabs>
          <w:tab w:val="left" w:pos="567"/>
        </w:tabs>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lastRenderedPageBreak/>
        <w:t>NOVENA. - Evaluación, seguimiento y control.</w:t>
      </w:r>
    </w:p>
    <w:p w:rsidR="001425BF" w:rsidRDefault="001425BF" w:rsidP="001425BF">
      <w:pPr>
        <w:pBdr>
          <w:top w:val="nil"/>
          <w:left w:val="nil"/>
          <w:bottom w:val="nil"/>
          <w:right w:val="nil"/>
          <w:between w:val="nil"/>
        </w:pBdr>
        <w:ind w:firstLine="360"/>
        <w:jc w:val="both"/>
        <w:rPr>
          <w:rFonts w:ascii="Verdana" w:eastAsia="Verdana" w:hAnsi="Verdana" w:cs="Verdana"/>
          <w:color w:val="000000"/>
          <w:sz w:val="22"/>
          <w:szCs w:val="22"/>
        </w:rPr>
      </w:pPr>
      <w:r>
        <w:rPr>
          <w:rFonts w:ascii="Verdana" w:eastAsia="Verdana" w:hAnsi="Verdana" w:cs="Verdana"/>
          <w:color w:val="000000"/>
          <w:sz w:val="22"/>
          <w:szCs w:val="22"/>
        </w:rPr>
        <w:t xml:space="preserve">1. Las actuaciones objeto de subvención incluidas en este convenio se encuentran sometidas a la evaluación y seguimiento general de las subvenciones y, en su caso, al control financiero a que se refiere la Ley 5/2015, de 25 de marzo, de Subvenciones de Aragón, y de cualesquiera otros controles que proceda realizar. El Departamento de Industria, Competitividad y Desarrollo Empresarial, efectuará las actuaciones necesarias para controlar el cumplimiento por los beneficiarios de los compromisos y obligaciones que hayan asumido, estando obligadas las beneficiarias a prestar la debida colaboración y apoyo al personal de la Administración encargado de realizar dicho control, aportando y facilitando la información que se considere necesaria, y sin perjuicio del control que puedan efectuar otros órganos como la Cámara de Cuentas de Aragón. Las actividades de control comprenderán tanto controles administrativos como inspecciones sobre el terreno. </w:t>
      </w:r>
    </w:p>
    <w:p w:rsidR="001425BF" w:rsidRDefault="001425BF" w:rsidP="001425BF">
      <w:pPr>
        <w:pBdr>
          <w:top w:val="nil"/>
          <w:left w:val="nil"/>
          <w:bottom w:val="nil"/>
          <w:right w:val="nil"/>
          <w:between w:val="nil"/>
        </w:pBdr>
        <w:ind w:firstLine="360"/>
        <w:jc w:val="both"/>
        <w:rPr>
          <w:rFonts w:ascii="Verdana" w:eastAsia="Verdana" w:hAnsi="Verdana" w:cs="Verdana"/>
          <w:color w:val="000000"/>
          <w:sz w:val="22"/>
          <w:szCs w:val="22"/>
        </w:rPr>
      </w:pPr>
      <w:r>
        <w:rPr>
          <w:rFonts w:ascii="Verdana" w:eastAsia="Verdana" w:hAnsi="Verdana" w:cs="Verdana"/>
          <w:color w:val="000000"/>
          <w:sz w:val="22"/>
          <w:szCs w:val="22"/>
        </w:rPr>
        <w:t>Todos los controles realizados deberán constar en el correspondiente expediente en el que se reflejará la información sobre los resultados de los controles, tanto administrativos como sobre el terreno, de modo que quede documentado que la subvención se ha otorgado correctamente y se han cumplido las exigencias establecidas en la normativa comunitaria.</w:t>
      </w:r>
    </w:p>
    <w:p w:rsidR="001425BF" w:rsidRDefault="001425BF" w:rsidP="001425BF">
      <w:pPr>
        <w:ind w:firstLine="360"/>
        <w:jc w:val="both"/>
        <w:rPr>
          <w:rFonts w:ascii="Verdana" w:eastAsia="Verdana" w:hAnsi="Verdana" w:cs="Verdana"/>
          <w:color w:val="000000"/>
          <w:sz w:val="22"/>
          <w:szCs w:val="22"/>
        </w:rPr>
      </w:pPr>
      <w:r>
        <w:rPr>
          <w:rFonts w:ascii="Verdana" w:eastAsia="Verdana" w:hAnsi="Verdana" w:cs="Verdana"/>
          <w:color w:val="000000"/>
          <w:sz w:val="22"/>
          <w:szCs w:val="22"/>
        </w:rPr>
        <w:t>2. Las Cámaras Oficiales de Comercio, Industria y Servicios, estarán obligadas a suministrar en un plazo de quince días al Departamento de Industria, Competitividad y Desarrollo Empresarial, previo requerimiento, toda la información necesaria para el cumplimiento de las obligaciones previstas en el Título II, relativo a transparencia, de la Ley 8/2015, de 25 de marzo, de Transparencia de la Actividad Pública y Participación Ciudadana de Aragón. Asimismo,</w:t>
      </w:r>
      <w:r>
        <w:rPr>
          <w:color w:val="000000"/>
        </w:rPr>
        <w:t xml:space="preserve"> </w:t>
      </w:r>
      <w:r>
        <w:rPr>
          <w:rFonts w:ascii="Verdana" w:eastAsia="Verdana" w:hAnsi="Verdana" w:cs="Verdana"/>
          <w:color w:val="000000"/>
          <w:sz w:val="22"/>
          <w:szCs w:val="22"/>
        </w:rPr>
        <w:t>los beneficiarios deberán cumplir con las obligaciones de información y publicidad de las subvenciones y ayudas percibidas en los términos y condiciones establecidos en la Ley 8/2015, de 25 de marzo, de Transparencia de la Actividad Pública y Participación Ciudadana de Aragón.</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3. Sin perjuicio de lo anterior, el seguimiento del convenio se realizará por el Consejo Rector del Plan Cameral de Competitividad de Aragón, de acuerdo con las funciones de seguimiento y desarrollo que le asigna el citado Plan.</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Corresponderá al Consejo Rector, además de las funciones que se establecen en la Ley 3/2015, de 25 de marzo, de Cámaras Oficiales de Comercio, Industria y Servicios de Aragón, las siguientes:</w:t>
      </w:r>
    </w:p>
    <w:p w:rsidR="001425BF" w:rsidRDefault="001425BF" w:rsidP="001425BF">
      <w:pPr>
        <w:ind w:left="360" w:firstLine="348"/>
        <w:rPr>
          <w:rFonts w:ascii="Verdana" w:eastAsia="Verdana" w:hAnsi="Verdana" w:cs="Verdana"/>
          <w:color w:val="000000"/>
          <w:sz w:val="22"/>
          <w:szCs w:val="22"/>
        </w:rPr>
      </w:pPr>
    </w:p>
    <w:p w:rsidR="001425BF" w:rsidRDefault="001425BF" w:rsidP="001425BF">
      <w:pPr>
        <w:numPr>
          <w:ilvl w:val="0"/>
          <w:numId w:val="7"/>
        </w:numPr>
        <w:jc w:val="both"/>
        <w:rPr>
          <w:rFonts w:ascii="Verdana" w:eastAsia="Verdana" w:hAnsi="Verdana" w:cs="Verdana"/>
          <w:color w:val="000000"/>
          <w:sz w:val="22"/>
          <w:szCs w:val="22"/>
        </w:rPr>
      </w:pPr>
      <w:r>
        <w:rPr>
          <w:rFonts w:ascii="Verdana" w:eastAsia="Verdana" w:hAnsi="Verdana" w:cs="Verdana"/>
          <w:color w:val="000000"/>
          <w:sz w:val="22"/>
          <w:szCs w:val="22"/>
        </w:rPr>
        <w:t>Vigilar y controlar el cumplimiento de este convenio sin perjuicio de las funciones de seguimiento y control de la Administración concedente de la ayuda.</w:t>
      </w:r>
    </w:p>
    <w:p w:rsidR="001425BF" w:rsidRDefault="001425BF" w:rsidP="001425BF">
      <w:pPr>
        <w:numPr>
          <w:ilvl w:val="0"/>
          <w:numId w:val="7"/>
        </w:numPr>
        <w:jc w:val="both"/>
        <w:rPr>
          <w:rFonts w:ascii="Verdana" w:eastAsia="Verdana" w:hAnsi="Verdana" w:cs="Verdana"/>
          <w:color w:val="000000"/>
          <w:sz w:val="22"/>
          <w:szCs w:val="22"/>
        </w:rPr>
      </w:pPr>
      <w:r>
        <w:rPr>
          <w:rFonts w:ascii="Verdana" w:eastAsia="Verdana" w:hAnsi="Verdana" w:cs="Verdana"/>
          <w:color w:val="000000"/>
          <w:sz w:val="22"/>
          <w:szCs w:val="22"/>
        </w:rPr>
        <w:t>Resolver los problemas de interpretación y cumplimiento que puedan plantearse respecto a las cuestiones técnicas de este convenio, sin menoscabo de las competencias que corresponden a la Administración concedente de la ayuda, conforme a la normativa aplicable en materia de subvenciones</w:t>
      </w:r>
    </w:p>
    <w:p w:rsidR="001425BF" w:rsidRDefault="001425BF" w:rsidP="001425BF">
      <w:pPr>
        <w:pBdr>
          <w:top w:val="nil"/>
          <w:left w:val="nil"/>
          <w:bottom w:val="nil"/>
          <w:right w:val="nil"/>
          <w:between w:val="nil"/>
        </w:pBd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El Consejo Rector podrá contar con la presencia de técnicos o expertos de cualquiera de las partes en temas específicos que se desarrollen en sus sesiones. </w:t>
      </w:r>
    </w:p>
    <w:p w:rsidR="001425BF" w:rsidRDefault="001425BF" w:rsidP="001425BF">
      <w:pPr>
        <w:pBdr>
          <w:top w:val="nil"/>
          <w:left w:val="nil"/>
          <w:bottom w:val="nil"/>
          <w:right w:val="nil"/>
          <w:between w:val="nil"/>
        </w:pBdr>
        <w:spacing w:before="120"/>
        <w:ind w:firstLine="360"/>
        <w:jc w:val="both"/>
        <w:rPr>
          <w:rFonts w:ascii="Verdana" w:eastAsia="Verdana" w:hAnsi="Verdana" w:cs="Verdana"/>
          <w:color w:val="000000"/>
          <w:sz w:val="22"/>
          <w:szCs w:val="22"/>
        </w:rPr>
      </w:pPr>
      <w:r>
        <w:rPr>
          <w:rFonts w:ascii="Verdana" w:eastAsia="Verdana" w:hAnsi="Verdana" w:cs="Verdana"/>
          <w:color w:val="000000"/>
          <w:sz w:val="22"/>
          <w:szCs w:val="22"/>
        </w:rPr>
        <w:t xml:space="preserve">El Consejo Rector celebrará cuantas reuniones sean precisas para realizar el seguimiento del cumplimiento de lo previsto en este convenio. </w:t>
      </w:r>
    </w:p>
    <w:p w:rsidR="001425BF" w:rsidRDefault="001425BF" w:rsidP="001425BF">
      <w:pPr>
        <w:pBdr>
          <w:top w:val="nil"/>
          <w:left w:val="nil"/>
          <w:bottom w:val="nil"/>
          <w:right w:val="nil"/>
          <w:between w:val="nil"/>
        </w:pBdr>
        <w:spacing w:before="120"/>
        <w:ind w:firstLine="36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Consejo Rector una vez suscrito este convenio, acordará un plan de trabajo que desarrolle las actividades a realizar, plan que incluirá un sistema de informes de seguimiento para los indicadores más importantes de evolución del convenio.</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4. Las Cámaras Oficiales de Comercio, Industria y Servicios se comprometen a facilitar a la Administración de la Comunidad Autónoma, en todo momento, la información necesaria para el seguimiento y evaluación de este convenio y de los objetivos y compromisos que en él se concretan.</w:t>
      </w:r>
    </w:p>
    <w:p w:rsidR="001E7837" w:rsidRDefault="001E7837" w:rsidP="001425BF">
      <w:pPr>
        <w:pBdr>
          <w:top w:val="nil"/>
          <w:left w:val="nil"/>
          <w:bottom w:val="nil"/>
          <w:right w:val="nil"/>
          <w:between w:val="nil"/>
        </w:pBdr>
        <w:spacing w:before="120"/>
        <w:jc w:val="both"/>
        <w:rPr>
          <w:rFonts w:ascii="Verdana" w:eastAsia="Verdana" w:hAnsi="Verdana" w:cs="Verdana"/>
          <w:b/>
          <w:color w:val="000000"/>
          <w:sz w:val="22"/>
          <w:szCs w:val="22"/>
        </w:rPr>
      </w:pPr>
    </w:p>
    <w:p w:rsidR="001425BF" w:rsidRDefault="001425BF" w:rsidP="001425BF">
      <w:pPr>
        <w:pBdr>
          <w:top w:val="nil"/>
          <w:left w:val="nil"/>
          <w:bottom w:val="nil"/>
          <w:right w:val="nil"/>
          <w:between w:val="nil"/>
        </w:pBdr>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t xml:space="preserve">DÉCIMA. - Incumplimiento y reintegro de la subvención. </w:t>
      </w:r>
    </w:p>
    <w:p w:rsidR="001425BF" w:rsidRDefault="001425BF" w:rsidP="001425BF">
      <w:pPr>
        <w:pBdr>
          <w:top w:val="nil"/>
          <w:left w:val="nil"/>
          <w:bottom w:val="nil"/>
          <w:right w:val="nil"/>
          <w:between w:val="nil"/>
        </w:pBdr>
        <w:ind w:firstLine="360"/>
        <w:jc w:val="both"/>
        <w:rPr>
          <w:rFonts w:ascii="Verdana" w:eastAsia="Verdana" w:hAnsi="Verdana" w:cs="Verdana"/>
          <w:color w:val="000000"/>
          <w:sz w:val="22"/>
          <w:szCs w:val="22"/>
        </w:rPr>
      </w:pPr>
      <w:r>
        <w:rPr>
          <w:rFonts w:ascii="Verdana" w:eastAsia="Verdana" w:hAnsi="Verdana" w:cs="Verdana"/>
          <w:color w:val="000000"/>
          <w:sz w:val="22"/>
          <w:szCs w:val="22"/>
        </w:rPr>
        <w:t>1. En los supuestos de incumplimiento de las obligaciones a que viene sujeto el beneficiario procederá el reintegro de las cantidades indebidamente percibidas y la exigencia del interés de demora correspondiente.</w:t>
      </w:r>
    </w:p>
    <w:p w:rsidR="001425BF" w:rsidRDefault="001425BF" w:rsidP="001425BF">
      <w:pPr>
        <w:pBdr>
          <w:top w:val="nil"/>
          <w:left w:val="nil"/>
          <w:bottom w:val="nil"/>
          <w:right w:val="nil"/>
          <w:between w:val="nil"/>
        </w:pBdr>
        <w:ind w:firstLine="360"/>
        <w:jc w:val="both"/>
        <w:rPr>
          <w:rFonts w:ascii="Verdana" w:eastAsia="Verdana" w:hAnsi="Verdana" w:cs="Verdana"/>
          <w:color w:val="000000"/>
          <w:sz w:val="22"/>
          <w:szCs w:val="22"/>
        </w:rPr>
      </w:pPr>
      <w:r>
        <w:rPr>
          <w:rFonts w:ascii="Verdana" w:eastAsia="Verdana" w:hAnsi="Verdana" w:cs="Verdana"/>
          <w:color w:val="000000"/>
          <w:sz w:val="22"/>
          <w:szCs w:val="22"/>
        </w:rPr>
        <w:t xml:space="preserve">2. El procedimiento se iniciará de oficio mediante Orden del Consejero de Industria, Competitividad y Desarrollo Empresarial, que, en su caso, concretará la continuación o suspensión de las medidas cautelares que, en su caso, se hubieran impuesto. </w:t>
      </w:r>
    </w:p>
    <w:p w:rsidR="001425BF" w:rsidRDefault="001425BF" w:rsidP="001425BF">
      <w:pPr>
        <w:pBdr>
          <w:top w:val="nil"/>
          <w:left w:val="nil"/>
          <w:bottom w:val="nil"/>
          <w:right w:val="nil"/>
          <w:between w:val="nil"/>
        </w:pBdr>
        <w:ind w:firstLine="360"/>
        <w:jc w:val="both"/>
        <w:rPr>
          <w:rFonts w:ascii="Verdana" w:eastAsia="Verdana" w:hAnsi="Verdana" w:cs="Verdana"/>
          <w:color w:val="000000"/>
          <w:sz w:val="22"/>
          <w:szCs w:val="22"/>
        </w:rPr>
      </w:pPr>
      <w:r>
        <w:rPr>
          <w:rFonts w:ascii="Verdana" w:eastAsia="Verdana" w:hAnsi="Verdana" w:cs="Verdana"/>
          <w:color w:val="000000"/>
          <w:sz w:val="22"/>
          <w:szCs w:val="22"/>
        </w:rPr>
        <w:t xml:space="preserve">3. En la tramitación del procedimiento de reintegro se estará a lo dispuesto en los artículos 48 y siguientes de la Ley 5/2015, de 25 de marzo, de Subvenciones de Aragón, garantizándose, en todo caso, el derecho del interesado a la audiencia. </w:t>
      </w:r>
    </w:p>
    <w:p w:rsidR="001425BF" w:rsidRDefault="001425BF" w:rsidP="001425BF">
      <w:pPr>
        <w:pBdr>
          <w:top w:val="nil"/>
          <w:left w:val="nil"/>
          <w:bottom w:val="nil"/>
          <w:right w:val="nil"/>
          <w:between w:val="nil"/>
        </w:pBdr>
        <w:ind w:firstLine="360"/>
        <w:jc w:val="both"/>
        <w:rPr>
          <w:rFonts w:ascii="Verdana" w:eastAsia="Verdana" w:hAnsi="Verdana" w:cs="Verdana"/>
          <w:color w:val="000000"/>
          <w:sz w:val="22"/>
          <w:szCs w:val="22"/>
        </w:rPr>
      </w:pPr>
      <w:r>
        <w:rPr>
          <w:rFonts w:ascii="Verdana" w:eastAsia="Verdana" w:hAnsi="Verdana" w:cs="Verdana"/>
          <w:color w:val="000000"/>
          <w:sz w:val="22"/>
          <w:szCs w:val="22"/>
        </w:rPr>
        <w:t>4.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previo informe de la Dirección General de Industria y PYMES, atendiendo al principio de proporcionalidad y a los siguientes criterios:</w:t>
      </w:r>
    </w:p>
    <w:p w:rsidR="001425BF" w:rsidRDefault="001425BF" w:rsidP="001425BF">
      <w:pPr>
        <w:pBdr>
          <w:top w:val="nil"/>
          <w:left w:val="nil"/>
          <w:bottom w:val="nil"/>
          <w:right w:val="nil"/>
          <w:between w:val="nil"/>
        </w:pBdr>
        <w:ind w:left="720" w:hanging="360"/>
        <w:jc w:val="both"/>
        <w:rPr>
          <w:rFonts w:ascii="Verdana" w:eastAsia="Verdana" w:hAnsi="Verdana" w:cs="Verdana"/>
          <w:color w:val="000000"/>
          <w:sz w:val="22"/>
          <w:szCs w:val="22"/>
        </w:rPr>
      </w:pPr>
      <w:r>
        <w:rPr>
          <w:rFonts w:ascii="Verdana" w:eastAsia="Verdana" w:hAnsi="Verdana" w:cs="Verdana"/>
          <w:color w:val="000000"/>
          <w:sz w:val="22"/>
          <w:szCs w:val="22"/>
        </w:rPr>
        <w:t>a) El grado de cumplimiento de la finalidad que determinó la concesión de la subvención.</w:t>
      </w:r>
    </w:p>
    <w:p w:rsidR="001425BF" w:rsidRDefault="001425BF" w:rsidP="001425BF">
      <w:pPr>
        <w:pBdr>
          <w:top w:val="nil"/>
          <w:left w:val="nil"/>
          <w:bottom w:val="nil"/>
          <w:right w:val="nil"/>
          <w:between w:val="nil"/>
        </w:pBdr>
        <w:ind w:left="709" w:hanging="360"/>
        <w:jc w:val="both"/>
        <w:rPr>
          <w:rFonts w:ascii="Verdana" w:eastAsia="Verdana" w:hAnsi="Verdana" w:cs="Verdana"/>
          <w:color w:val="000000"/>
          <w:sz w:val="22"/>
          <w:szCs w:val="22"/>
        </w:rPr>
      </w:pPr>
      <w:r>
        <w:rPr>
          <w:rFonts w:ascii="Verdana" w:eastAsia="Verdana" w:hAnsi="Verdana" w:cs="Verdana"/>
          <w:color w:val="000000"/>
          <w:sz w:val="22"/>
          <w:szCs w:val="22"/>
        </w:rPr>
        <w:t>b) El importe de la subvención efectivamente aplicado a la actuación subvencionada.</w:t>
      </w:r>
    </w:p>
    <w:p w:rsidR="001425BF" w:rsidRDefault="001425BF" w:rsidP="001425BF">
      <w:pPr>
        <w:pBdr>
          <w:top w:val="nil"/>
          <w:left w:val="nil"/>
          <w:bottom w:val="nil"/>
          <w:right w:val="nil"/>
          <w:between w:val="nil"/>
        </w:pBdr>
        <w:ind w:left="720" w:hanging="360"/>
        <w:jc w:val="both"/>
        <w:rPr>
          <w:rFonts w:ascii="Verdana" w:eastAsia="Verdana" w:hAnsi="Verdana" w:cs="Verdana"/>
          <w:color w:val="000000"/>
          <w:sz w:val="22"/>
          <w:szCs w:val="22"/>
        </w:rPr>
      </w:pPr>
      <w:r>
        <w:rPr>
          <w:rFonts w:ascii="Verdana" w:eastAsia="Verdana" w:hAnsi="Verdana" w:cs="Verdana"/>
          <w:color w:val="000000"/>
          <w:sz w:val="22"/>
          <w:szCs w:val="22"/>
        </w:rPr>
        <w:t>c) El nivel o número de fases o periodos ejecutados, en aquellos supuestos en los que la ejecución de la actuación subvencionada tuviese un carácter periódico.</w:t>
      </w:r>
    </w:p>
    <w:p w:rsidR="001425BF" w:rsidRDefault="001425BF" w:rsidP="001425BF">
      <w:pPr>
        <w:pBdr>
          <w:top w:val="nil"/>
          <w:left w:val="nil"/>
          <w:bottom w:val="nil"/>
          <w:right w:val="nil"/>
          <w:between w:val="nil"/>
        </w:pBdr>
        <w:ind w:left="720" w:hanging="360"/>
        <w:jc w:val="both"/>
        <w:rPr>
          <w:rFonts w:ascii="Verdana" w:eastAsia="Verdana" w:hAnsi="Verdana" w:cs="Verdana"/>
          <w:color w:val="000000"/>
          <w:sz w:val="22"/>
          <w:szCs w:val="22"/>
        </w:rPr>
      </w:pPr>
      <w:r>
        <w:rPr>
          <w:rFonts w:ascii="Verdana" w:eastAsia="Verdana" w:hAnsi="Verdana" w:cs="Verdana"/>
          <w:color w:val="000000"/>
          <w:sz w:val="22"/>
          <w:szCs w:val="22"/>
        </w:rPr>
        <w:t>d) Cualquier otro criterio que deba ser apreciado según las circunstancias del caso concreto y la naturaleza de la subvención.</w:t>
      </w:r>
    </w:p>
    <w:p w:rsidR="001425BF" w:rsidRDefault="001425BF" w:rsidP="001425BF">
      <w:pPr>
        <w:pBdr>
          <w:top w:val="nil"/>
          <w:left w:val="nil"/>
          <w:bottom w:val="nil"/>
          <w:right w:val="nil"/>
          <w:between w:val="nil"/>
        </w:pBdr>
        <w:spacing w:before="120"/>
        <w:ind w:firstLine="567"/>
        <w:jc w:val="both"/>
        <w:rPr>
          <w:rFonts w:ascii="Verdana" w:eastAsia="Verdana" w:hAnsi="Verdana" w:cs="Verdana"/>
          <w:color w:val="000000"/>
          <w:sz w:val="22"/>
          <w:szCs w:val="22"/>
        </w:rPr>
      </w:pPr>
    </w:p>
    <w:p w:rsidR="001425BF" w:rsidRDefault="001425BF" w:rsidP="001425BF">
      <w:pPr>
        <w:pBdr>
          <w:top w:val="nil"/>
          <w:left w:val="nil"/>
          <w:bottom w:val="nil"/>
          <w:right w:val="nil"/>
          <w:between w:val="nil"/>
        </w:pBdr>
        <w:spacing w:before="120"/>
        <w:jc w:val="both"/>
        <w:rPr>
          <w:rFonts w:ascii="Verdana" w:eastAsia="Verdana" w:hAnsi="Verdana" w:cs="Verdana"/>
          <w:b/>
          <w:color w:val="000000"/>
          <w:sz w:val="22"/>
          <w:szCs w:val="22"/>
        </w:rPr>
      </w:pPr>
      <w:r>
        <w:rPr>
          <w:rFonts w:ascii="Verdana" w:eastAsia="Verdana" w:hAnsi="Verdana" w:cs="Verdana"/>
          <w:b/>
          <w:color w:val="000000"/>
          <w:sz w:val="22"/>
          <w:szCs w:val="22"/>
        </w:rPr>
        <w:t xml:space="preserve">UNDÉCIMA. -Información y Publicidad. </w:t>
      </w:r>
    </w:p>
    <w:p w:rsidR="001425BF" w:rsidRDefault="001425BF" w:rsidP="001425BF">
      <w:pPr>
        <w:spacing w:before="120"/>
        <w:ind w:firstLine="709"/>
        <w:jc w:val="both"/>
        <w:rPr>
          <w:rFonts w:ascii="Verdana" w:eastAsia="Verdana" w:hAnsi="Verdana" w:cs="Verdana"/>
          <w:color w:val="000000"/>
          <w:sz w:val="22"/>
          <w:szCs w:val="22"/>
        </w:rPr>
      </w:pPr>
      <w:r>
        <w:rPr>
          <w:rFonts w:ascii="Verdana" w:eastAsia="Verdana" w:hAnsi="Verdana" w:cs="Verdana"/>
          <w:color w:val="000000"/>
          <w:sz w:val="22"/>
          <w:szCs w:val="22"/>
        </w:rPr>
        <w:t>El Departamento de Industria, Competitividad y Desarrollo Empresarial, dará cumplimento a las obligaciones de información y publicidad que se derivan del artículo 18 de la Ley 8/2015, de 25 de marzo, de Transparencia de la Actividad Pública y Participación, y las que pudieran derivarse de la Ley de Presupuestos de la Comunidad Autónoma de Aragón, a través del portal de tranparencia.aragon.es</w:t>
      </w:r>
    </w:p>
    <w:p w:rsidR="001425BF" w:rsidRDefault="001425BF" w:rsidP="001425BF">
      <w:pPr>
        <w:rPr>
          <w:rFonts w:ascii="Verdana" w:eastAsia="Verdana" w:hAnsi="Verdana" w:cs="Verdana"/>
          <w:b/>
          <w:color w:val="000000"/>
          <w:sz w:val="22"/>
          <w:szCs w:val="22"/>
        </w:rPr>
      </w:pPr>
    </w:p>
    <w:p w:rsidR="001425BF" w:rsidRDefault="001425BF" w:rsidP="001425BF">
      <w:pPr>
        <w:rPr>
          <w:rFonts w:ascii="Verdana" w:eastAsia="Verdana" w:hAnsi="Verdana" w:cs="Verdana"/>
          <w:b/>
          <w:color w:val="000000"/>
          <w:sz w:val="22"/>
          <w:szCs w:val="22"/>
        </w:rPr>
      </w:pPr>
      <w:r>
        <w:rPr>
          <w:rFonts w:ascii="Verdana" w:eastAsia="Verdana" w:hAnsi="Verdana" w:cs="Verdana"/>
          <w:b/>
          <w:color w:val="000000"/>
          <w:sz w:val="22"/>
          <w:szCs w:val="22"/>
        </w:rPr>
        <w:t>DECIMOSEGUNDA. - Vigencia del convenio.</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Este convenio estará vigente desde la fecha de su firma hasta el 31 de diciembre de 2023, sin perjuicio de lo establecido en este convenio para la justificación efectiva de los gastos del mes de octubre, noviembre y diciembre durante los dos primeros meses del año siguiente y sin perjuicio de lo dispuesto en la cláusula séptima sobre el periodo de los gastos subvencionables.</w:t>
      </w:r>
    </w:p>
    <w:p w:rsidR="001425BF" w:rsidRDefault="001425BF" w:rsidP="001425BF">
      <w:pPr>
        <w:rPr>
          <w:rFonts w:ascii="Verdana" w:eastAsia="Verdana" w:hAnsi="Verdana" w:cs="Verdana"/>
          <w:b/>
          <w:color w:val="000000"/>
          <w:sz w:val="22"/>
          <w:szCs w:val="22"/>
        </w:rPr>
      </w:pPr>
    </w:p>
    <w:p w:rsidR="001425BF" w:rsidRDefault="001425BF" w:rsidP="001425BF">
      <w:pPr>
        <w:rPr>
          <w:rFonts w:ascii="Verdana" w:eastAsia="Verdana" w:hAnsi="Verdana" w:cs="Verdana"/>
          <w:b/>
          <w:color w:val="000000"/>
          <w:sz w:val="22"/>
          <w:szCs w:val="22"/>
        </w:rPr>
      </w:pPr>
      <w:r>
        <w:rPr>
          <w:rFonts w:ascii="Verdana" w:eastAsia="Verdana" w:hAnsi="Verdana" w:cs="Verdana"/>
          <w:b/>
          <w:color w:val="000000"/>
          <w:sz w:val="22"/>
          <w:szCs w:val="22"/>
        </w:rPr>
        <w:t>DECIMOTERCERA. - Modificación y prórroga.</w:t>
      </w:r>
    </w:p>
    <w:p w:rsidR="001425BF" w:rsidRDefault="001425BF" w:rsidP="001425BF">
      <w:pPr>
        <w:widowControl w:val="0"/>
        <w:spacing w:before="160" w:after="80"/>
        <w:ind w:firstLine="567"/>
        <w:jc w:val="both"/>
        <w:rPr>
          <w:rFonts w:ascii="Verdana" w:eastAsia="Verdana" w:hAnsi="Verdana" w:cs="Verdana"/>
          <w:color w:val="000000"/>
          <w:sz w:val="22"/>
          <w:szCs w:val="22"/>
        </w:rPr>
      </w:pPr>
      <w:r>
        <w:rPr>
          <w:rFonts w:ascii="Verdana" w:eastAsia="Verdana" w:hAnsi="Verdana" w:cs="Verdana"/>
          <w:color w:val="000000"/>
          <w:sz w:val="22"/>
          <w:szCs w:val="22"/>
        </w:rPr>
        <w:t>1. De conformidad con el artículo 16.2 de la Ley General de Subvenciones, este convenio podrá modificarse mediante la firma de la correspondiente adenda y previos los trámites oportunos.</w:t>
      </w:r>
    </w:p>
    <w:p w:rsidR="001425BF" w:rsidRDefault="001425BF" w:rsidP="001425BF">
      <w:pPr>
        <w:widowControl w:val="0"/>
        <w:spacing w:before="160" w:after="80"/>
        <w:ind w:firstLine="567"/>
        <w:jc w:val="both"/>
        <w:rPr>
          <w:rFonts w:ascii="Verdana" w:eastAsia="Verdana" w:hAnsi="Verdana" w:cs="Verdana"/>
          <w:color w:val="000000"/>
          <w:sz w:val="22"/>
          <w:szCs w:val="22"/>
        </w:rPr>
      </w:pPr>
      <w:r>
        <w:rPr>
          <w:rFonts w:ascii="Verdana" w:eastAsia="Verdana" w:hAnsi="Verdana" w:cs="Verdana"/>
          <w:color w:val="000000"/>
          <w:sz w:val="22"/>
          <w:szCs w:val="22"/>
        </w:rPr>
        <w:t>2. Este convenio se podrá prorrogar en caso de que se ampliara la dotación presupuestaria para esta misma finalidad, así como en el caso de que no hayan concluido las actuaciones objeto del presente convenio y en todo caso por acuerdo expreso de las partes y con los límites temporales establecidos en la normativa vigente.</w:t>
      </w:r>
    </w:p>
    <w:p w:rsidR="001425BF" w:rsidRDefault="001425BF" w:rsidP="001425BF">
      <w:pPr>
        <w:widowControl w:val="0"/>
        <w:spacing w:before="160" w:after="80" w:line="288" w:lineRule="auto"/>
        <w:jc w:val="both"/>
        <w:rPr>
          <w:rFonts w:ascii="Arial" w:eastAsia="Arial" w:hAnsi="Arial" w:cs="Arial"/>
          <w:color w:val="000000"/>
          <w:sz w:val="22"/>
          <w:szCs w:val="22"/>
        </w:rPr>
      </w:pPr>
    </w:p>
    <w:p w:rsidR="001425BF" w:rsidRDefault="001425BF" w:rsidP="001425BF">
      <w:pPr>
        <w:jc w:val="both"/>
        <w:rPr>
          <w:rFonts w:ascii="Arial" w:eastAsia="Arial" w:hAnsi="Arial" w:cs="Arial"/>
          <w:b/>
          <w:color w:val="000000"/>
          <w:sz w:val="22"/>
          <w:szCs w:val="22"/>
        </w:rPr>
      </w:pPr>
      <w:r>
        <w:rPr>
          <w:rFonts w:ascii="Verdana" w:eastAsia="Verdana" w:hAnsi="Verdana" w:cs="Verdana"/>
          <w:b/>
          <w:color w:val="000000"/>
          <w:sz w:val="22"/>
          <w:szCs w:val="22"/>
        </w:rPr>
        <w:t>DECIMOCUARTA. –Custodia de los datos y documentación y protección de datos.</w:t>
      </w:r>
      <w:r>
        <w:rPr>
          <w:rFonts w:ascii="Arial" w:eastAsia="Arial" w:hAnsi="Arial" w:cs="Arial"/>
          <w:b/>
          <w:color w:val="000000"/>
          <w:sz w:val="22"/>
          <w:szCs w:val="22"/>
        </w:rPr>
        <w:t xml:space="preserve"> </w:t>
      </w:r>
    </w:p>
    <w:p w:rsidR="001425BF" w:rsidRDefault="001425BF" w:rsidP="001425BF">
      <w:pPr>
        <w:widowControl w:val="0"/>
        <w:spacing w:before="160" w:after="80"/>
        <w:ind w:firstLine="567"/>
        <w:jc w:val="both"/>
        <w:rPr>
          <w:rFonts w:ascii="Verdana" w:eastAsia="Verdana" w:hAnsi="Verdana" w:cs="Verdana"/>
          <w:color w:val="000000"/>
          <w:sz w:val="22"/>
          <w:szCs w:val="22"/>
        </w:rPr>
      </w:pPr>
      <w:r>
        <w:rPr>
          <w:rFonts w:ascii="Verdana" w:eastAsia="Verdana" w:hAnsi="Verdana" w:cs="Verdana"/>
          <w:color w:val="000000"/>
          <w:sz w:val="22"/>
          <w:szCs w:val="22"/>
        </w:rPr>
        <w:t>Las Cámaras de Comercio se comprometen a almacenar adecuadamente los datos y la documentación, con todas las garantías de confidencialidad y seguridad, en formato papel o digital, y a su custodia, y no podrán utilizarla para otros fines que no sean los de este convenio.</w:t>
      </w:r>
    </w:p>
    <w:p w:rsidR="001425BF" w:rsidRDefault="001425BF" w:rsidP="001425BF">
      <w:pPr>
        <w:widowControl w:val="0"/>
        <w:spacing w:before="160" w:after="80"/>
        <w:ind w:firstLine="567"/>
        <w:jc w:val="both"/>
        <w:rPr>
          <w:rFonts w:ascii="Verdana" w:eastAsia="Verdana" w:hAnsi="Verdana" w:cs="Verdana"/>
          <w:color w:val="000000"/>
          <w:sz w:val="22"/>
          <w:szCs w:val="22"/>
        </w:rPr>
      </w:pPr>
      <w:r>
        <w:rPr>
          <w:rFonts w:ascii="Verdana" w:eastAsia="Verdana" w:hAnsi="Verdana" w:cs="Verdana"/>
          <w:color w:val="000000"/>
          <w:sz w:val="22"/>
          <w:szCs w:val="22"/>
        </w:rPr>
        <w:t>Estos requisitos se trasladarán, en su caso, a las condiciones de contratación con todas aquellas personas y empresas relacionadas con las acciones de este convenio.</w:t>
      </w:r>
    </w:p>
    <w:p w:rsidR="001425BF" w:rsidRDefault="001425BF" w:rsidP="001425BF">
      <w:pPr>
        <w:widowControl w:val="0"/>
        <w:spacing w:before="160" w:after="80"/>
        <w:ind w:firstLine="567"/>
        <w:jc w:val="both"/>
        <w:rPr>
          <w:rFonts w:ascii="Verdana" w:eastAsia="Verdana" w:hAnsi="Verdana" w:cs="Verdana"/>
          <w:color w:val="000000"/>
          <w:sz w:val="22"/>
          <w:szCs w:val="22"/>
        </w:rPr>
      </w:pPr>
      <w:r>
        <w:rPr>
          <w:rFonts w:ascii="Verdana" w:eastAsia="Verdana" w:hAnsi="Verdana" w:cs="Verdana"/>
          <w:color w:val="000000"/>
          <w:sz w:val="22"/>
          <w:szCs w:val="22"/>
        </w:rPr>
        <w:t>Asimismo, las partes firmantes se comprometen a cumplir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y en la Ley Orgánica 3/2018, de 5 de diciembre, de Protección de Datos Personales y garantía de los derechos digitales.</w:t>
      </w:r>
    </w:p>
    <w:p w:rsidR="001425BF" w:rsidRDefault="001425BF" w:rsidP="001425BF">
      <w:pPr>
        <w:widowControl w:val="0"/>
        <w:spacing w:before="160" w:after="80"/>
        <w:ind w:firstLine="567"/>
        <w:jc w:val="both"/>
        <w:rPr>
          <w:rFonts w:ascii="Verdana" w:eastAsia="Verdana" w:hAnsi="Verdana" w:cs="Verdana"/>
          <w:color w:val="000000"/>
          <w:sz w:val="22"/>
          <w:szCs w:val="22"/>
        </w:rPr>
      </w:pPr>
    </w:p>
    <w:p w:rsidR="001425BF" w:rsidRPr="001703B8" w:rsidRDefault="001425BF" w:rsidP="001425BF">
      <w:pPr>
        <w:jc w:val="both"/>
        <w:rPr>
          <w:rFonts w:ascii="Verdana" w:eastAsia="Verdana" w:hAnsi="Verdana" w:cs="Verdana"/>
          <w:b/>
          <w:i/>
          <w:sz w:val="22"/>
          <w:szCs w:val="22"/>
        </w:rPr>
      </w:pPr>
      <w:r w:rsidRPr="001703B8">
        <w:rPr>
          <w:rFonts w:ascii="Verdana" w:eastAsia="Verdana" w:hAnsi="Verdana" w:cs="Verdana"/>
          <w:b/>
          <w:sz w:val="22"/>
          <w:szCs w:val="22"/>
        </w:rPr>
        <w:t>DECIMOQUINTA</w:t>
      </w:r>
      <w:r w:rsidRPr="001703B8">
        <w:rPr>
          <w:rFonts w:ascii="Verdana" w:eastAsia="Verdana" w:hAnsi="Verdana" w:cs="Verdana"/>
          <w:b/>
          <w:i/>
          <w:sz w:val="22"/>
          <w:szCs w:val="22"/>
        </w:rPr>
        <w:t xml:space="preserve">. – </w:t>
      </w:r>
      <w:r w:rsidRPr="001703B8">
        <w:rPr>
          <w:rFonts w:ascii="Verdana" w:eastAsia="Verdana" w:hAnsi="Verdana" w:cs="Verdana"/>
          <w:b/>
          <w:sz w:val="22"/>
          <w:szCs w:val="22"/>
        </w:rPr>
        <w:t>Presentación de resultados de 2023 y remisión de objetivos para la elaboración del convenio de 2024</w:t>
      </w:r>
      <w:r w:rsidRPr="001703B8">
        <w:rPr>
          <w:rFonts w:ascii="Verdana" w:eastAsia="Verdana" w:hAnsi="Verdana" w:cs="Verdana"/>
          <w:b/>
          <w:i/>
          <w:sz w:val="22"/>
          <w:szCs w:val="22"/>
        </w:rPr>
        <w:t xml:space="preserve">. </w:t>
      </w:r>
    </w:p>
    <w:p w:rsidR="001425BF" w:rsidRPr="001703B8" w:rsidRDefault="001425BF" w:rsidP="001425BF">
      <w:pPr>
        <w:widowControl w:val="0"/>
        <w:spacing w:before="160" w:after="80"/>
        <w:ind w:firstLine="567"/>
        <w:jc w:val="both"/>
        <w:rPr>
          <w:rFonts w:ascii="Verdana" w:eastAsia="Verdana" w:hAnsi="Verdana" w:cs="Verdana"/>
          <w:sz w:val="22"/>
          <w:szCs w:val="22"/>
        </w:rPr>
      </w:pPr>
      <w:r>
        <w:rPr>
          <w:rFonts w:ascii="Verdana" w:eastAsia="Verdana" w:hAnsi="Verdana" w:cs="Verdana"/>
          <w:sz w:val="22"/>
          <w:szCs w:val="22"/>
        </w:rPr>
        <w:t>En</w:t>
      </w:r>
      <w:r w:rsidRPr="001703B8">
        <w:rPr>
          <w:rFonts w:ascii="Verdana" w:eastAsia="Verdana" w:hAnsi="Verdana" w:cs="Verdana"/>
          <w:sz w:val="22"/>
          <w:szCs w:val="22"/>
        </w:rPr>
        <w:t xml:space="preserve"> el primer trimestre de 2024 se realizará una presentación por las Cámaras de los resultados del año 2023, incluyendo en dicha presentación a empresas que hayan participado de los servicios prestados en ese ejercicio.</w:t>
      </w:r>
    </w:p>
    <w:p w:rsidR="001425BF" w:rsidRPr="001703B8" w:rsidRDefault="001425BF" w:rsidP="001425BF">
      <w:pPr>
        <w:widowControl w:val="0"/>
        <w:spacing w:before="160" w:after="80"/>
        <w:ind w:firstLine="567"/>
        <w:jc w:val="both"/>
        <w:rPr>
          <w:rFonts w:ascii="Verdana" w:eastAsia="Verdana" w:hAnsi="Verdana" w:cs="Verdana"/>
          <w:sz w:val="22"/>
          <w:szCs w:val="22"/>
        </w:rPr>
      </w:pPr>
      <w:r w:rsidRPr="001703B8">
        <w:rPr>
          <w:rFonts w:ascii="Verdana" w:eastAsia="Verdana" w:hAnsi="Verdana" w:cs="Verdana"/>
          <w:sz w:val="22"/>
          <w:szCs w:val="22"/>
        </w:rPr>
        <w:t>Antes del 31 de diciembre de 2023 se remitirán al Servicio de Apoyo a PYME los objetivos propuestos por cada Cámara para el convenio del año 2024.</w:t>
      </w:r>
    </w:p>
    <w:p w:rsidR="001425BF" w:rsidRPr="001703B8" w:rsidRDefault="001425BF" w:rsidP="001425BF">
      <w:pPr>
        <w:widowControl w:val="0"/>
        <w:spacing w:before="160" w:after="80"/>
        <w:ind w:firstLine="567"/>
        <w:jc w:val="both"/>
        <w:rPr>
          <w:rFonts w:ascii="Verdana" w:eastAsia="Verdana" w:hAnsi="Verdana" w:cs="Verdana"/>
          <w:sz w:val="22"/>
          <w:szCs w:val="22"/>
        </w:rPr>
      </w:pPr>
    </w:p>
    <w:p w:rsidR="001425BF" w:rsidRDefault="001425BF" w:rsidP="001425BF">
      <w:pPr>
        <w:rPr>
          <w:rFonts w:ascii="Verdana" w:eastAsia="Verdana" w:hAnsi="Verdana" w:cs="Verdana"/>
          <w:i/>
          <w:color w:val="000000"/>
          <w:sz w:val="22"/>
          <w:szCs w:val="22"/>
        </w:rPr>
      </w:pPr>
      <w:r>
        <w:rPr>
          <w:rFonts w:ascii="Verdana" w:eastAsia="Verdana" w:hAnsi="Verdana" w:cs="Verdana"/>
          <w:b/>
          <w:color w:val="000000"/>
          <w:sz w:val="22"/>
          <w:szCs w:val="22"/>
        </w:rPr>
        <w:t>DECIMOSEXTA</w:t>
      </w:r>
      <w:r>
        <w:rPr>
          <w:rFonts w:ascii="Verdana" w:eastAsia="Verdana" w:hAnsi="Verdana" w:cs="Verdana"/>
          <w:i/>
          <w:color w:val="000000"/>
          <w:sz w:val="22"/>
          <w:szCs w:val="22"/>
        </w:rPr>
        <w:t xml:space="preserve">. - </w:t>
      </w:r>
      <w:r>
        <w:rPr>
          <w:rFonts w:ascii="Verdana" w:eastAsia="Verdana" w:hAnsi="Verdana" w:cs="Verdana"/>
          <w:b/>
          <w:color w:val="000000"/>
          <w:sz w:val="22"/>
          <w:szCs w:val="22"/>
        </w:rPr>
        <w:t>Normativa aplicable</w:t>
      </w:r>
      <w:r>
        <w:rPr>
          <w:rFonts w:ascii="Verdana" w:eastAsia="Verdana" w:hAnsi="Verdana" w:cs="Verdana"/>
          <w:i/>
          <w:color w:val="000000"/>
          <w:sz w:val="22"/>
          <w:szCs w:val="22"/>
        </w:rPr>
        <w:t>.</w:t>
      </w:r>
    </w:p>
    <w:p w:rsidR="001425BF" w:rsidRDefault="001425BF" w:rsidP="001425BF">
      <w:pPr>
        <w:spacing w:before="120"/>
        <w:ind w:firstLine="357"/>
        <w:jc w:val="both"/>
        <w:rPr>
          <w:rFonts w:ascii="Verdana" w:eastAsia="Verdana" w:hAnsi="Verdana" w:cs="Verdana"/>
          <w:strike/>
          <w:color w:val="000000"/>
          <w:sz w:val="22"/>
          <w:szCs w:val="22"/>
        </w:rPr>
      </w:pPr>
      <w:r>
        <w:rPr>
          <w:rFonts w:ascii="Verdana" w:eastAsia="Verdana" w:hAnsi="Verdana" w:cs="Verdana"/>
          <w:color w:val="000000"/>
          <w:sz w:val="22"/>
          <w:szCs w:val="22"/>
        </w:rPr>
        <w:t xml:space="preserve">Sin perjuicio de cualquier otra normativa que resulte aplicable, será de aplicación a este convenio la Ley 38/2003, de 17 de noviembre, General de Subvenciones; el Reglamento de la Ley 38/2003, de 17 de noviembre, General de Subvenciones, aprobado por Real Decreto 887/2006, de 21 de julio; La Ley 5/2015, de 25 de marzo, de Subvenciones de Aragón; la Ley 4/1998, de 8 de abril, de Medidas Fiscales, Financieras, de Patrimonio y Administrativas; La Ley 19/2013, de 9 de diciembre, de Transparencia, Acceso a La Información Pública y Buen Gobierno; la Ley 8/2015, de </w:t>
      </w:r>
      <w:r>
        <w:rPr>
          <w:rFonts w:ascii="Verdana" w:eastAsia="Verdana" w:hAnsi="Verdana" w:cs="Verdana"/>
          <w:color w:val="000000"/>
          <w:sz w:val="22"/>
          <w:szCs w:val="22"/>
        </w:rPr>
        <w:lastRenderedPageBreak/>
        <w:t>25 de marzo, de Transparencia de la Actividad Pública y Participación Ciudadana de Aragón; el Decreto 186/1993, de 3 de noviembre, de la Diputación General de Aragón, sobre pago de subvenciones concedidas con cargo a los Presupuestos de la Comunidad Autónoma de Aragón; la Ley 39/2015, de 1 de octubre, del Procedimiento Administrativo Común d</w:t>
      </w:r>
      <w:r w:rsidR="008411F1">
        <w:rPr>
          <w:rFonts w:ascii="Verdana" w:eastAsia="Verdana" w:hAnsi="Verdana" w:cs="Verdana"/>
          <w:color w:val="000000"/>
          <w:sz w:val="22"/>
          <w:szCs w:val="22"/>
        </w:rPr>
        <w:t>e las Administraciones Públicas</w:t>
      </w:r>
      <w:r>
        <w:rPr>
          <w:rFonts w:ascii="Verdana" w:eastAsia="Verdana" w:hAnsi="Verdana" w:cs="Verdana"/>
          <w:color w:val="000000"/>
          <w:sz w:val="22"/>
          <w:szCs w:val="22"/>
        </w:rPr>
        <w:t xml:space="preserve"> y la </w:t>
      </w:r>
      <w:r w:rsidR="00F124E8">
        <w:rPr>
          <w:rFonts w:ascii="Verdana" w:eastAsia="Verdana" w:hAnsi="Verdana" w:cs="Verdana"/>
          <w:color w:val="000000"/>
          <w:sz w:val="22"/>
          <w:szCs w:val="22"/>
        </w:rPr>
        <w:t>Ley 8/2022, de 29 de diciembre</w:t>
      </w:r>
      <w:r>
        <w:rPr>
          <w:rFonts w:ascii="Verdana" w:eastAsia="Verdana" w:hAnsi="Verdana" w:cs="Verdana"/>
          <w:color w:val="000000"/>
          <w:sz w:val="22"/>
          <w:szCs w:val="22"/>
        </w:rPr>
        <w:t xml:space="preserve">, de Presupuestos de la Comunidad Autónoma de Aragón para el ejercicio 2023. </w:t>
      </w:r>
    </w:p>
    <w:p w:rsidR="001425BF" w:rsidRDefault="001425BF" w:rsidP="001425BF">
      <w:pPr>
        <w:rPr>
          <w:rFonts w:ascii="Verdana" w:eastAsia="Verdana" w:hAnsi="Verdana" w:cs="Verdana"/>
          <w:b/>
          <w:color w:val="000000"/>
          <w:sz w:val="22"/>
          <w:szCs w:val="22"/>
        </w:rPr>
      </w:pPr>
    </w:p>
    <w:p w:rsidR="001425BF" w:rsidRDefault="001425BF" w:rsidP="001425BF">
      <w:pPr>
        <w:rPr>
          <w:rFonts w:ascii="Verdana" w:eastAsia="Verdana" w:hAnsi="Verdana" w:cs="Verdana"/>
          <w:b/>
          <w:color w:val="000000"/>
          <w:sz w:val="22"/>
          <w:szCs w:val="22"/>
        </w:rPr>
      </w:pPr>
    </w:p>
    <w:p w:rsidR="001425BF" w:rsidRDefault="001425BF" w:rsidP="001425BF">
      <w:pPr>
        <w:rPr>
          <w:rFonts w:ascii="Verdana" w:eastAsia="Verdana" w:hAnsi="Verdana" w:cs="Verdana"/>
          <w:b/>
          <w:color w:val="000000"/>
          <w:sz w:val="22"/>
          <w:szCs w:val="22"/>
        </w:rPr>
      </w:pPr>
      <w:r>
        <w:rPr>
          <w:rFonts w:ascii="Verdana" w:eastAsia="Verdana" w:hAnsi="Verdana" w:cs="Verdana"/>
          <w:b/>
          <w:color w:val="000000"/>
          <w:sz w:val="22"/>
          <w:szCs w:val="22"/>
        </w:rPr>
        <w:t>DECIMOSÉPTIMA. — Naturaleza jurídica y jurisd</w:t>
      </w:r>
      <w:bookmarkStart w:id="2" w:name="_GoBack"/>
      <w:bookmarkEnd w:id="2"/>
      <w:r>
        <w:rPr>
          <w:rFonts w:ascii="Verdana" w:eastAsia="Verdana" w:hAnsi="Verdana" w:cs="Verdana"/>
          <w:b/>
          <w:color w:val="000000"/>
          <w:sz w:val="22"/>
          <w:szCs w:val="22"/>
        </w:rPr>
        <w:t>icción competente.</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1. Este convenio, que tiene naturaleza administrativa, constituye el instrumento por el que se canaliza la concesión directa de las subvenciones a las Cámaras Oficiales de Comercio, Industria y Servicios aragonesas, encontrando su fundamento en el artículo 22.2.a) de la Ley 38/2003, de 17 de noviembre, General de Subvenciones, y en el artículo 14.5. a) de la Ley 5/2015, de 25 de marzo, de Subvenciones de Aragón.</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2. 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1425BF" w:rsidRDefault="001425BF" w:rsidP="001425BF">
      <w:pPr>
        <w:spacing w:before="120"/>
        <w:ind w:firstLine="357"/>
        <w:jc w:val="both"/>
        <w:rPr>
          <w:rFonts w:ascii="Verdana" w:eastAsia="Verdana" w:hAnsi="Verdana" w:cs="Verdana"/>
          <w:color w:val="000000"/>
          <w:sz w:val="22"/>
          <w:szCs w:val="22"/>
        </w:rPr>
      </w:pPr>
      <w:r>
        <w:rPr>
          <w:rFonts w:ascii="Verdana" w:eastAsia="Verdana" w:hAnsi="Verdana" w:cs="Verdana"/>
          <w:color w:val="000000"/>
          <w:sz w:val="22"/>
          <w:szCs w:val="22"/>
        </w:rPr>
        <w:t>3. Las partes, con renuncia expresa al fuero que les pudiera corresponder, se someten a la jurisdicción y competencia de los juzgados y tribunales de la ciudad de Zaragoza.</w:t>
      </w:r>
    </w:p>
    <w:p w:rsidR="001425BF" w:rsidRDefault="001425BF" w:rsidP="001425BF">
      <w:pPr>
        <w:jc w:val="both"/>
        <w:rPr>
          <w:rFonts w:ascii="Verdana" w:eastAsia="Verdana" w:hAnsi="Verdana" w:cs="Verdana"/>
          <w:color w:val="000000"/>
          <w:sz w:val="22"/>
          <w:szCs w:val="22"/>
        </w:rPr>
      </w:pPr>
    </w:p>
    <w:p w:rsidR="001425BF" w:rsidRDefault="001425BF" w:rsidP="001425BF">
      <w:pPr>
        <w:ind w:firstLine="357"/>
        <w:jc w:val="both"/>
        <w:rPr>
          <w:rFonts w:ascii="Verdana" w:eastAsia="Verdana" w:hAnsi="Verdana" w:cs="Verdana"/>
          <w:color w:val="000000"/>
          <w:sz w:val="22"/>
          <w:szCs w:val="22"/>
        </w:rPr>
      </w:pPr>
      <w:r>
        <w:rPr>
          <w:rFonts w:ascii="Verdana" w:eastAsia="Verdana" w:hAnsi="Verdana" w:cs="Verdana"/>
          <w:color w:val="000000"/>
          <w:sz w:val="22"/>
          <w:szCs w:val="22"/>
        </w:rPr>
        <w:t xml:space="preserve">En prueba de conformidad, firman electrónicamente este documento, entendiéndose que con esta firma la parte beneficiaria acepta la subvención y todas y cada una de las condiciones expresadas en este convenio y en la normativa aplicable a las subvenciones otorgadas por la Administración de la Comunidad Autónoma de Aragón. </w:t>
      </w:r>
    </w:p>
    <w:p w:rsidR="001425BF" w:rsidRDefault="001425BF" w:rsidP="001425BF">
      <w:pPr>
        <w:pBdr>
          <w:top w:val="nil"/>
          <w:left w:val="nil"/>
          <w:bottom w:val="nil"/>
          <w:right w:val="nil"/>
          <w:between w:val="nil"/>
        </w:pBdr>
        <w:jc w:val="center"/>
        <w:rPr>
          <w:rFonts w:ascii="Verdana" w:eastAsia="Verdana" w:hAnsi="Verdana" w:cs="Verdana"/>
          <w:color w:val="000000"/>
          <w:sz w:val="22"/>
          <w:szCs w:val="22"/>
        </w:rPr>
      </w:pPr>
    </w:p>
    <w:p w:rsidR="001425BF" w:rsidRDefault="001425BF" w:rsidP="001425BF">
      <w:pPr>
        <w:pBdr>
          <w:top w:val="nil"/>
          <w:left w:val="nil"/>
          <w:bottom w:val="nil"/>
          <w:right w:val="nil"/>
          <w:between w:val="nil"/>
        </w:pBdr>
        <w:jc w:val="cente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El Consejero de Industria, Competitividad y Desarrollo Empresarial</w:t>
      </w: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ARTURO ALIAGA LÓPEZ</w:t>
      </w: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El Presidente de la Cámara Oficial de Comercio, Industria y Servicios de Huesca</w:t>
      </w: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MANUEL RODRÍGUEZ CHESA</w:t>
      </w: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El Presidente de la Cámara Oficial de Comercio, Industria y Servicios de Teruel</w:t>
      </w: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ANTONIO SANTA ISABEL LLANOS</w:t>
      </w: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Default="001425BF" w:rsidP="001425BF">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El Presidente de la Cámara Oficial de Comercio, Industria y Servicios de Zaragoza</w:t>
      </w:r>
    </w:p>
    <w:p w:rsidR="001425BF" w:rsidRDefault="001425BF" w:rsidP="001425BF">
      <w:pPr>
        <w:pBdr>
          <w:top w:val="nil"/>
          <w:left w:val="nil"/>
          <w:bottom w:val="nil"/>
          <w:right w:val="nil"/>
          <w:between w:val="nil"/>
        </w:pBdr>
        <w:rPr>
          <w:rFonts w:ascii="Verdana" w:eastAsia="Verdana" w:hAnsi="Verdana" w:cs="Verdana"/>
          <w:color w:val="000000"/>
          <w:sz w:val="22"/>
          <w:szCs w:val="22"/>
        </w:rPr>
      </w:pPr>
    </w:p>
    <w:p w:rsidR="001425BF" w:rsidRPr="00F93849" w:rsidRDefault="001425BF" w:rsidP="001425BF">
      <w:pPr>
        <w:pBdr>
          <w:top w:val="nil"/>
          <w:left w:val="nil"/>
          <w:bottom w:val="nil"/>
          <w:right w:val="nil"/>
          <w:between w:val="nil"/>
        </w:pBdr>
        <w:rPr>
          <w:rFonts w:ascii="Verdana" w:eastAsia="Verdana" w:hAnsi="Verdana" w:cs="Verdana"/>
          <w:sz w:val="22"/>
          <w:szCs w:val="22"/>
        </w:rPr>
      </w:pPr>
      <w:r w:rsidRPr="00F93849">
        <w:rPr>
          <w:rFonts w:ascii="Verdana" w:eastAsia="Verdana" w:hAnsi="Verdana" w:cs="Verdana"/>
          <w:sz w:val="22"/>
          <w:szCs w:val="22"/>
        </w:rPr>
        <w:t>JORGE VILLARROYA GRESCHUHNA</w:t>
      </w:r>
    </w:p>
    <w:p w:rsidR="00F3094B" w:rsidRDefault="008411F1"/>
    <w:sectPr w:rsidR="00F3094B">
      <w:headerReference w:type="even" r:id="rId7"/>
      <w:headerReference w:type="default" r:id="rId8"/>
      <w:footerReference w:type="even" r:id="rId9"/>
      <w:footerReference w:type="default" r:id="rId10"/>
      <w:headerReference w:type="first" r:id="rId11"/>
      <w:footerReference w:type="first" r:id="rId12"/>
      <w:pgSz w:w="11906" w:h="16838"/>
      <w:pgMar w:top="2155" w:right="74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153" w:rsidRDefault="004B78CB">
      <w:r>
        <w:separator/>
      </w:r>
    </w:p>
  </w:endnote>
  <w:endnote w:type="continuationSeparator" w:id="0">
    <w:p w:rsidR="009C0153" w:rsidRDefault="004B7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748" w:rsidRDefault="001425BF">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4C2748" w:rsidRDefault="008411F1">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748" w:rsidRDefault="001425BF">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8411F1">
      <w:rPr>
        <w:noProof/>
        <w:color w:val="000000"/>
      </w:rPr>
      <w:t>24</w:t>
    </w:r>
    <w:r>
      <w:rPr>
        <w:color w:val="000000"/>
      </w:rPr>
      <w:fldChar w:fldCharType="end"/>
    </w:r>
  </w:p>
  <w:p w:rsidR="004C2748" w:rsidRDefault="008411F1">
    <w:pPr>
      <w:pBdr>
        <w:top w:val="nil"/>
        <w:left w:val="nil"/>
        <w:bottom w:val="nil"/>
        <w:right w:val="nil"/>
        <w:between w:val="nil"/>
      </w:pBdr>
      <w:tabs>
        <w:tab w:val="center" w:pos="4252"/>
        <w:tab w:val="right" w:pos="8504"/>
        <w:tab w:val="right" w:pos="9457"/>
      </w:tabs>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748" w:rsidRDefault="008411F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153" w:rsidRDefault="004B78CB">
      <w:r>
        <w:separator/>
      </w:r>
    </w:p>
  </w:footnote>
  <w:footnote w:type="continuationSeparator" w:id="0">
    <w:p w:rsidR="009C0153" w:rsidRDefault="004B78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748" w:rsidRDefault="008411F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748" w:rsidRDefault="001425BF">
    <w:pPr>
      <w:pBdr>
        <w:top w:val="nil"/>
        <w:left w:val="nil"/>
        <w:bottom w:val="nil"/>
        <w:right w:val="nil"/>
        <w:between w:val="nil"/>
      </w:pBdr>
      <w:tabs>
        <w:tab w:val="center" w:pos="4252"/>
        <w:tab w:val="right" w:pos="8504"/>
      </w:tabs>
      <w:ind w:left="-360"/>
      <w:rPr>
        <w:color w:val="000000"/>
      </w:rPr>
    </w:pPr>
    <w:r>
      <w:rPr>
        <w:noProof/>
        <w:color w:val="000000"/>
      </w:rPr>
      <w:drawing>
        <wp:inline distT="0" distB="0" distL="0" distR="0" wp14:anchorId="418DA42F" wp14:editId="71E06415">
          <wp:extent cx="1390650" cy="4953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90650" cy="495300"/>
                  </a:xfrm>
                  <a:prstGeom prst="rect">
                    <a:avLst/>
                  </a:prstGeom>
                  <a:ln/>
                </pic:spPr>
              </pic:pic>
            </a:graphicData>
          </a:graphic>
        </wp:inline>
      </w:drawing>
    </w:r>
    <w:r>
      <w:rPr>
        <w:noProof/>
        <w:color w:val="000000"/>
      </w:rPr>
      <w:drawing>
        <wp:inline distT="0" distB="0" distL="0" distR="0" wp14:anchorId="486C5EA2" wp14:editId="00774100">
          <wp:extent cx="4400550" cy="485775"/>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l="21921" r="3024"/>
                  <a:stretch>
                    <a:fillRect/>
                  </a:stretch>
                </pic:blipFill>
                <pic:spPr>
                  <a:xfrm>
                    <a:off x="0" y="0"/>
                    <a:ext cx="4400550" cy="48577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748" w:rsidRDefault="008411F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7FB"/>
    <w:multiLevelType w:val="hybridMultilevel"/>
    <w:tmpl w:val="FE3CEFB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4C80F2A"/>
    <w:multiLevelType w:val="hybridMultilevel"/>
    <w:tmpl w:val="CA943E4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AD83C59"/>
    <w:multiLevelType w:val="hybridMultilevel"/>
    <w:tmpl w:val="E16A3880"/>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10E43DB6"/>
    <w:multiLevelType w:val="hybridMultilevel"/>
    <w:tmpl w:val="389C4774"/>
    <w:lvl w:ilvl="0" w:tplc="0C0A000F">
      <w:start w:val="1"/>
      <w:numFmt w:val="decimal"/>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4" w15:restartNumberingAfterBreak="0">
    <w:nsid w:val="15B62B85"/>
    <w:multiLevelType w:val="multilevel"/>
    <w:tmpl w:val="7B62CF8A"/>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bullet"/>
      <w:lvlText w:val="●"/>
      <w:lvlJc w:val="left"/>
      <w:pPr>
        <w:ind w:left="2700" w:hanging="360"/>
      </w:pPr>
      <w:rPr>
        <w:rFonts w:ascii="Noto Sans Symbols" w:eastAsia="Noto Sans Symbols" w:hAnsi="Noto Sans Symbols" w:cs="Noto Sans Symbols"/>
      </w:rPr>
    </w:lvl>
    <w:lvl w:ilvl="3">
      <w:start w:val="1"/>
      <w:numFmt w:val="decimal"/>
      <w:lvlText w:val="%4."/>
      <w:lvlJc w:val="left"/>
      <w:pPr>
        <w:ind w:left="3765" w:hanging="885"/>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7EC6EA5"/>
    <w:multiLevelType w:val="multilevel"/>
    <w:tmpl w:val="20D29E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C41466"/>
    <w:multiLevelType w:val="hybridMultilevel"/>
    <w:tmpl w:val="83D4C6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F9D7A21"/>
    <w:multiLevelType w:val="multilevel"/>
    <w:tmpl w:val="EC0C328C"/>
    <w:lvl w:ilvl="0">
      <w:start w:val="1"/>
      <w:numFmt w:val="decimal"/>
      <w:lvlText w:val="%1."/>
      <w:lvlJc w:val="left"/>
      <w:pPr>
        <w:tabs>
          <w:tab w:val="num" w:pos="720"/>
        </w:tabs>
        <w:ind w:left="720" w:hanging="360"/>
      </w:pPr>
      <w:rPr>
        <w:color w:val="auto"/>
      </w:rPr>
    </w:lvl>
    <w:lvl w:ilvl="1">
      <w:start w:val="1"/>
      <w:numFmt w:val="bullet"/>
      <w:lvlText w:val="o"/>
      <w:lvlJc w:val="left"/>
      <w:pPr>
        <w:tabs>
          <w:tab w:val="num" w:pos="720"/>
        </w:tabs>
        <w:ind w:left="720" w:hanging="360"/>
      </w:pPr>
      <w:rPr>
        <w:rFonts w:ascii="Courier New" w:hAnsi="Courier New" w:cs="Courier New" w:hint="default"/>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800"/>
        </w:tabs>
        <w:ind w:left="1800" w:hanging="144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8" w15:restartNumberingAfterBreak="0">
    <w:nsid w:val="27756676"/>
    <w:multiLevelType w:val="hybridMultilevel"/>
    <w:tmpl w:val="067289EA"/>
    <w:lvl w:ilvl="0" w:tplc="0C0A0017">
      <w:start w:val="1"/>
      <w:numFmt w:val="lowerLetter"/>
      <w:lvlText w:val="%1)"/>
      <w:lvlJc w:val="left"/>
      <w:pPr>
        <w:ind w:left="720" w:hanging="360"/>
      </w:pPr>
    </w:lvl>
    <w:lvl w:ilvl="1" w:tplc="624EBE8C">
      <w:start w:val="4"/>
      <w:numFmt w:val="bullet"/>
      <w:lvlText w:val="-"/>
      <w:lvlJc w:val="left"/>
      <w:pPr>
        <w:ind w:left="1440" w:hanging="360"/>
      </w:pPr>
      <w:rPr>
        <w:rFonts w:ascii="Arial" w:eastAsia="Times New Roman" w:hAnsi="Arial" w:cs="Aria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D4F7E95"/>
    <w:multiLevelType w:val="multilevel"/>
    <w:tmpl w:val="D7D2230A"/>
    <w:lvl w:ilvl="0">
      <w:start w:val="2"/>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 w15:restartNumberingAfterBreak="0">
    <w:nsid w:val="323A288E"/>
    <w:multiLevelType w:val="multilevel"/>
    <w:tmpl w:val="F3F82C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A977D9A"/>
    <w:multiLevelType w:val="hybridMultilevel"/>
    <w:tmpl w:val="75361B62"/>
    <w:lvl w:ilvl="0" w:tplc="159414A6">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9A86941"/>
    <w:multiLevelType w:val="hybridMultilevel"/>
    <w:tmpl w:val="5618386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4B7E5D0E"/>
    <w:multiLevelType w:val="multilevel"/>
    <w:tmpl w:val="685C250E"/>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4" w15:restartNumberingAfterBreak="0">
    <w:nsid w:val="534428C7"/>
    <w:multiLevelType w:val="hybridMultilevel"/>
    <w:tmpl w:val="0B48456C"/>
    <w:lvl w:ilvl="0" w:tplc="0C0A0001">
      <w:start w:val="1"/>
      <w:numFmt w:val="bullet"/>
      <w:lvlText w:val=""/>
      <w:lvlJc w:val="left"/>
      <w:pPr>
        <w:tabs>
          <w:tab w:val="num" w:pos="1080"/>
        </w:tabs>
        <w:ind w:left="1080" w:hanging="360"/>
      </w:pPr>
      <w:rPr>
        <w:rFonts w:ascii="Symbol" w:hAnsi="Symbol" w:hint="default"/>
      </w:rPr>
    </w:lvl>
    <w:lvl w:ilvl="1" w:tplc="0C0A0019">
      <w:start w:val="1"/>
      <w:numFmt w:val="lowerLetter"/>
      <w:lvlText w:val="%2."/>
      <w:lvlJc w:val="left"/>
      <w:pPr>
        <w:tabs>
          <w:tab w:val="num" w:pos="1800"/>
        </w:tabs>
        <w:ind w:left="1800" w:hanging="360"/>
      </w:pPr>
    </w:lvl>
    <w:lvl w:ilvl="2" w:tplc="0C0A0001">
      <w:start w:val="1"/>
      <w:numFmt w:val="bullet"/>
      <w:lvlText w:val=""/>
      <w:lvlJc w:val="left"/>
      <w:pPr>
        <w:tabs>
          <w:tab w:val="num" w:pos="2700"/>
        </w:tabs>
        <w:ind w:left="2700" w:hanging="360"/>
      </w:pPr>
      <w:rPr>
        <w:rFonts w:ascii="Symbol" w:hAnsi="Symbol" w:hint="default"/>
      </w:rPr>
    </w:lvl>
    <w:lvl w:ilvl="3" w:tplc="C12682CA">
      <w:start w:val="1"/>
      <w:numFmt w:val="decimal"/>
      <w:lvlText w:val="%4."/>
      <w:lvlJc w:val="left"/>
      <w:pPr>
        <w:tabs>
          <w:tab w:val="num" w:pos="3765"/>
        </w:tabs>
        <w:ind w:left="3765" w:hanging="885"/>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5" w15:restartNumberingAfterBreak="0">
    <w:nsid w:val="557F3136"/>
    <w:multiLevelType w:val="multilevel"/>
    <w:tmpl w:val="26F86000"/>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bullet"/>
      <w:lvlText w:val="●"/>
      <w:lvlJc w:val="left"/>
      <w:pPr>
        <w:ind w:left="2700" w:hanging="360"/>
      </w:pPr>
      <w:rPr>
        <w:rFonts w:ascii="Noto Sans Symbols" w:eastAsia="Noto Sans Symbols" w:hAnsi="Noto Sans Symbols" w:cs="Noto Sans Symbols"/>
      </w:rPr>
    </w:lvl>
    <w:lvl w:ilvl="3">
      <w:start w:val="1"/>
      <w:numFmt w:val="decimal"/>
      <w:lvlText w:val="%4."/>
      <w:lvlJc w:val="left"/>
      <w:pPr>
        <w:ind w:left="3765" w:hanging="885"/>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5AEF53CB"/>
    <w:multiLevelType w:val="hybridMultilevel"/>
    <w:tmpl w:val="50AAFA2A"/>
    <w:lvl w:ilvl="0" w:tplc="2496E51C">
      <w:start w:val="1"/>
      <w:numFmt w:val="bullet"/>
      <w:lvlText w:val=""/>
      <w:lvlJc w:val="left"/>
      <w:pPr>
        <w:tabs>
          <w:tab w:val="num" w:pos="720"/>
        </w:tabs>
        <w:ind w:left="720" w:hanging="360"/>
      </w:pPr>
      <w:rPr>
        <w:rFonts w:ascii="Symbol" w:hAnsi="Symbol" w:hint="default"/>
        <w:color w:val="auto"/>
      </w:rPr>
    </w:lvl>
    <w:lvl w:ilvl="1" w:tplc="43CC593C">
      <w:start w:val="1"/>
      <w:numFmt w:val="bullet"/>
      <w:lvlText w:val="-"/>
      <w:lvlJc w:val="left"/>
      <w:pPr>
        <w:tabs>
          <w:tab w:val="num" w:pos="1440"/>
        </w:tabs>
        <w:ind w:left="1440" w:hanging="360"/>
      </w:pPr>
      <w:rPr>
        <w:rFonts w:ascii="Arial" w:eastAsia="Times New Roman" w:hAnsi="Aria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16C4D"/>
    <w:multiLevelType w:val="hybridMultilevel"/>
    <w:tmpl w:val="23305332"/>
    <w:lvl w:ilvl="0" w:tplc="0C0A0001">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800"/>
        </w:tabs>
        <w:ind w:left="1800" w:hanging="360"/>
      </w:pPr>
      <w:rPr>
        <w:rFonts w:ascii="Symbol" w:hAnsi="Symbol" w:cs="Symbol" w:hint="default"/>
      </w:rPr>
    </w:lvl>
    <w:lvl w:ilvl="2" w:tplc="0C0A0001">
      <w:start w:val="1"/>
      <w:numFmt w:val="bullet"/>
      <w:lvlText w:val=""/>
      <w:lvlJc w:val="left"/>
      <w:pPr>
        <w:tabs>
          <w:tab w:val="num" w:pos="2700"/>
        </w:tabs>
        <w:ind w:left="2700" w:hanging="360"/>
      </w:pPr>
      <w:rPr>
        <w:rFonts w:ascii="Symbol" w:hAnsi="Symbol" w:hint="default"/>
      </w:rPr>
    </w:lvl>
    <w:lvl w:ilvl="3" w:tplc="C12682CA">
      <w:start w:val="1"/>
      <w:numFmt w:val="decimal"/>
      <w:lvlText w:val="%4."/>
      <w:lvlJc w:val="left"/>
      <w:pPr>
        <w:tabs>
          <w:tab w:val="num" w:pos="3765"/>
        </w:tabs>
        <w:ind w:left="3765" w:hanging="885"/>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8" w15:restartNumberingAfterBreak="0">
    <w:nsid w:val="6A8F3A37"/>
    <w:multiLevelType w:val="multilevel"/>
    <w:tmpl w:val="3FBEE8D0"/>
    <w:lvl w:ilvl="0">
      <w:start w:val="1"/>
      <w:numFmt w:val="decimal"/>
      <w:lvlText w:val="%1."/>
      <w:lvlJc w:val="left"/>
      <w:pPr>
        <w:ind w:left="1429" w:hanging="360"/>
      </w:pPr>
    </w:lvl>
    <w:lvl w:ilvl="1">
      <w:start w:val="1"/>
      <w:numFmt w:val="lowerLetter"/>
      <w:lvlText w:val="%2)"/>
      <w:lvlJc w:val="left"/>
      <w:pPr>
        <w:ind w:left="2719" w:hanging="93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9" w15:restartNumberingAfterBreak="0">
    <w:nsid w:val="7D323E26"/>
    <w:multiLevelType w:val="multilevel"/>
    <w:tmpl w:val="05B40A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
      <w:lvlJc w:val="left"/>
      <w:pPr>
        <w:ind w:left="1440" w:hanging="360"/>
      </w:pPr>
      <w:rPr>
        <w:rFonts w:ascii="Arial" w:eastAsia="Arial" w:hAnsi="Arial" w:cs="Arial"/>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DF57712"/>
    <w:multiLevelType w:val="hybridMultilevel"/>
    <w:tmpl w:val="59023BF6"/>
    <w:lvl w:ilvl="0" w:tplc="0C0A0001">
      <w:start w:val="1"/>
      <w:numFmt w:val="bullet"/>
      <w:lvlText w:val=""/>
      <w:lvlJc w:val="left"/>
      <w:pPr>
        <w:ind w:left="2148" w:hanging="360"/>
      </w:pPr>
      <w:rPr>
        <w:rFonts w:ascii="Symbol" w:hAnsi="Symbol"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num w:numId="1">
    <w:abstractNumId w:val="18"/>
  </w:num>
  <w:num w:numId="2">
    <w:abstractNumId w:val="5"/>
  </w:num>
  <w:num w:numId="3">
    <w:abstractNumId w:val="15"/>
  </w:num>
  <w:num w:numId="4">
    <w:abstractNumId w:val="9"/>
  </w:num>
  <w:num w:numId="5">
    <w:abstractNumId w:val="13"/>
  </w:num>
  <w:num w:numId="6">
    <w:abstractNumId w:val="19"/>
  </w:num>
  <w:num w:numId="7">
    <w:abstractNumId w:val="10"/>
  </w:num>
  <w:num w:numId="8">
    <w:abstractNumId w:val="4"/>
  </w:num>
  <w:num w:numId="9">
    <w:abstractNumId w:val="16"/>
  </w:num>
  <w:num w:numId="10">
    <w:abstractNumId w:val="6"/>
  </w:num>
  <w:num w:numId="11">
    <w:abstractNumId w:val="3"/>
  </w:num>
  <w:num w:numId="12">
    <w:abstractNumId w:val="1"/>
  </w:num>
  <w:num w:numId="13">
    <w:abstractNumId w:val="2"/>
  </w:num>
  <w:num w:numId="14">
    <w:abstractNumId w:val="8"/>
  </w:num>
  <w:num w:numId="15">
    <w:abstractNumId w:val="11"/>
  </w:num>
  <w:num w:numId="16">
    <w:abstractNumId w:val="1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0"/>
  </w:num>
  <w:num w:numId="20">
    <w:abstractNumId w:val="1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5BF"/>
    <w:rsid w:val="001425BF"/>
    <w:rsid w:val="001E7837"/>
    <w:rsid w:val="003016E4"/>
    <w:rsid w:val="003907A0"/>
    <w:rsid w:val="00482A57"/>
    <w:rsid w:val="004B78CB"/>
    <w:rsid w:val="005B243B"/>
    <w:rsid w:val="006F2C6C"/>
    <w:rsid w:val="00720D41"/>
    <w:rsid w:val="008411F1"/>
    <w:rsid w:val="0086216D"/>
    <w:rsid w:val="00927052"/>
    <w:rsid w:val="009C0153"/>
    <w:rsid w:val="00A203C2"/>
    <w:rsid w:val="00A57EDC"/>
    <w:rsid w:val="00B3171B"/>
    <w:rsid w:val="00EE0B78"/>
    <w:rsid w:val="00EE658B"/>
    <w:rsid w:val="00F124E8"/>
    <w:rsid w:val="00F23F1C"/>
    <w:rsid w:val="00F605A6"/>
    <w:rsid w:val="00F741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A64A"/>
  <w15:chartTrackingRefBased/>
  <w15:docId w15:val="{296E5085-48A0-423E-9DE5-BA8169A7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25B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1425BF"/>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1425BF"/>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1425BF"/>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1425BF"/>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1425BF"/>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1425BF"/>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425BF"/>
    <w:rPr>
      <w:rFonts w:ascii="Times New Roman" w:eastAsia="Times New Roman" w:hAnsi="Times New Roman" w:cs="Times New Roman"/>
      <w:b/>
      <w:sz w:val="48"/>
      <w:szCs w:val="48"/>
      <w:lang w:eastAsia="es-ES"/>
    </w:rPr>
  </w:style>
  <w:style w:type="character" w:customStyle="1" w:styleId="Ttulo2Car">
    <w:name w:val="Título 2 Car"/>
    <w:basedOn w:val="Fuentedeprrafopredeter"/>
    <w:link w:val="Ttulo2"/>
    <w:uiPriority w:val="9"/>
    <w:semiHidden/>
    <w:rsid w:val="001425BF"/>
    <w:rPr>
      <w:rFonts w:ascii="Times New Roman" w:eastAsia="Times New Roman" w:hAnsi="Times New Roman" w:cs="Times New Roman"/>
      <w:b/>
      <w:sz w:val="36"/>
      <w:szCs w:val="36"/>
      <w:lang w:eastAsia="es-ES"/>
    </w:rPr>
  </w:style>
  <w:style w:type="character" w:customStyle="1" w:styleId="Ttulo3Car">
    <w:name w:val="Título 3 Car"/>
    <w:basedOn w:val="Fuentedeprrafopredeter"/>
    <w:link w:val="Ttulo3"/>
    <w:uiPriority w:val="9"/>
    <w:semiHidden/>
    <w:rsid w:val="001425BF"/>
    <w:rPr>
      <w:rFonts w:ascii="Times New Roman" w:eastAsia="Times New Roman" w:hAnsi="Times New Roman" w:cs="Times New Roman"/>
      <w:b/>
      <w:sz w:val="28"/>
      <w:szCs w:val="28"/>
      <w:lang w:eastAsia="es-ES"/>
    </w:rPr>
  </w:style>
  <w:style w:type="character" w:customStyle="1" w:styleId="Ttulo4Car">
    <w:name w:val="Título 4 Car"/>
    <w:basedOn w:val="Fuentedeprrafopredeter"/>
    <w:link w:val="Ttulo4"/>
    <w:uiPriority w:val="9"/>
    <w:semiHidden/>
    <w:rsid w:val="001425BF"/>
    <w:rPr>
      <w:rFonts w:ascii="Times New Roman" w:eastAsia="Times New Roman" w:hAnsi="Times New Roman" w:cs="Times New Roman"/>
      <w:b/>
      <w:sz w:val="24"/>
      <w:szCs w:val="24"/>
      <w:lang w:eastAsia="es-ES"/>
    </w:rPr>
  </w:style>
  <w:style w:type="character" w:customStyle="1" w:styleId="Ttulo5Car">
    <w:name w:val="Título 5 Car"/>
    <w:basedOn w:val="Fuentedeprrafopredeter"/>
    <w:link w:val="Ttulo5"/>
    <w:uiPriority w:val="9"/>
    <w:semiHidden/>
    <w:rsid w:val="001425BF"/>
    <w:rPr>
      <w:rFonts w:ascii="Times New Roman" w:eastAsia="Times New Roman" w:hAnsi="Times New Roman" w:cs="Times New Roman"/>
      <w:b/>
      <w:lang w:eastAsia="es-ES"/>
    </w:rPr>
  </w:style>
  <w:style w:type="character" w:customStyle="1" w:styleId="Ttulo6Car">
    <w:name w:val="Título 6 Car"/>
    <w:basedOn w:val="Fuentedeprrafopredeter"/>
    <w:link w:val="Ttulo6"/>
    <w:uiPriority w:val="9"/>
    <w:semiHidden/>
    <w:rsid w:val="001425BF"/>
    <w:rPr>
      <w:rFonts w:ascii="Times New Roman" w:eastAsia="Times New Roman" w:hAnsi="Times New Roman" w:cs="Times New Roman"/>
      <w:b/>
      <w:sz w:val="20"/>
      <w:szCs w:val="20"/>
      <w:lang w:eastAsia="es-ES"/>
    </w:rPr>
  </w:style>
  <w:style w:type="table" w:customStyle="1" w:styleId="TableNormal">
    <w:name w:val="Table Normal"/>
    <w:rsid w:val="001425BF"/>
    <w:pPr>
      <w:spacing w:after="0" w:line="240" w:lineRule="auto"/>
    </w:pPr>
    <w:rPr>
      <w:rFonts w:ascii="Times New Roman" w:eastAsia="Times New Roman" w:hAnsi="Times New Roman" w:cs="Times New Roman"/>
      <w:sz w:val="20"/>
      <w:szCs w:val="20"/>
      <w:lang w:eastAsia="es-ES"/>
    </w:rPr>
    <w:tblPr>
      <w:tblCellMar>
        <w:top w:w="0" w:type="dxa"/>
        <w:left w:w="0" w:type="dxa"/>
        <w:bottom w:w="0" w:type="dxa"/>
        <w:right w:w="0" w:type="dxa"/>
      </w:tblCellMar>
    </w:tblPr>
  </w:style>
  <w:style w:type="paragraph" w:styleId="Ttulo">
    <w:name w:val="Title"/>
    <w:basedOn w:val="Normal"/>
    <w:next w:val="Normal"/>
    <w:link w:val="TtuloCar"/>
    <w:uiPriority w:val="10"/>
    <w:qFormat/>
    <w:rsid w:val="001425BF"/>
    <w:pPr>
      <w:keepNext/>
      <w:keepLines/>
      <w:spacing w:before="480" w:after="120"/>
    </w:pPr>
    <w:rPr>
      <w:b/>
      <w:sz w:val="72"/>
      <w:szCs w:val="72"/>
    </w:rPr>
  </w:style>
  <w:style w:type="character" w:customStyle="1" w:styleId="TtuloCar">
    <w:name w:val="Título Car"/>
    <w:basedOn w:val="Fuentedeprrafopredeter"/>
    <w:link w:val="Ttulo"/>
    <w:uiPriority w:val="10"/>
    <w:rsid w:val="001425BF"/>
    <w:rPr>
      <w:rFonts w:ascii="Times New Roman" w:eastAsia="Times New Roman" w:hAnsi="Times New Roman" w:cs="Times New Roman"/>
      <w:b/>
      <w:sz w:val="72"/>
      <w:szCs w:val="72"/>
      <w:lang w:eastAsia="es-ES"/>
    </w:rPr>
  </w:style>
  <w:style w:type="paragraph" w:styleId="Textoindependiente">
    <w:name w:val="Body Text"/>
    <w:basedOn w:val="Normal"/>
    <w:link w:val="TextoindependienteCar"/>
    <w:rsid w:val="001425BF"/>
    <w:pPr>
      <w:jc w:val="both"/>
    </w:pPr>
    <w:rPr>
      <w:rFonts w:ascii="Arial" w:hAnsi="Arial"/>
      <w:b/>
      <w:sz w:val="22"/>
    </w:rPr>
  </w:style>
  <w:style w:type="character" w:customStyle="1" w:styleId="TextoindependienteCar">
    <w:name w:val="Texto independiente Car"/>
    <w:basedOn w:val="Fuentedeprrafopredeter"/>
    <w:link w:val="Textoindependiente"/>
    <w:rsid w:val="001425BF"/>
    <w:rPr>
      <w:rFonts w:ascii="Arial" w:eastAsia="Times New Roman" w:hAnsi="Arial" w:cs="Times New Roman"/>
      <w:b/>
      <w:szCs w:val="20"/>
      <w:lang w:eastAsia="es-ES"/>
    </w:rPr>
  </w:style>
  <w:style w:type="paragraph" w:styleId="Sangra3detindependiente">
    <w:name w:val="Body Text Indent 3"/>
    <w:basedOn w:val="Normal"/>
    <w:link w:val="Sangra3detindependienteCar"/>
    <w:rsid w:val="001425B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425BF"/>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1425BF"/>
    <w:pPr>
      <w:spacing w:after="120"/>
      <w:ind w:left="283"/>
    </w:pPr>
  </w:style>
  <w:style w:type="character" w:customStyle="1" w:styleId="SangradetextonormalCar">
    <w:name w:val="Sangría de texto normal Car"/>
    <w:basedOn w:val="Fuentedeprrafopredeter"/>
    <w:link w:val="Sangradetextonormal"/>
    <w:rsid w:val="001425BF"/>
    <w:rPr>
      <w:rFonts w:ascii="Times New Roman" w:eastAsia="Times New Roman" w:hAnsi="Times New Roman" w:cs="Times New Roman"/>
      <w:sz w:val="20"/>
      <w:szCs w:val="20"/>
      <w:lang w:eastAsia="es-ES"/>
    </w:rPr>
  </w:style>
  <w:style w:type="paragraph" w:styleId="NormalWeb">
    <w:name w:val="Normal (Web)"/>
    <w:basedOn w:val="Normal"/>
    <w:uiPriority w:val="99"/>
    <w:unhideWhenUsed/>
    <w:rsid w:val="001425BF"/>
    <w:pPr>
      <w:spacing w:before="100" w:beforeAutospacing="1" w:after="100" w:afterAutospacing="1"/>
    </w:pPr>
    <w:rPr>
      <w:sz w:val="24"/>
      <w:szCs w:val="24"/>
    </w:rPr>
  </w:style>
  <w:style w:type="character" w:styleId="Refdecomentario">
    <w:name w:val="annotation reference"/>
    <w:semiHidden/>
    <w:rsid w:val="001425BF"/>
    <w:rPr>
      <w:sz w:val="16"/>
      <w:szCs w:val="16"/>
    </w:rPr>
  </w:style>
  <w:style w:type="paragraph" w:styleId="Textocomentario">
    <w:name w:val="annotation text"/>
    <w:basedOn w:val="Normal"/>
    <w:link w:val="TextocomentarioCar"/>
    <w:semiHidden/>
    <w:rsid w:val="001425BF"/>
  </w:style>
  <w:style w:type="character" w:customStyle="1" w:styleId="TextocomentarioCar">
    <w:name w:val="Texto comentario Car"/>
    <w:basedOn w:val="Fuentedeprrafopredeter"/>
    <w:link w:val="Textocomentario"/>
    <w:semiHidden/>
    <w:rsid w:val="001425BF"/>
    <w:rPr>
      <w:rFonts w:ascii="Times New Roman" w:eastAsia="Times New Roman" w:hAnsi="Times New Roman" w:cs="Times New Roman"/>
      <w:sz w:val="20"/>
      <w:szCs w:val="20"/>
      <w:lang w:eastAsia="es-ES"/>
    </w:rPr>
  </w:style>
  <w:style w:type="paragraph" w:customStyle="1" w:styleId="Car1">
    <w:name w:val="Car1"/>
    <w:basedOn w:val="Normal"/>
    <w:autoRedefine/>
    <w:rsid w:val="001425BF"/>
    <w:pPr>
      <w:widowControl w:val="0"/>
      <w:spacing w:after="160" w:line="240" w:lineRule="exact"/>
    </w:pPr>
    <w:rPr>
      <w:rFonts w:ascii="Verdana" w:hAnsi="Verdana"/>
      <w:lang w:val="en-US" w:eastAsia="en-US"/>
    </w:rPr>
  </w:style>
  <w:style w:type="paragraph" w:customStyle="1" w:styleId="a">
    <w:name w:val="a"/>
    <w:basedOn w:val="Normal"/>
    <w:rsid w:val="001425BF"/>
    <w:pPr>
      <w:spacing w:before="100" w:beforeAutospacing="1" w:after="100" w:afterAutospacing="1"/>
    </w:pPr>
    <w:rPr>
      <w:sz w:val="24"/>
      <w:szCs w:val="24"/>
    </w:rPr>
  </w:style>
  <w:style w:type="character" w:customStyle="1" w:styleId="rubrica">
    <w:name w:val="rubrica"/>
    <w:basedOn w:val="Fuentedeprrafopredeter"/>
    <w:rsid w:val="001425BF"/>
  </w:style>
  <w:style w:type="paragraph" w:customStyle="1" w:styleId="parrafo">
    <w:name w:val="parrafo"/>
    <w:basedOn w:val="Normal"/>
    <w:rsid w:val="001425BF"/>
    <w:pPr>
      <w:spacing w:before="100" w:beforeAutospacing="1" w:after="100" w:afterAutospacing="1"/>
    </w:pPr>
    <w:rPr>
      <w:sz w:val="24"/>
      <w:szCs w:val="24"/>
    </w:rPr>
  </w:style>
  <w:style w:type="paragraph" w:customStyle="1" w:styleId="Pa7">
    <w:name w:val="Pa7"/>
    <w:basedOn w:val="Normal"/>
    <w:next w:val="Normal"/>
    <w:rsid w:val="001425BF"/>
    <w:pPr>
      <w:autoSpaceDE w:val="0"/>
      <w:autoSpaceDN w:val="0"/>
      <w:adjustRightInd w:val="0"/>
      <w:spacing w:line="201" w:lineRule="atLeast"/>
    </w:pPr>
    <w:rPr>
      <w:rFonts w:ascii="Arial" w:hAnsi="Arial"/>
      <w:sz w:val="24"/>
      <w:szCs w:val="24"/>
    </w:rPr>
  </w:style>
  <w:style w:type="paragraph" w:styleId="Textodeglobo">
    <w:name w:val="Balloon Text"/>
    <w:basedOn w:val="Normal"/>
    <w:link w:val="TextodegloboCar"/>
    <w:semiHidden/>
    <w:rsid w:val="001425BF"/>
    <w:rPr>
      <w:rFonts w:ascii="Tahoma" w:hAnsi="Tahoma" w:cs="Tahoma"/>
      <w:sz w:val="16"/>
      <w:szCs w:val="16"/>
    </w:rPr>
  </w:style>
  <w:style w:type="character" w:customStyle="1" w:styleId="TextodegloboCar">
    <w:name w:val="Texto de globo Car"/>
    <w:basedOn w:val="Fuentedeprrafopredeter"/>
    <w:link w:val="Textodeglobo"/>
    <w:semiHidden/>
    <w:rsid w:val="001425BF"/>
    <w:rPr>
      <w:rFonts w:ascii="Tahoma" w:eastAsia="Times New Roman" w:hAnsi="Tahoma" w:cs="Tahoma"/>
      <w:sz w:val="16"/>
      <w:szCs w:val="16"/>
      <w:lang w:eastAsia="es-ES"/>
    </w:rPr>
  </w:style>
  <w:style w:type="paragraph" w:styleId="Textoindependiente3">
    <w:name w:val="Body Text 3"/>
    <w:basedOn w:val="Normal"/>
    <w:link w:val="Textoindependiente3Car"/>
    <w:rsid w:val="001425BF"/>
    <w:pPr>
      <w:spacing w:after="120"/>
    </w:pPr>
    <w:rPr>
      <w:sz w:val="16"/>
      <w:szCs w:val="16"/>
    </w:rPr>
  </w:style>
  <w:style w:type="character" w:customStyle="1" w:styleId="Textoindependiente3Car">
    <w:name w:val="Texto independiente 3 Car"/>
    <w:basedOn w:val="Fuentedeprrafopredeter"/>
    <w:link w:val="Textoindependiente3"/>
    <w:rsid w:val="001425BF"/>
    <w:rPr>
      <w:rFonts w:ascii="Times New Roman" w:eastAsia="Times New Roman" w:hAnsi="Times New Roman" w:cs="Times New Roman"/>
      <w:sz w:val="16"/>
      <w:szCs w:val="16"/>
      <w:lang w:eastAsia="es-ES"/>
    </w:rPr>
  </w:style>
  <w:style w:type="character" w:customStyle="1" w:styleId="searchterm">
    <w:name w:val="searchterm"/>
    <w:basedOn w:val="Fuentedeprrafopredeter"/>
    <w:rsid w:val="001425BF"/>
  </w:style>
  <w:style w:type="paragraph" w:customStyle="1" w:styleId="simpleizquierda">
    <w:name w:val="simple izquierda"/>
    <w:basedOn w:val="Normal"/>
    <w:rsid w:val="001425BF"/>
    <w:pPr>
      <w:spacing w:before="100" w:beforeAutospacing="1" w:after="100" w:afterAutospacing="1"/>
    </w:pPr>
    <w:rPr>
      <w:sz w:val="24"/>
      <w:szCs w:val="24"/>
    </w:rPr>
  </w:style>
  <w:style w:type="paragraph" w:customStyle="1" w:styleId="Default">
    <w:name w:val="Default"/>
    <w:rsid w:val="001425BF"/>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1425BF"/>
    <w:pPr>
      <w:spacing w:after="120" w:line="480" w:lineRule="auto"/>
    </w:pPr>
  </w:style>
  <w:style w:type="character" w:customStyle="1" w:styleId="Textoindependiente2Car">
    <w:name w:val="Texto independiente 2 Car"/>
    <w:basedOn w:val="Fuentedeprrafopredeter"/>
    <w:link w:val="Textoindependiente2"/>
    <w:rsid w:val="001425BF"/>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rsid w:val="001425BF"/>
    <w:pPr>
      <w:spacing w:after="120" w:line="480" w:lineRule="auto"/>
      <w:ind w:left="283"/>
    </w:pPr>
  </w:style>
  <w:style w:type="character" w:customStyle="1" w:styleId="Sangra2detindependienteCar">
    <w:name w:val="Sangría 2 de t. independiente Car"/>
    <w:basedOn w:val="Fuentedeprrafopredeter"/>
    <w:link w:val="Sangra2detindependiente"/>
    <w:rsid w:val="001425BF"/>
    <w:rPr>
      <w:rFonts w:ascii="Times New Roman" w:eastAsia="Times New Roman" w:hAnsi="Times New Roman" w:cs="Times New Roman"/>
      <w:sz w:val="20"/>
      <w:szCs w:val="20"/>
      <w:lang w:eastAsia="es-ES"/>
    </w:rPr>
  </w:style>
  <w:style w:type="paragraph" w:styleId="Encabezado">
    <w:name w:val="header"/>
    <w:basedOn w:val="Normal"/>
    <w:link w:val="EncabezadoCar"/>
    <w:rsid w:val="001425BF"/>
    <w:pPr>
      <w:tabs>
        <w:tab w:val="center" w:pos="4252"/>
        <w:tab w:val="right" w:pos="8504"/>
      </w:tabs>
    </w:pPr>
  </w:style>
  <w:style w:type="character" w:customStyle="1" w:styleId="EncabezadoCar">
    <w:name w:val="Encabezado Car"/>
    <w:basedOn w:val="Fuentedeprrafopredeter"/>
    <w:link w:val="Encabezado"/>
    <w:rsid w:val="001425BF"/>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1425BF"/>
    <w:pPr>
      <w:tabs>
        <w:tab w:val="center" w:pos="4252"/>
        <w:tab w:val="right" w:pos="8504"/>
      </w:tabs>
    </w:pPr>
  </w:style>
  <w:style w:type="character" w:customStyle="1" w:styleId="PiedepginaCar">
    <w:name w:val="Pie de página Car"/>
    <w:basedOn w:val="Fuentedeprrafopredeter"/>
    <w:link w:val="Piedepgina"/>
    <w:uiPriority w:val="99"/>
    <w:rsid w:val="001425BF"/>
    <w:rPr>
      <w:rFonts w:ascii="Times New Roman" w:eastAsia="Times New Roman" w:hAnsi="Times New Roman" w:cs="Times New Roman"/>
      <w:sz w:val="20"/>
      <w:szCs w:val="20"/>
      <w:lang w:eastAsia="es-ES"/>
    </w:rPr>
  </w:style>
  <w:style w:type="character" w:styleId="Nmerodepgina">
    <w:name w:val="page number"/>
    <w:basedOn w:val="Fuentedeprrafopredeter"/>
    <w:rsid w:val="001425BF"/>
  </w:style>
  <w:style w:type="character" w:styleId="Hipervnculo">
    <w:name w:val="Hyperlink"/>
    <w:rsid w:val="001425BF"/>
    <w:rPr>
      <w:color w:val="0000FF"/>
      <w:u w:val="single"/>
    </w:rPr>
  </w:style>
  <w:style w:type="paragraph" w:styleId="Sangranormal">
    <w:name w:val="Normal Indent"/>
    <w:aliases w:val=" Char Char Car Car Car Car Car Car Car Car, Char Char Car Car Car Car Car Car1 Car,Char Char Car Car Car Car Car Car Car1,Fuente de párrafo predeter. Car Car Car,Char Char Car Car Car Car Car,Char Char Car Car Car"/>
    <w:basedOn w:val="Normal"/>
    <w:rsid w:val="001425BF"/>
    <w:pPr>
      <w:spacing w:after="240"/>
      <w:ind w:left="720"/>
      <w:jc w:val="both"/>
    </w:pPr>
    <w:rPr>
      <w:sz w:val="24"/>
      <w:lang w:val="es-ES_tradnl" w:eastAsia="zh-CN"/>
    </w:rPr>
  </w:style>
  <w:style w:type="paragraph" w:styleId="Asuntodelcomentario">
    <w:name w:val="annotation subject"/>
    <w:basedOn w:val="Textocomentario"/>
    <w:next w:val="Textocomentario"/>
    <w:link w:val="AsuntodelcomentarioCar"/>
    <w:semiHidden/>
    <w:rsid w:val="001425BF"/>
    <w:rPr>
      <w:b/>
      <w:bCs/>
    </w:rPr>
  </w:style>
  <w:style w:type="character" w:customStyle="1" w:styleId="AsuntodelcomentarioCar">
    <w:name w:val="Asunto del comentario Car"/>
    <w:basedOn w:val="TextocomentarioCar"/>
    <w:link w:val="Asuntodelcomentario"/>
    <w:semiHidden/>
    <w:rsid w:val="001425BF"/>
    <w:rPr>
      <w:rFonts w:ascii="Times New Roman" w:eastAsia="Times New Roman" w:hAnsi="Times New Roman" w:cs="Times New Roman"/>
      <w:b/>
      <w:bCs/>
      <w:sz w:val="20"/>
      <w:szCs w:val="20"/>
      <w:lang w:eastAsia="es-ES"/>
    </w:rPr>
  </w:style>
  <w:style w:type="paragraph" w:styleId="Prrafodelista">
    <w:name w:val="List Paragraph"/>
    <w:basedOn w:val="Normal"/>
    <w:uiPriority w:val="34"/>
    <w:qFormat/>
    <w:rsid w:val="001425BF"/>
    <w:pPr>
      <w:ind w:left="720"/>
      <w:contextualSpacing/>
    </w:pPr>
  </w:style>
  <w:style w:type="paragraph" w:styleId="Revisin">
    <w:name w:val="Revision"/>
    <w:hidden/>
    <w:uiPriority w:val="99"/>
    <w:semiHidden/>
    <w:rsid w:val="001425BF"/>
    <w:pPr>
      <w:spacing w:after="0" w:line="240" w:lineRule="auto"/>
    </w:pPr>
    <w:rPr>
      <w:rFonts w:ascii="Times New Roman" w:eastAsia="Times New Roman" w:hAnsi="Times New Roman" w:cs="Times New Roman"/>
      <w:sz w:val="20"/>
      <w:szCs w:val="20"/>
      <w:lang w:eastAsia="es-ES"/>
    </w:rPr>
  </w:style>
  <w:style w:type="paragraph" w:styleId="Subttulo">
    <w:name w:val="Subtitle"/>
    <w:basedOn w:val="Normal"/>
    <w:next w:val="Normal"/>
    <w:link w:val="SubttuloCar"/>
    <w:uiPriority w:val="11"/>
    <w:qFormat/>
    <w:rsid w:val="001425BF"/>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1425BF"/>
    <w:rPr>
      <w:rFonts w:ascii="Georgia" w:eastAsia="Georgia" w:hAnsi="Georgia" w:cs="Georgia"/>
      <w:i/>
      <w:color w:val="666666"/>
      <w:sz w:val="48"/>
      <w:szCs w:val="48"/>
      <w:lang w:eastAsia="es-ES"/>
    </w:rPr>
  </w:style>
  <w:style w:type="table" w:styleId="Tablaconcuadrcula">
    <w:name w:val="Table Grid"/>
    <w:basedOn w:val="Tablanormal"/>
    <w:uiPriority w:val="39"/>
    <w:rsid w:val="001425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425BF"/>
    <w:pPr>
      <w:spacing w:after="0" w:line="240" w:lineRule="auto"/>
    </w:pPr>
    <w:rPr>
      <w:rFonts w:eastAsiaTheme="minorEastAsia"/>
      <w:lang w:eastAsia="es-ES"/>
    </w:rPr>
  </w:style>
  <w:style w:type="character" w:styleId="Textoennegrita">
    <w:name w:val="Strong"/>
    <w:basedOn w:val="Fuentedeprrafopredeter"/>
    <w:uiPriority w:val="22"/>
    <w:qFormat/>
    <w:rsid w:val="001425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26</Pages>
  <Words>10382</Words>
  <Characters>57103</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24</cp:revision>
  <dcterms:created xsi:type="dcterms:W3CDTF">2023-03-30T09:40:00Z</dcterms:created>
  <dcterms:modified xsi:type="dcterms:W3CDTF">2023-04-11T11:11:00Z</dcterms:modified>
</cp:coreProperties>
</file>