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4561" w:rsidRPr="00FD7953" w:rsidRDefault="00510E08" w:rsidP="00F34561">
      <w:pPr>
        <w:autoSpaceDE w:val="0"/>
        <w:autoSpaceDN w:val="0"/>
        <w:adjustRightInd w:val="0"/>
        <w:spacing w:before="120" w:after="120" w:line="240" w:lineRule="auto"/>
        <w:jc w:val="both"/>
        <w:rPr>
          <w:rFonts w:ascii="Cambria" w:hAnsi="Cambria" w:cs="Times New Roman"/>
          <w:b/>
          <w:sz w:val="24"/>
          <w:szCs w:val="24"/>
        </w:rPr>
      </w:pPr>
      <w:r w:rsidRPr="00FD7953">
        <w:rPr>
          <w:rFonts w:ascii="Cambria" w:hAnsi="Cambria" w:cs="Times New Roman"/>
          <w:b/>
          <w:sz w:val="24"/>
          <w:szCs w:val="24"/>
        </w:rPr>
        <w:t>O</w:t>
      </w:r>
      <w:r w:rsidR="004878C4" w:rsidRPr="00FD7953">
        <w:rPr>
          <w:rFonts w:ascii="Cambria" w:hAnsi="Cambria" w:cs="Times New Roman"/>
          <w:b/>
          <w:sz w:val="24"/>
          <w:szCs w:val="24"/>
        </w:rPr>
        <w:t>rden I</w:t>
      </w:r>
      <w:r w:rsidR="00765C94" w:rsidRPr="00FD7953">
        <w:rPr>
          <w:rFonts w:ascii="Cambria" w:hAnsi="Cambria" w:cs="Times New Roman"/>
          <w:b/>
          <w:sz w:val="24"/>
          <w:szCs w:val="24"/>
        </w:rPr>
        <w:t>N</w:t>
      </w:r>
      <w:r w:rsidR="00300FE0" w:rsidRPr="00FD7953">
        <w:rPr>
          <w:rFonts w:ascii="Cambria" w:hAnsi="Cambria" w:cs="Times New Roman"/>
          <w:b/>
          <w:sz w:val="24"/>
          <w:szCs w:val="24"/>
        </w:rPr>
        <w:t>D</w:t>
      </w:r>
      <w:r w:rsidR="00D6349B">
        <w:rPr>
          <w:rFonts w:ascii="Cambria" w:hAnsi="Cambria" w:cs="Times New Roman"/>
          <w:b/>
          <w:sz w:val="24"/>
          <w:szCs w:val="24"/>
        </w:rPr>
        <w:t>/30</w:t>
      </w:r>
      <w:r w:rsidR="00765C94" w:rsidRPr="00FD7953">
        <w:rPr>
          <w:rFonts w:ascii="Cambria" w:hAnsi="Cambria" w:cs="Times New Roman"/>
          <w:b/>
          <w:sz w:val="24"/>
          <w:szCs w:val="24"/>
        </w:rPr>
        <w:t>/202</w:t>
      </w:r>
      <w:r w:rsidR="009813AE" w:rsidRPr="00FD7953">
        <w:rPr>
          <w:rFonts w:ascii="Cambria" w:hAnsi="Cambria" w:cs="Times New Roman"/>
          <w:b/>
          <w:sz w:val="24"/>
          <w:szCs w:val="24"/>
        </w:rPr>
        <w:t>3</w:t>
      </w:r>
      <w:r w:rsidR="004878C4" w:rsidRPr="00FD7953">
        <w:rPr>
          <w:rFonts w:ascii="Cambria" w:hAnsi="Cambria" w:cs="Times New Roman"/>
          <w:b/>
          <w:sz w:val="24"/>
          <w:szCs w:val="24"/>
        </w:rPr>
        <w:t xml:space="preserve">, </w:t>
      </w:r>
      <w:r w:rsidR="00D6349B">
        <w:rPr>
          <w:rFonts w:ascii="Cambria" w:hAnsi="Cambria" w:cs="Times New Roman"/>
          <w:b/>
          <w:sz w:val="24"/>
          <w:szCs w:val="24"/>
        </w:rPr>
        <w:t xml:space="preserve">de 2 de mayo, </w:t>
      </w:r>
      <w:r w:rsidR="004878C4" w:rsidRPr="00FD7953">
        <w:rPr>
          <w:rFonts w:ascii="Cambria" w:hAnsi="Cambria" w:cs="Times New Roman"/>
          <w:b/>
          <w:sz w:val="24"/>
          <w:szCs w:val="24"/>
        </w:rPr>
        <w:t>por la que se establecen las bases</w:t>
      </w:r>
      <w:r w:rsidR="00550BB7" w:rsidRPr="00FD7953">
        <w:rPr>
          <w:rFonts w:ascii="Cambria" w:hAnsi="Cambria" w:cs="Times New Roman"/>
          <w:b/>
          <w:sz w:val="24"/>
          <w:szCs w:val="24"/>
        </w:rPr>
        <w:t xml:space="preserve"> </w:t>
      </w:r>
      <w:r w:rsidR="004878C4" w:rsidRPr="00FD7953">
        <w:rPr>
          <w:rFonts w:ascii="Cambria" w:hAnsi="Cambria" w:cs="Times New Roman"/>
          <w:b/>
          <w:sz w:val="24"/>
          <w:szCs w:val="24"/>
        </w:rPr>
        <w:t xml:space="preserve">reguladoras </w:t>
      </w:r>
      <w:r w:rsidR="00F34561" w:rsidRPr="00FD7953">
        <w:rPr>
          <w:rFonts w:ascii="Cambria" w:hAnsi="Cambria" w:cs="Times New Roman"/>
          <w:b/>
          <w:sz w:val="24"/>
          <w:szCs w:val="24"/>
        </w:rPr>
        <w:t>y se convocan las</w:t>
      </w:r>
      <w:r w:rsidR="004878C4" w:rsidRPr="00FD7953">
        <w:rPr>
          <w:rFonts w:ascii="Cambria" w:hAnsi="Cambria" w:cs="Times New Roman"/>
          <w:b/>
          <w:sz w:val="24"/>
          <w:szCs w:val="24"/>
        </w:rPr>
        <w:t xml:space="preserve"> subvenciones</w:t>
      </w:r>
      <w:r w:rsidR="00800C21" w:rsidRPr="00FD7953">
        <w:rPr>
          <w:rFonts w:ascii="Cambria" w:hAnsi="Cambria" w:cs="Times New Roman"/>
          <w:b/>
          <w:sz w:val="24"/>
          <w:szCs w:val="24"/>
        </w:rPr>
        <w:t xml:space="preserve"> </w:t>
      </w:r>
      <w:r w:rsidR="004878C4" w:rsidRPr="00FD7953">
        <w:rPr>
          <w:rFonts w:ascii="Cambria" w:hAnsi="Cambria" w:cs="Times New Roman"/>
          <w:b/>
          <w:sz w:val="24"/>
          <w:szCs w:val="24"/>
        </w:rPr>
        <w:t xml:space="preserve">destinadas a </w:t>
      </w:r>
      <w:r w:rsidR="00857D0D" w:rsidRPr="00FD7953">
        <w:rPr>
          <w:rFonts w:ascii="Cambria" w:hAnsi="Cambria" w:cs="Times New Roman"/>
          <w:b/>
          <w:sz w:val="24"/>
          <w:szCs w:val="24"/>
        </w:rPr>
        <w:t xml:space="preserve">la </w:t>
      </w:r>
      <w:r w:rsidR="003A6399" w:rsidRPr="00FD7953">
        <w:rPr>
          <w:rFonts w:ascii="Cambria" w:hAnsi="Cambria" w:cs="Times New Roman"/>
          <w:b/>
          <w:sz w:val="24"/>
          <w:szCs w:val="24"/>
        </w:rPr>
        <w:t>ejecución de diversas acciones de refuerzo de conectividad en centros públicos de referencia, en el marco del</w:t>
      </w:r>
      <w:r w:rsidR="009813AE" w:rsidRPr="00FD7953">
        <w:rPr>
          <w:rFonts w:ascii="Cambria" w:hAnsi="Cambria" w:cs="Times New Roman"/>
          <w:b/>
          <w:sz w:val="24"/>
          <w:szCs w:val="24"/>
        </w:rPr>
        <w:t xml:space="preserve"> </w:t>
      </w:r>
      <w:r w:rsidR="003A6399" w:rsidRPr="00FD7953">
        <w:rPr>
          <w:rFonts w:ascii="Cambria" w:hAnsi="Cambria" w:cs="Times New Roman"/>
          <w:b/>
          <w:sz w:val="24"/>
          <w:szCs w:val="24"/>
        </w:rPr>
        <w:t>Plan de Recuperación, Transformación y Resiliencia</w:t>
      </w:r>
      <w:r w:rsidR="009813AE" w:rsidRPr="00FD7953">
        <w:rPr>
          <w:rFonts w:ascii="Cambria" w:hAnsi="Cambria" w:cs="Times New Roman"/>
          <w:b/>
          <w:sz w:val="24"/>
          <w:szCs w:val="24"/>
        </w:rPr>
        <w:t xml:space="preserve"> </w:t>
      </w:r>
      <w:r w:rsidR="00D80B86" w:rsidRPr="00FD7953">
        <w:rPr>
          <w:rFonts w:ascii="Cambria" w:hAnsi="Cambria" w:cs="Times New Roman"/>
          <w:b/>
          <w:sz w:val="24"/>
          <w:szCs w:val="24"/>
        </w:rPr>
        <w:t xml:space="preserve">- </w:t>
      </w:r>
      <w:r w:rsidR="000A24B6" w:rsidRPr="00FD7953">
        <w:rPr>
          <w:rFonts w:ascii="Cambria" w:hAnsi="Cambria" w:cs="Times New Roman"/>
          <w:b/>
          <w:sz w:val="24"/>
          <w:szCs w:val="24"/>
        </w:rPr>
        <w:t>F</w:t>
      </w:r>
      <w:r w:rsidR="00D80B86" w:rsidRPr="00FD7953">
        <w:rPr>
          <w:rFonts w:ascii="Cambria" w:hAnsi="Cambria" w:cs="Times New Roman"/>
          <w:b/>
          <w:sz w:val="24"/>
          <w:szCs w:val="24"/>
        </w:rPr>
        <w:t>inanciado por la Unión Europea-</w:t>
      </w:r>
      <w:proofErr w:type="spellStart"/>
      <w:r w:rsidR="00D80B86" w:rsidRPr="00FD7953">
        <w:rPr>
          <w:rFonts w:ascii="Cambria" w:hAnsi="Cambria" w:cs="Times New Roman"/>
          <w:b/>
          <w:sz w:val="24"/>
          <w:szCs w:val="24"/>
        </w:rPr>
        <w:t>NextGeneration</w:t>
      </w:r>
      <w:r w:rsidR="00D80B86" w:rsidRPr="00FD7953">
        <w:rPr>
          <w:rFonts w:ascii="Cambria" w:hAnsi="Cambria"/>
          <w:b/>
        </w:rPr>
        <w:t>EU</w:t>
      </w:r>
      <w:proofErr w:type="spellEnd"/>
      <w:r w:rsidR="000A24B6" w:rsidRPr="00FD7953">
        <w:rPr>
          <w:rFonts w:ascii="Cambria" w:hAnsi="Cambria"/>
          <w:b/>
        </w:rPr>
        <w:t>,</w:t>
      </w:r>
      <w:r w:rsidR="00D80B86" w:rsidRPr="00FD7953">
        <w:rPr>
          <w:rFonts w:ascii="Cambria" w:hAnsi="Cambria" w:cs="Times New Roman"/>
          <w:b/>
          <w:sz w:val="24"/>
          <w:szCs w:val="24"/>
        </w:rPr>
        <w:t xml:space="preserve"> </w:t>
      </w:r>
      <w:r w:rsidR="009813AE" w:rsidRPr="00FD7953">
        <w:rPr>
          <w:rFonts w:ascii="Cambria" w:hAnsi="Cambria" w:cs="Times New Roman"/>
          <w:b/>
          <w:sz w:val="24"/>
          <w:szCs w:val="24"/>
        </w:rPr>
        <w:t xml:space="preserve">en el año 2023. </w:t>
      </w:r>
      <w:r w:rsidR="00FD5526" w:rsidRPr="00FD7953">
        <w:rPr>
          <w:rFonts w:ascii="Cambria" w:hAnsi="Cambria" w:cs="Times New Roman"/>
          <w:b/>
          <w:sz w:val="24"/>
          <w:szCs w:val="24"/>
        </w:rPr>
        <w:t>Programa ÚNICO-SERVICIOS PÚBLICOS</w:t>
      </w:r>
      <w:r w:rsidR="000A24B6" w:rsidRPr="00FD7953">
        <w:rPr>
          <w:rFonts w:ascii="Cambria" w:hAnsi="Cambria" w:cs="Times New Roman"/>
          <w:b/>
          <w:sz w:val="24"/>
          <w:szCs w:val="24"/>
        </w:rPr>
        <w:t>.</w:t>
      </w:r>
    </w:p>
    <w:p w:rsidR="00DB4C64" w:rsidRPr="00FD7953" w:rsidRDefault="00DB4C64" w:rsidP="001646B8">
      <w:pPr>
        <w:autoSpaceDE w:val="0"/>
        <w:autoSpaceDN w:val="0"/>
        <w:adjustRightInd w:val="0"/>
        <w:spacing w:before="120" w:after="120" w:line="240" w:lineRule="auto"/>
        <w:jc w:val="center"/>
        <w:rPr>
          <w:rFonts w:ascii="Cambria" w:hAnsi="Cambria" w:cs="Times New Roman"/>
          <w:sz w:val="24"/>
          <w:szCs w:val="24"/>
        </w:rPr>
      </w:pPr>
    </w:p>
    <w:p w:rsidR="004878C4" w:rsidRPr="00FD7953" w:rsidRDefault="004878C4" w:rsidP="00D07CE4">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t>El Estatuto de Autonomía para Cantabria, aprobado por Ley Orgánica 8/1981, de 30 de diciembre,</w:t>
      </w:r>
      <w:r w:rsidR="00550BB7" w:rsidRPr="00FD7953">
        <w:rPr>
          <w:rFonts w:ascii="Cambria" w:hAnsi="Cambria" w:cs="Times New Roman"/>
          <w:sz w:val="24"/>
          <w:szCs w:val="24"/>
        </w:rPr>
        <w:t xml:space="preserve"> </w:t>
      </w:r>
      <w:r w:rsidRPr="00FD7953">
        <w:rPr>
          <w:rFonts w:ascii="Cambria" w:hAnsi="Cambria" w:cs="Times New Roman"/>
          <w:sz w:val="24"/>
          <w:szCs w:val="24"/>
        </w:rPr>
        <w:t>atribuye a esta Comunidad Autónoma competencia en el fomento de su desarrollo en</w:t>
      </w:r>
      <w:r w:rsidR="00550BB7" w:rsidRPr="00FD7953">
        <w:rPr>
          <w:rFonts w:ascii="Cambria" w:hAnsi="Cambria" w:cs="Times New Roman"/>
          <w:sz w:val="24"/>
          <w:szCs w:val="24"/>
        </w:rPr>
        <w:t xml:space="preserve"> </w:t>
      </w:r>
      <w:r w:rsidRPr="00FD7953">
        <w:rPr>
          <w:rFonts w:ascii="Cambria" w:hAnsi="Cambria" w:cs="Times New Roman"/>
          <w:sz w:val="24"/>
          <w:szCs w:val="24"/>
        </w:rPr>
        <w:t>los términos previstos en el artículo 24, así como competencias en prensa, radio, televisión y</w:t>
      </w:r>
      <w:r w:rsidR="00550BB7" w:rsidRPr="00FD7953">
        <w:rPr>
          <w:rFonts w:ascii="Cambria" w:hAnsi="Cambria" w:cs="Times New Roman"/>
          <w:sz w:val="24"/>
          <w:szCs w:val="24"/>
        </w:rPr>
        <w:t xml:space="preserve"> </w:t>
      </w:r>
      <w:r w:rsidRPr="00FD7953">
        <w:rPr>
          <w:rFonts w:ascii="Cambria" w:hAnsi="Cambria" w:cs="Times New Roman"/>
          <w:sz w:val="24"/>
          <w:szCs w:val="24"/>
        </w:rPr>
        <w:t>otros medios de comunicación social en el artículo 25.9, como una forma de mejorar el acceso</w:t>
      </w:r>
      <w:r w:rsidR="00550BB7" w:rsidRPr="00FD7953">
        <w:rPr>
          <w:rFonts w:ascii="Cambria" w:hAnsi="Cambria" w:cs="Times New Roman"/>
          <w:sz w:val="24"/>
          <w:szCs w:val="24"/>
        </w:rPr>
        <w:t xml:space="preserve"> </w:t>
      </w:r>
      <w:r w:rsidRPr="00FD7953">
        <w:rPr>
          <w:rFonts w:ascii="Cambria" w:hAnsi="Cambria" w:cs="Times New Roman"/>
          <w:sz w:val="24"/>
          <w:szCs w:val="24"/>
        </w:rPr>
        <w:t>a un medio esencial de comunicación y participación en la sociedad, así como de garantizar</w:t>
      </w:r>
      <w:r w:rsidR="00550BB7" w:rsidRPr="00FD7953">
        <w:rPr>
          <w:rFonts w:ascii="Cambria" w:hAnsi="Cambria" w:cs="Times New Roman"/>
          <w:sz w:val="24"/>
          <w:szCs w:val="24"/>
        </w:rPr>
        <w:t xml:space="preserve"> </w:t>
      </w:r>
      <w:r w:rsidRPr="00FD7953">
        <w:rPr>
          <w:rFonts w:ascii="Cambria" w:hAnsi="Cambria" w:cs="Times New Roman"/>
          <w:sz w:val="24"/>
          <w:szCs w:val="24"/>
        </w:rPr>
        <w:t>la libertad de expresión en todos los estratos sociales, reforzando de esta forma la cohesión</w:t>
      </w:r>
      <w:r w:rsidR="00550BB7" w:rsidRPr="00FD7953">
        <w:rPr>
          <w:rFonts w:ascii="Cambria" w:hAnsi="Cambria" w:cs="Times New Roman"/>
          <w:sz w:val="24"/>
          <w:szCs w:val="24"/>
        </w:rPr>
        <w:t xml:space="preserve"> </w:t>
      </w:r>
      <w:r w:rsidRPr="00FD7953">
        <w:rPr>
          <w:rFonts w:ascii="Cambria" w:hAnsi="Cambria" w:cs="Times New Roman"/>
          <w:sz w:val="24"/>
          <w:szCs w:val="24"/>
        </w:rPr>
        <w:t>social y territorial.</w:t>
      </w:r>
    </w:p>
    <w:p w:rsidR="0085202A" w:rsidRPr="00FD7953" w:rsidRDefault="0085202A" w:rsidP="00D07CE4">
      <w:pPr>
        <w:autoSpaceDE w:val="0"/>
        <w:autoSpaceDN w:val="0"/>
        <w:adjustRightInd w:val="0"/>
        <w:spacing w:after="0" w:line="240" w:lineRule="auto"/>
        <w:jc w:val="both"/>
        <w:rPr>
          <w:rFonts w:ascii="Cambria" w:hAnsi="Cambria" w:cs="Times New Roman"/>
          <w:sz w:val="24"/>
          <w:szCs w:val="24"/>
        </w:rPr>
      </w:pPr>
    </w:p>
    <w:p w:rsidR="0085202A" w:rsidRPr="00FD7953" w:rsidRDefault="0085202A" w:rsidP="0085202A">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t xml:space="preserve">Asimismo, el Decreto 11/2019, de 21 de febrero, estableció dentro de las competencias del Servicio de Telecomunicaciones de la Dirección General de Transportes y Comunicaciones, entre otras, el establecimiento de bases para el desarrollo de sistemas de ayudas para la potenciación de las nuevas tecnologías e inspección y control de las mismas, correspondiéndole, asimismo, el análisis y gestión de las redes de infraestructuras de telecomunicaciones, la relación con los operadores de telecomunicaciones de ámbito nacional, la coordinación con el resto de las Comunidades Autónomas en los ámbitos audiovisual, de telecomunicaciones y de sociedad de la información; o la promoción y despliegue de infraestructuras de telecomunicaciones de banda ancha (cable, ADSL, UMTS, PLC, WIFI, satélite). </w:t>
      </w:r>
    </w:p>
    <w:p w:rsidR="0085202A" w:rsidRPr="00FD7953" w:rsidRDefault="0085202A" w:rsidP="0085202A">
      <w:pPr>
        <w:autoSpaceDE w:val="0"/>
        <w:autoSpaceDN w:val="0"/>
        <w:adjustRightInd w:val="0"/>
        <w:spacing w:after="0" w:line="240" w:lineRule="auto"/>
        <w:jc w:val="both"/>
        <w:rPr>
          <w:rFonts w:ascii="Cambria" w:hAnsi="Cambria" w:cs="Times New Roman"/>
          <w:sz w:val="24"/>
          <w:szCs w:val="24"/>
        </w:rPr>
      </w:pPr>
    </w:p>
    <w:p w:rsidR="0085202A" w:rsidRPr="00FD7953" w:rsidRDefault="0085202A" w:rsidP="0085202A">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t>La magnitud de la crisis económica, social y sanitaria provocada por la pandemia COVID-19 ha exigido una respuesta común a escala europea que se ha materializado con la puesta en marcha del nuevo Fondo de Recuperación «</w:t>
      </w:r>
      <w:proofErr w:type="spellStart"/>
      <w:r w:rsidRPr="00FD7953">
        <w:rPr>
          <w:rFonts w:ascii="Cambria" w:hAnsi="Cambria" w:cs="Times New Roman"/>
          <w:sz w:val="24"/>
          <w:szCs w:val="24"/>
        </w:rPr>
        <w:t>Next</w:t>
      </w:r>
      <w:proofErr w:type="spellEnd"/>
      <w:r w:rsidRPr="00FD7953">
        <w:rPr>
          <w:rFonts w:ascii="Cambria" w:hAnsi="Cambria" w:cs="Times New Roman"/>
          <w:sz w:val="24"/>
          <w:szCs w:val="24"/>
        </w:rPr>
        <w:t xml:space="preserve"> </w:t>
      </w:r>
      <w:proofErr w:type="spellStart"/>
      <w:r w:rsidRPr="00FD7953">
        <w:rPr>
          <w:rFonts w:ascii="Cambria" w:hAnsi="Cambria" w:cs="Times New Roman"/>
          <w:sz w:val="24"/>
          <w:szCs w:val="24"/>
        </w:rPr>
        <w:t>Generation</w:t>
      </w:r>
      <w:proofErr w:type="spellEnd"/>
      <w:r w:rsidRPr="00FD7953">
        <w:rPr>
          <w:rFonts w:ascii="Cambria" w:hAnsi="Cambria" w:cs="Times New Roman"/>
          <w:sz w:val="24"/>
          <w:szCs w:val="24"/>
        </w:rPr>
        <w:t xml:space="preserve"> EU», cuyo objeto es contribuir al proceso de recuperación de las economías de la Unión a partir de 2021. Dentro de este Fondo, el Mecanismo de Recuperación y Resiliencia (MRR), establecido por el Reglamento (UE) 2021/241 del Parlamento Europeo y del Consejo, de 12 de febrero de 2021, permitirá a España movilizar un volumen de inversión sin precedentes.</w:t>
      </w:r>
    </w:p>
    <w:p w:rsidR="0085202A" w:rsidRPr="00FD7953" w:rsidRDefault="0085202A" w:rsidP="0085202A">
      <w:pPr>
        <w:autoSpaceDE w:val="0"/>
        <w:autoSpaceDN w:val="0"/>
        <w:adjustRightInd w:val="0"/>
        <w:spacing w:after="0" w:line="240" w:lineRule="auto"/>
        <w:jc w:val="both"/>
        <w:rPr>
          <w:rFonts w:ascii="Cambria" w:hAnsi="Cambria" w:cs="Times New Roman"/>
          <w:sz w:val="24"/>
          <w:szCs w:val="24"/>
        </w:rPr>
      </w:pPr>
    </w:p>
    <w:p w:rsidR="0085202A" w:rsidRPr="00FD7953" w:rsidRDefault="0085202A" w:rsidP="0085202A">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t>Con el fin de canalizar estas inversiones, contribuyendo a una recuperación sólida y sostenible de la economía española, el Plan de Recuperación, Transformación y Resiliencia (PRTR)</w:t>
      </w:r>
      <w:r w:rsidR="009F3A79">
        <w:rPr>
          <w:rFonts w:ascii="Cambria" w:hAnsi="Cambria" w:cs="Times New Roman"/>
          <w:sz w:val="24"/>
          <w:szCs w:val="24"/>
        </w:rPr>
        <w:t xml:space="preserve"> </w:t>
      </w:r>
      <w:r w:rsidR="009F3A79" w:rsidRPr="003828D2">
        <w:rPr>
          <w:rFonts w:ascii="Cambria" w:hAnsi="Cambria" w:cs="Times New Roman"/>
          <w:sz w:val="24"/>
          <w:szCs w:val="24"/>
        </w:rPr>
        <w:t>(</w:t>
      </w:r>
      <w:hyperlink r:id="rId8" w:history="1">
        <w:r w:rsidR="009F3A79" w:rsidRPr="003828D2">
          <w:rPr>
            <w:rStyle w:val="Hipervnculo"/>
            <w:rFonts w:ascii="Cambria" w:hAnsi="Cambria" w:cs="Times New Roman"/>
            <w:sz w:val="24"/>
            <w:szCs w:val="24"/>
          </w:rPr>
          <w:t>www.planderecuperacion.gob.es</w:t>
        </w:r>
      </w:hyperlink>
      <w:r w:rsidR="009F3A79">
        <w:rPr>
          <w:rFonts w:ascii="Cambria" w:hAnsi="Cambria" w:cs="Times New Roman"/>
          <w:sz w:val="24"/>
          <w:szCs w:val="24"/>
        </w:rPr>
        <w:t xml:space="preserve"> )</w:t>
      </w:r>
      <w:r w:rsidRPr="00FD7953">
        <w:rPr>
          <w:rFonts w:ascii="Cambria" w:hAnsi="Cambria" w:cs="Times New Roman"/>
          <w:sz w:val="24"/>
          <w:szCs w:val="24"/>
        </w:rPr>
        <w:t>, informado favorablemente por la Comisión Europea el 16 de junio de 2021 y aprobado por el Consejo de la Unión Europea el 6 de julio de 2021, traza la agenda para la modernización de la economía española haciendo uso de los recursos económicos que provendrán de este Fondo.</w:t>
      </w:r>
    </w:p>
    <w:p w:rsidR="0085202A" w:rsidRPr="00FD7953" w:rsidRDefault="0085202A" w:rsidP="0085202A">
      <w:pPr>
        <w:autoSpaceDE w:val="0"/>
        <w:autoSpaceDN w:val="0"/>
        <w:adjustRightInd w:val="0"/>
        <w:spacing w:after="0" w:line="240" w:lineRule="auto"/>
        <w:jc w:val="both"/>
        <w:rPr>
          <w:rFonts w:ascii="Cambria" w:hAnsi="Cambria" w:cs="Times New Roman"/>
          <w:sz w:val="24"/>
          <w:szCs w:val="24"/>
        </w:rPr>
      </w:pPr>
      <w:bookmarkStart w:id="0" w:name="_GoBack"/>
      <w:bookmarkEnd w:id="0"/>
    </w:p>
    <w:p w:rsidR="0085202A" w:rsidRPr="00FD7953" w:rsidRDefault="0085202A" w:rsidP="0085202A">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lastRenderedPageBreak/>
        <w:t xml:space="preserve">El PRTR es un proyecto de país que requiere de la implicación de todos los agentes económicos y sociales, de todos los niveles de gobierno y del conjunto de los recursos de la administración pública. Los proyectos que constituyen el PRTR permitirán la realización de reformas estructurales los próximos años, mediante cambios normativos e inversiones, y, por lo tanto, supondrán un cambio del modelo productivo para la recuperación de la economía tras la pandemia causada por la COVID-19. Además, la aplicación de estos fondos guiará una transformación de la estructura económica, convirtiéndola en más </w:t>
      </w:r>
      <w:proofErr w:type="spellStart"/>
      <w:r w:rsidRPr="00FD7953">
        <w:rPr>
          <w:rFonts w:ascii="Cambria" w:hAnsi="Cambria" w:cs="Times New Roman"/>
          <w:sz w:val="24"/>
          <w:szCs w:val="24"/>
        </w:rPr>
        <w:t>resiliente</w:t>
      </w:r>
      <w:proofErr w:type="spellEnd"/>
      <w:r w:rsidRPr="00FD7953">
        <w:rPr>
          <w:rFonts w:ascii="Cambria" w:hAnsi="Cambria" w:cs="Times New Roman"/>
          <w:sz w:val="24"/>
          <w:szCs w:val="24"/>
        </w:rPr>
        <w:t xml:space="preserve"> e inclusiva, de especial relevancia, para el interés público, social y económico.</w:t>
      </w:r>
    </w:p>
    <w:p w:rsidR="0085202A" w:rsidRPr="00FD7953" w:rsidRDefault="0085202A" w:rsidP="0085202A">
      <w:pPr>
        <w:autoSpaceDE w:val="0"/>
        <w:autoSpaceDN w:val="0"/>
        <w:adjustRightInd w:val="0"/>
        <w:spacing w:after="0" w:line="240" w:lineRule="auto"/>
        <w:jc w:val="both"/>
        <w:rPr>
          <w:rFonts w:ascii="Cambria" w:hAnsi="Cambria" w:cs="Times New Roman"/>
          <w:sz w:val="24"/>
          <w:szCs w:val="24"/>
        </w:rPr>
      </w:pPr>
    </w:p>
    <w:p w:rsidR="0085202A" w:rsidRPr="00FD7953" w:rsidRDefault="0085202A" w:rsidP="0085202A">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t>Con el objeto de facilitar el diseño y la ejecución de las actuaciones financiables con fondos europeos,  así  como  la  implementación  del  Plan,  mediante  Real  Decreto-ley 36/2020, de 30 de diciembre, por el que se aprueban medidas urgentes para la modernización de la Administración Pública y para la ejecución del Plan de Recuperación, Transformación y Resiliencia, se han aprobado medidas urgentes para la modernización de la Administración Pública y para la ejecución del Plan  de Recuperación Transformación y Resiliencia.</w:t>
      </w:r>
    </w:p>
    <w:p w:rsidR="0085202A" w:rsidRPr="00FD7953" w:rsidRDefault="0085202A" w:rsidP="0085202A">
      <w:pPr>
        <w:autoSpaceDE w:val="0"/>
        <w:autoSpaceDN w:val="0"/>
        <w:adjustRightInd w:val="0"/>
        <w:spacing w:after="0" w:line="240" w:lineRule="auto"/>
        <w:jc w:val="both"/>
        <w:rPr>
          <w:rFonts w:ascii="Cambria" w:hAnsi="Cambria" w:cs="Times New Roman"/>
          <w:sz w:val="24"/>
          <w:szCs w:val="24"/>
        </w:rPr>
      </w:pPr>
    </w:p>
    <w:p w:rsidR="0085202A" w:rsidRPr="00FD7953" w:rsidRDefault="0085202A" w:rsidP="0085202A">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t>Dentro de las diez políticas palanca que contempla el PRTR, una de las treinta líneas de acción que se identifican es la componente 15 (Conectividad digital, impulso a la ciberseguridad y despliegue del 5G), que tiene entre sus objetivos el impulso a la trasformación digital, apostando porque el 100 por ciento de la población disponga de una conectividad adecuada, promoviendo así la desaparición de la brecha digital entre zonas rurales y urbanas.</w:t>
      </w:r>
    </w:p>
    <w:p w:rsidR="0085202A" w:rsidRPr="00FD7953" w:rsidRDefault="0085202A" w:rsidP="0085202A">
      <w:pPr>
        <w:autoSpaceDE w:val="0"/>
        <w:autoSpaceDN w:val="0"/>
        <w:adjustRightInd w:val="0"/>
        <w:spacing w:after="0" w:line="240" w:lineRule="auto"/>
        <w:jc w:val="both"/>
        <w:rPr>
          <w:rFonts w:ascii="Cambria" w:hAnsi="Cambria" w:cs="Times New Roman"/>
          <w:sz w:val="24"/>
          <w:szCs w:val="24"/>
        </w:rPr>
      </w:pPr>
    </w:p>
    <w:p w:rsidR="0085202A" w:rsidRPr="00FD7953" w:rsidRDefault="0085202A" w:rsidP="0085202A">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t>En línea con el citado Plan para la Conectividad, dentro de esta componente 15 del PRTR se contempla la inversión C15.I2 «Acciones de refuerzo de conectividad en centros de referencia, motores socioeconómicos y proyectos tractores de digitalización sectorial», que incluye acciones de refuerzo de la conectividad en centros de referencia, mediante la puesta en marcha de medidas para potenciar la conectividad y equipamiento de centros públicos que permiten acceder a servicios públicos esenciales, asistenciales y sociales tales como hospitales, centros de salud, centros educativos y de formación y otros centros de referencia y servicios públicos en las diversas provincias.</w:t>
      </w:r>
    </w:p>
    <w:p w:rsidR="0085202A" w:rsidRPr="00FD7953" w:rsidRDefault="0085202A" w:rsidP="0085202A">
      <w:pPr>
        <w:autoSpaceDE w:val="0"/>
        <w:autoSpaceDN w:val="0"/>
        <w:adjustRightInd w:val="0"/>
        <w:spacing w:after="0" w:line="240" w:lineRule="auto"/>
        <w:jc w:val="both"/>
        <w:rPr>
          <w:rFonts w:ascii="Cambria" w:hAnsi="Cambria" w:cs="Times New Roman"/>
          <w:sz w:val="24"/>
          <w:szCs w:val="24"/>
        </w:rPr>
      </w:pPr>
    </w:p>
    <w:p w:rsidR="0085202A" w:rsidRPr="00FD7953" w:rsidRDefault="0085202A" w:rsidP="0085202A">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t>De acuerdo con lo previsto en el PRTR, dicha inversión -que incluye que al menos 9.000 centros de referencia y servicios públicos (como centros de salud, centros de educación y formación y centros de I + D públicos) alcancen una velocidad de conectividad de 1-Gigabit-, deberá haberse implementado a más tardar el 31 de diciembre de 2023.</w:t>
      </w:r>
      <w:r w:rsidR="00154994" w:rsidRPr="00FD7953">
        <w:rPr>
          <w:rFonts w:ascii="Cambria" w:hAnsi="Cambria" w:cs="Times New Roman"/>
          <w:sz w:val="24"/>
          <w:szCs w:val="24"/>
        </w:rPr>
        <w:t xml:space="preserve"> </w:t>
      </w:r>
    </w:p>
    <w:p w:rsidR="0085202A" w:rsidRPr="00FD7953" w:rsidRDefault="0085202A" w:rsidP="0085202A">
      <w:pPr>
        <w:autoSpaceDE w:val="0"/>
        <w:autoSpaceDN w:val="0"/>
        <w:adjustRightInd w:val="0"/>
        <w:spacing w:after="0" w:line="240" w:lineRule="auto"/>
        <w:jc w:val="both"/>
        <w:rPr>
          <w:rFonts w:ascii="Cambria" w:hAnsi="Cambria" w:cs="Times New Roman"/>
          <w:sz w:val="24"/>
          <w:szCs w:val="24"/>
        </w:rPr>
      </w:pPr>
    </w:p>
    <w:p w:rsidR="0085202A" w:rsidRPr="00FD7953" w:rsidRDefault="0085202A" w:rsidP="0085202A">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t>Estas actuaciones enlazan con las contempladas en el Plan para el despliegue de infraestructuras digitales previsto en la Agenda del Cambio para la promoción del avance científico y tecnológico, que incluye el despliegue de redes de banda ancha de velocidad ultra rápida para facilitar la transformación digital de la economía y de la sociedad, avanzando así en la consecución de los objetivos establecidos por la Comisión Europea en el documento «La conectividad para un mercado único digital competitivo – hacia una sociedad europea del Gigabit», que persigue una cobertura universal de la banda ancha a velocidades de más 100 megabits por segundo (Mbps).</w:t>
      </w:r>
    </w:p>
    <w:p w:rsidR="0085202A" w:rsidRPr="00FD7953" w:rsidRDefault="0085202A" w:rsidP="0085202A">
      <w:pPr>
        <w:autoSpaceDE w:val="0"/>
        <w:autoSpaceDN w:val="0"/>
        <w:adjustRightInd w:val="0"/>
        <w:spacing w:after="0" w:line="240" w:lineRule="auto"/>
        <w:jc w:val="both"/>
        <w:rPr>
          <w:rFonts w:ascii="Cambria" w:hAnsi="Cambria" w:cs="Times New Roman"/>
          <w:sz w:val="24"/>
          <w:szCs w:val="24"/>
        </w:rPr>
      </w:pPr>
    </w:p>
    <w:p w:rsidR="0085202A" w:rsidRPr="00FD7953" w:rsidRDefault="0085202A" w:rsidP="0085202A">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t>Así, es necesario cubrir con redes de banda ancha ultrarrápida todos los hogares y empresas de Cantabria lo antes posible. Hasta la fecha, las diferentes convocatorias dirigidas a Ayuntamientos, dejan aún un amplio margen de actuación en centros públicos de referencia, donde las redes de banda ancha de nueva generación de muy alta velocidad resultan especialmente necesarias para el desarrollo social de la región.</w:t>
      </w:r>
    </w:p>
    <w:p w:rsidR="0085202A" w:rsidRPr="00FD7953" w:rsidRDefault="0085202A" w:rsidP="00D07CE4">
      <w:pPr>
        <w:autoSpaceDE w:val="0"/>
        <w:autoSpaceDN w:val="0"/>
        <w:adjustRightInd w:val="0"/>
        <w:spacing w:after="0" w:line="240" w:lineRule="auto"/>
        <w:jc w:val="both"/>
        <w:rPr>
          <w:rFonts w:ascii="Cambria" w:hAnsi="Cambria" w:cs="Times New Roman"/>
          <w:sz w:val="24"/>
          <w:szCs w:val="24"/>
        </w:rPr>
      </w:pPr>
    </w:p>
    <w:p w:rsidR="0068321B" w:rsidRPr="00FD7953" w:rsidRDefault="0068321B" w:rsidP="0068321B">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t>Al ser las telecomunicaciones y la sociedad de la información elementos imprescindibles para el desarrollo de las actividades propias de una sociedad moderna, constituye una de las prioridades del Gobierno de Cantabria que la Comunidad Autónoma pueda disponer de una red de telecomunicaciones de banda ancha en extensión y calidad adecuadas en el conjunto de su territorio, ajustándose a la Agenda España Digital 2025, que tiene como uno de sus ejes estratégicos la conectividad digital. Se trata de garantizar una conectividad digital adecuada para toda la población, promoviendo la desaparición de la brecha digital entre zonas rurales y urbanas, con el objetivo de que el 100% de la población tenga cobertura de 100 Mbps en 2025.</w:t>
      </w:r>
    </w:p>
    <w:p w:rsidR="0068321B" w:rsidRPr="00FD7953" w:rsidRDefault="0068321B" w:rsidP="00D07CE4">
      <w:pPr>
        <w:autoSpaceDE w:val="0"/>
        <w:autoSpaceDN w:val="0"/>
        <w:adjustRightInd w:val="0"/>
        <w:spacing w:after="0" w:line="240" w:lineRule="auto"/>
        <w:jc w:val="both"/>
        <w:rPr>
          <w:rFonts w:ascii="Cambria" w:hAnsi="Cambria" w:cs="Times New Roman"/>
          <w:sz w:val="24"/>
          <w:szCs w:val="24"/>
        </w:rPr>
      </w:pPr>
    </w:p>
    <w:p w:rsidR="00550BB7" w:rsidRPr="00FD7953" w:rsidRDefault="00550BB7" w:rsidP="00D07CE4">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t>Para dar cumplimiento a la exigencia europea, la Comunidad Autónoma de Cantabria ha querido materializar la continuidad de su compromiso con las políticas en materia de innovación, en concreto con la Agenda Digital, fomentando su conocimiento, estudio e implementación a través de la Estrategia de Acción Dinámica para la Banda Ancha "Conecta Cantabria", aprobada por Consejo de Gobierno de 9 de noviembre de 2017, con el objetivo principal de desarrollar actuaciones para fomentar el despliegue de redes y servicios de banda ancha en orden a garantizar la conectividad digital, estrategia que establece como imprescindible complementar la dotación de infraestructuras y servicios con actuaciones de diseminación y aprendizaje digital para la ciudadanía, sobre todo, en colectivos con riesgo de exclusión digital.</w:t>
      </w:r>
    </w:p>
    <w:p w:rsidR="00E60FBA" w:rsidRPr="00FD7953" w:rsidRDefault="00E60FBA" w:rsidP="0068321B">
      <w:pPr>
        <w:autoSpaceDE w:val="0"/>
        <w:autoSpaceDN w:val="0"/>
        <w:adjustRightInd w:val="0"/>
        <w:spacing w:after="0" w:line="240" w:lineRule="auto"/>
        <w:jc w:val="both"/>
        <w:rPr>
          <w:rFonts w:ascii="Cambria" w:hAnsi="Cambria" w:cs="Times New Roman"/>
          <w:sz w:val="24"/>
          <w:szCs w:val="24"/>
        </w:rPr>
      </w:pPr>
    </w:p>
    <w:p w:rsidR="003A6399" w:rsidRPr="00FD7953" w:rsidRDefault="003A6399" w:rsidP="003A6399">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t>La Agenda España Digital 2025 recoge un conjunto de medidas, reformas e inversiones, articuladas en diez ejes estratégicos alineados con las políticas digitales marcadas por la Comisión Europea para el nuevo periodo. Las acciones de la Agenda están orientadas a impulsar un crecimiento más sostenible e inclusivo, impulsado por las sinergias de las transiciones digital y ecológica, que llegue al conjunto de la sociedad, marcándose como uno de sus objetivos el de garantizar una conectividad digital adecuada para el 100 por ciento de la población, promoviendo la desaparición de la brecha digital entre zonas rurales y urbanas (meta 2025: 100 por ciento de la población con cobertura 100 Mbps).</w:t>
      </w:r>
    </w:p>
    <w:p w:rsidR="003A6399" w:rsidRPr="00FD7953" w:rsidRDefault="003A6399" w:rsidP="003A6399">
      <w:pPr>
        <w:autoSpaceDE w:val="0"/>
        <w:autoSpaceDN w:val="0"/>
        <w:adjustRightInd w:val="0"/>
        <w:spacing w:after="0" w:line="240" w:lineRule="auto"/>
        <w:jc w:val="both"/>
        <w:rPr>
          <w:rFonts w:ascii="Cambria" w:hAnsi="Cambria" w:cs="Times New Roman"/>
          <w:sz w:val="24"/>
          <w:szCs w:val="24"/>
        </w:rPr>
      </w:pPr>
    </w:p>
    <w:p w:rsidR="003A6399" w:rsidRPr="00FD7953" w:rsidRDefault="003A6399" w:rsidP="003A6399">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t>Como parte del esfuerzo de la Agenda España Digital 2025, el Plan para la Conectividad y las Infraestructuras Digitales de la sociedad, la economía y los territorios (en adelante, Plan para la Conectividad), aprobado por Acuerdo del Consejo de Ministros el día 1 de diciembre de 2020, contiene como medida 2 el refuerzo de la conectividad en centros de referencia y servicios esenciales.</w:t>
      </w:r>
    </w:p>
    <w:p w:rsidR="003A6399" w:rsidRPr="00FD7953" w:rsidRDefault="003A6399" w:rsidP="003A6399">
      <w:pPr>
        <w:autoSpaceDE w:val="0"/>
        <w:autoSpaceDN w:val="0"/>
        <w:adjustRightInd w:val="0"/>
        <w:spacing w:after="0" w:line="240" w:lineRule="auto"/>
        <w:jc w:val="both"/>
        <w:rPr>
          <w:rFonts w:ascii="Cambria" w:hAnsi="Cambria" w:cs="Times New Roman"/>
          <w:sz w:val="24"/>
          <w:szCs w:val="24"/>
        </w:rPr>
      </w:pPr>
    </w:p>
    <w:p w:rsidR="003A6399" w:rsidRPr="00FD7953" w:rsidRDefault="003A6399" w:rsidP="003A6399">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t>La conectividad entendida en un sentido amplio es aquella que permite acceder a servicios esenciales educativos, socio sanitarios y de comercio de bienes y servicios desde cualquier zona y en particular desde las zonas rurales por medios telemáticos, lo que exige la puesta en marcha de medidas que potencien la conectividad en centros públicos que prestan servicios, asistenciales y sociales tales como hospitales, centros de salud, centros educativos y de formación y otros centros de referencia públicos en las diversas provincias, contribuyendo al mismo tiempo a hacer frente al reto demográfico.</w:t>
      </w:r>
    </w:p>
    <w:p w:rsidR="003A6399" w:rsidRPr="00FD7953" w:rsidRDefault="003A6399" w:rsidP="003A6399">
      <w:pPr>
        <w:autoSpaceDE w:val="0"/>
        <w:autoSpaceDN w:val="0"/>
        <w:adjustRightInd w:val="0"/>
        <w:spacing w:after="0" w:line="240" w:lineRule="auto"/>
        <w:jc w:val="both"/>
        <w:rPr>
          <w:rFonts w:ascii="Cambria" w:hAnsi="Cambria" w:cs="Times New Roman"/>
          <w:sz w:val="24"/>
          <w:szCs w:val="24"/>
        </w:rPr>
      </w:pPr>
    </w:p>
    <w:p w:rsidR="0085202A" w:rsidRPr="00FD7953" w:rsidRDefault="0085202A" w:rsidP="0085202A">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t xml:space="preserve">En este contexto ha de tenerse en cuenta, asimismo, la regulación establecida en la Ley </w:t>
      </w:r>
      <w:r w:rsidR="00FD5526" w:rsidRPr="00FD7953">
        <w:rPr>
          <w:rFonts w:ascii="Cambria" w:hAnsi="Cambria" w:cs="Times New Roman"/>
          <w:sz w:val="24"/>
          <w:szCs w:val="24"/>
        </w:rPr>
        <w:t>11</w:t>
      </w:r>
      <w:r w:rsidRPr="00FD7953">
        <w:rPr>
          <w:rFonts w:ascii="Cambria" w:hAnsi="Cambria" w:cs="Times New Roman"/>
          <w:sz w:val="24"/>
          <w:szCs w:val="24"/>
        </w:rPr>
        <w:t>/20</w:t>
      </w:r>
      <w:r w:rsidR="00FD5526" w:rsidRPr="00FD7953">
        <w:rPr>
          <w:rFonts w:ascii="Cambria" w:hAnsi="Cambria" w:cs="Times New Roman"/>
          <w:sz w:val="24"/>
          <w:szCs w:val="24"/>
        </w:rPr>
        <w:t>22</w:t>
      </w:r>
      <w:r w:rsidRPr="00FD7953">
        <w:rPr>
          <w:rFonts w:ascii="Cambria" w:hAnsi="Cambria" w:cs="Times New Roman"/>
          <w:sz w:val="24"/>
          <w:szCs w:val="24"/>
        </w:rPr>
        <w:t xml:space="preserve">, de </w:t>
      </w:r>
      <w:r w:rsidR="00FD5526" w:rsidRPr="00FD7953">
        <w:rPr>
          <w:rFonts w:ascii="Cambria" w:hAnsi="Cambria" w:cs="Times New Roman"/>
          <w:sz w:val="24"/>
          <w:szCs w:val="24"/>
        </w:rPr>
        <w:t>28 de junio</w:t>
      </w:r>
      <w:r w:rsidRPr="00FD7953">
        <w:rPr>
          <w:rFonts w:ascii="Cambria" w:hAnsi="Cambria" w:cs="Times New Roman"/>
          <w:sz w:val="24"/>
          <w:szCs w:val="24"/>
        </w:rPr>
        <w:t>, General de Telecomunicaciones, y la Ley 34/2002, de 11 de julio, de servicios de la sociedad de la información y de comercio electrónico, que establecen el acceso adecuado a Internet como servicio universal, y el Reglamento (UE) Nº 651/2014, de la Comisión, de 17 de junio de 2014, por el que se declaran determinadas categorías de ayudas compatibles con el mercado interior en aplicación de los artículos 107 y 108 del Tratado (Diario Oficial de la Unión Europea L 187/1, de 26 de junio de 2014). Por todo ello, con el fin de impulsar la expansión de la Sociedad de la Información y, en general, el desarrollo integral de Cantabria, se estima adecuado articular una línea de subvenciones a través de la presente Orden con el fin último de minimizar la denominada "brecha digital", que debe ser ejecutada con criterios de neutralidad tecnológica, equiparación geográfica y libre competencia. Se pretende garantizar que las ayudas redunden en un mayor grado de cobertura y penetración de la banda ancha, o a un ritmo más rápido de lo que lo haría sin la ayuda, apoyando al mismo tiempo unos servicios de mayor calidad y más asequibles, unas inversiones que favorezcan la competencia y que, asimismo, los efectos positivos de la ayuda contrarresten los falseamientos de la competencia.</w:t>
      </w:r>
    </w:p>
    <w:p w:rsidR="0085202A" w:rsidRPr="00FD7953" w:rsidRDefault="0085202A" w:rsidP="003A6399">
      <w:pPr>
        <w:autoSpaceDE w:val="0"/>
        <w:autoSpaceDN w:val="0"/>
        <w:adjustRightInd w:val="0"/>
        <w:spacing w:after="0" w:line="240" w:lineRule="auto"/>
        <w:jc w:val="both"/>
        <w:rPr>
          <w:rFonts w:ascii="Cambria" w:hAnsi="Cambria" w:cs="Times New Roman"/>
          <w:sz w:val="24"/>
          <w:szCs w:val="24"/>
        </w:rPr>
      </w:pPr>
    </w:p>
    <w:p w:rsidR="003A6399" w:rsidRPr="00FD7953" w:rsidRDefault="003A6399" w:rsidP="003A6399">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t xml:space="preserve">A tal efecto, </w:t>
      </w:r>
      <w:r w:rsidR="00762CBD" w:rsidRPr="00FD7953">
        <w:rPr>
          <w:rFonts w:ascii="Cambria" w:hAnsi="Cambria" w:cs="Times New Roman"/>
          <w:sz w:val="24"/>
          <w:szCs w:val="24"/>
        </w:rPr>
        <w:t xml:space="preserve">con esta orden se regulan </w:t>
      </w:r>
      <w:r w:rsidRPr="00FD7953">
        <w:rPr>
          <w:rFonts w:ascii="Cambria" w:hAnsi="Cambria" w:cs="Times New Roman"/>
          <w:sz w:val="24"/>
          <w:szCs w:val="24"/>
        </w:rPr>
        <w:t xml:space="preserve">ayudas destinadas al refuerzo de la conectividad a velocidades de 1 </w:t>
      </w:r>
      <w:proofErr w:type="spellStart"/>
      <w:r w:rsidRPr="00FD7953">
        <w:rPr>
          <w:rFonts w:ascii="Cambria" w:hAnsi="Cambria" w:cs="Times New Roman"/>
          <w:sz w:val="24"/>
          <w:szCs w:val="24"/>
        </w:rPr>
        <w:t>Gbps</w:t>
      </w:r>
      <w:proofErr w:type="spellEnd"/>
      <w:r w:rsidRPr="00FD7953">
        <w:rPr>
          <w:rFonts w:ascii="Cambria" w:hAnsi="Cambria" w:cs="Times New Roman"/>
          <w:sz w:val="24"/>
          <w:szCs w:val="24"/>
        </w:rPr>
        <w:t>, en centros públicos de referencia y para el refuerzo de las redes de comunicaciones electrónicas de los propios centros públicos de referencia.</w:t>
      </w:r>
    </w:p>
    <w:p w:rsidR="00762CBD" w:rsidRPr="00FD7953" w:rsidRDefault="00762CBD" w:rsidP="003A6399">
      <w:pPr>
        <w:autoSpaceDE w:val="0"/>
        <w:autoSpaceDN w:val="0"/>
        <w:adjustRightInd w:val="0"/>
        <w:spacing w:after="0" w:line="240" w:lineRule="auto"/>
        <w:jc w:val="both"/>
        <w:rPr>
          <w:rFonts w:ascii="Cambria" w:hAnsi="Cambria" w:cs="Times New Roman"/>
          <w:sz w:val="24"/>
          <w:szCs w:val="24"/>
        </w:rPr>
      </w:pPr>
    </w:p>
    <w:p w:rsidR="00762CBD" w:rsidRPr="00FD7953" w:rsidRDefault="003A6399" w:rsidP="00762CBD">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t xml:space="preserve">Las redes que se </w:t>
      </w:r>
      <w:r w:rsidR="00762CBD" w:rsidRPr="00FD7953">
        <w:rPr>
          <w:rFonts w:ascii="Cambria" w:hAnsi="Cambria" w:cs="Times New Roman"/>
          <w:sz w:val="24"/>
          <w:szCs w:val="24"/>
        </w:rPr>
        <w:t>refuercen</w:t>
      </w:r>
      <w:r w:rsidRPr="00FD7953">
        <w:rPr>
          <w:rFonts w:ascii="Cambria" w:hAnsi="Cambria" w:cs="Times New Roman"/>
          <w:sz w:val="24"/>
          <w:szCs w:val="24"/>
        </w:rPr>
        <w:t xml:space="preserve"> para llevar a cabo este objetivo</w:t>
      </w:r>
      <w:r w:rsidR="00762CBD" w:rsidRPr="00FD7953">
        <w:rPr>
          <w:rFonts w:ascii="Cambria" w:hAnsi="Cambria" w:cs="Times New Roman"/>
          <w:sz w:val="24"/>
          <w:szCs w:val="24"/>
        </w:rPr>
        <w:t>, podrán haber sido objeto o no de convocatorias anteriores,</w:t>
      </w:r>
      <w:r w:rsidR="00F07244" w:rsidRPr="00FD7953">
        <w:rPr>
          <w:rFonts w:ascii="Cambria" w:hAnsi="Cambria" w:cs="Times New Roman"/>
          <w:sz w:val="24"/>
          <w:szCs w:val="24"/>
        </w:rPr>
        <w:t xml:space="preserve"> </w:t>
      </w:r>
      <w:r w:rsidRPr="00FD7953">
        <w:rPr>
          <w:rFonts w:ascii="Cambria" w:hAnsi="Cambria" w:cs="Times New Roman"/>
          <w:sz w:val="24"/>
          <w:szCs w:val="24"/>
        </w:rPr>
        <w:t>serán de titularidad pública y no están destinadas a ser explotadas comercialmente, por lo que no resulta de aplicación la normativa europea en materia de ayudas de Estado.</w:t>
      </w:r>
    </w:p>
    <w:p w:rsidR="00FA7713" w:rsidRPr="00FD7953" w:rsidRDefault="00FA7713" w:rsidP="00762CBD">
      <w:pPr>
        <w:autoSpaceDE w:val="0"/>
        <w:autoSpaceDN w:val="0"/>
        <w:adjustRightInd w:val="0"/>
        <w:spacing w:after="0" w:line="240" w:lineRule="auto"/>
        <w:jc w:val="both"/>
        <w:rPr>
          <w:rFonts w:ascii="Cambria" w:hAnsi="Cambria" w:cs="Times New Roman"/>
          <w:sz w:val="24"/>
          <w:szCs w:val="24"/>
        </w:rPr>
      </w:pPr>
    </w:p>
    <w:p w:rsidR="00FA7713" w:rsidRPr="00FD7953" w:rsidRDefault="00FA7713" w:rsidP="00FA7713">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t>En este sentido</w:t>
      </w:r>
      <w:r w:rsidR="008E65B5" w:rsidRPr="00FD7953">
        <w:rPr>
          <w:rFonts w:ascii="Cambria" w:hAnsi="Cambria" w:cs="Times New Roman"/>
          <w:sz w:val="24"/>
          <w:szCs w:val="24"/>
        </w:rPr>
        <w:t>,</w:t>
      </w:r>
      <w:r w:rsidRPr="00FD7953">
        <w:rPr>
          <w:rFonts w:ascii="Cambria" w:hAnsi="Cambria" w:cs="Times New Roman"/>
          <w:sz w:val="24"/>
          <w:szCs w:val="24"/>
        </w:rPr>
        <w:t xml:space="preserve"> con fecha 22 de julio de 2022 </w:t>
      </w:r>
      <w:r w:rsidR="008E65B5" w:rsidRPr="00FD7953">
        <w:rPr>
          <w:rFonts w:ascii="Cambria" w:hAnsi="Cambria" w:cs="Times New Roman"/>
          <w:sz w:val="24"/>
          <w:szCs w:val="24"/>
        </w:rPr>
        <w:t xml:space="preserve">ya </w:t>
      </w:r>
      <w:r w:rsidRPr="00FD7953">
        <w:rPr>
          <w:rFonts w:ascii="Cambria" w:hAnsi="Cambria" w:cs="Times New Roman"/>
          <w:sz w:val="24"/>
          <w:szCs w:val="24"/>
        </w:rPr>
        <w:t xml:space="preserve">fue publicada en el Boletín Oficial de Cantabria la Orden IND/51/2022, de 8 de julio, por al que se establecen las bases reguladoras y se convocan subvenciones destinadas a la ejecución de diversas acciones de refuerzo de conectividad en centros públicos de referencia, en el marco del Plan de Recuperación, Transformación y </w:t>
      </w:r>
      <w:r w:rsidR="008E65B5" w:rsidRPr="00FD7953">
        <w:rPr>
          <w:rFonts w:ascii="Cambria" w:hAnsi="Cambria" w:cs="Times New Roman"/>
          <w:sz w:val="24"/>
          <w:szCs w:val="24"/>
        </w:rPr>
        <w:t>Resiliencia, incluyendo proyectos financiados con cargo al presupuesto del ejercicio 2022.</w:t>
      </w:r>
    </w:p>
    <w:p w:rsidR="00FA7713" w:rsidRPr="00FD7953" w:rsidRDefault="00FA7713" w:rsidP="00FA7713">
      <w:pPr>
        <w:autoSpaceDE w:val="0"/>
        <w:autoSpaceDN w:val="0"/>
        <w:adjustRightInd w:val="0"/>
        <w:spacing w:after="0" w:line="240" w:lineRule="auto"/>
        <w:jc w:val="both"/>
        <w:rPr>
          <w:rFonts w:ascii="Cambria" w:hAnsi="Cambria" w:cs="Times New Roman"/>
          <w:sz w:val="24"/>
          <w:szCs w:val="24"/>
        </w:rPr>
      </w:pPr>
    </w:p>
    <w:p w:rsidR="00F07244" w:rsidRPr="00FD7953" w:rsidRDefault="00550BB7" w:rsidP="00F07244">
      <w:pPr>
        <w:autoSpaceDE w:val="0"/>
        <w:autoSpaceDN w:val="0"/>
        <w:adjustRightInd w:val="0"/>
        <w:spacing w:after="0" w:line="240" w:lineRule="auto"/>
        <w:jc w:val="both"/>
        <w:rPr>
          <w:rFonts w:ascii="Cambria" w:hAnsi="Cambria" w:cs="Times New Roman"/>
          <w:sz w:val="24"/>
          <w:szCs w:val="24"/>
        </w:rPr>
      </w:pPr>
      <w:r w:rsidRPr="00FD7953">
        <w:rPr>
          <w:rFonts w:ascii="Cambria" w:hAnsi="Cambria" w:cs="Times New Roman"/>
          <w:sz w:val="24"/>
          <w:szCs w:val="24"/>
        </w:rPr>
        <w:t>Por todo ello, en virtud de las atribuciones conferidas en el artículo 35.f) de la Ley de Cantabria</w:t>
      </w:r>
      <w:r w:rsidR="00D07CE4" w:rsidRPr="00FD7953">
        <w:rPr>
          <w:rFonts w:ascii="Cambria" w:hAnsi="Cambria" w:cs="Times New Roman"/>
          <w:sz w:val="24"/>
          <w:szCs w:val="24"/>
        </w:rPr>
        <w:t xml:space="preserve"> </w:t>
      </w:r>
      <w:r w:rsidRPr="00FD7953">
        <w:rPr>
          <w:rFonts w:ascii="Cambria" w:hAnsi="Cambria" w:cs="Times New Roman"/>
          <w:sz w:val="24"/>
          <w:szCs w:val="24"/>
        </w:rPr>
        <w:t>5/2018, de 22 de noviembre, de Régimen Jurídico del Gobierno, de la Administración y</w:t>
      </w:r>
      <w:r w:rsidR="00D07CE4" w:rsidRPr="00FD7953">
        <w:rPr>
          <w:rFonts w:ascii="Cambria" w:hAnsi="Cambria" w:cs="Times New Roman"/>
          <w:sz w:val="24"/>
          <w:szCs w:val="24"/>
        </w:rPr>
        <w:t xml:space="preserve"> </w:t>
      </w:r>
      <w:r w:rsidRPr="00FD7953">
        <w:rPr>
          <w:rFonts w:ascii="Cambria" w:hAnsi="Cambria" w:cs="Times New Roman"/>
          <w:sz w:val="24"/>
          <w:szCs w:val="24"/>
        </w:rPr>
        <w:t>del Sector Público Institucional de la Comunidad Autónoma de Cantabria.</w:t>
      </w:r>
    </w:p>
    <w:p w:rsidR="00762CBD" w:rsidRPr="00FD7953" w:rsidRDefault="006C71AF" w:rsidP="006C71AF">
      <w:pPr>
        <w:autoSpaceDE w:val="0"/>
        <w:autoSpaceDN w:val="0"/>
        <w:adjustRightInd w:val="0"/>
        <w:spacing w:before="600" w:after="600"/>
        <w:jc w:val="center"/>
        <w:rPr>
          <w:rFonts w:ascii="Cambria" w:eastAsia="Calibri" w:hAnsi="Cambria" w:cs="Arial"/>
          <w:sz w:val="24"/>
          <w:szCs w:val="24"/>
        </w:rPr>
      </w:pPr>
      <w:r w:rsidRPr="00FD7953">
        <w:rPr>
          <w:rFonts w:ascii="Cambria" w:eastAsia="Calibri" w:hAnsi="Cambria" w:cs="Arial"/>
          <w:sz w:val="24"/>
          <w:szCs w:val="24"/>
        </w:rPr>
        <w:t>RESUELVO</w:t>
      </w:r>
    </w:p>
    <w:p w:rsidR="00762CBD" w:rsidRPr="00FD7953" w:rsidRDefault="006C71AF" w:rsidP="00762CBD">
      <w:pPr>
        <w:jc w:val="both"/>
        <w:rPr>
          <w:rFonts w:ascii="Cambria" w:hAnsi="Cambria" w:cs="Arial"/>
          <w:b/>
          <w:sz w:val="24"/>
          <w:szCs w:val="24"/>
        </w:rPr>
      </w:pPr>
      <w:r w:rsidRPr="00FD7953">
        <w:rPr>
          <w:rFonts w:ascii="Cambria" w:hAnsi="Cambria" w:cs="Arial"/>
          <w:b/>
          <w:sz w:val="24"/>
          <w:szCs w:val="24"/>
        </w:rPr>
        <w:t>Primero</w:t>
      </w:r>
      <w:r w:rsidR="00762CBD" w:rsidRPr="00FD7953">
        <w:rPr>
          <w:rFonts w:ascii="Cambria" w:hAnsi="Cambria" w:cs="Arial"/>
          <w:b/>
          <w:sz w:val="24"/>
          <w:szCs w:val="24"/>
        </w:rPr>
        <w:t>. Objeto y finalidad.</w:t>
      </w:r>
    </w:p>
    <w:p w:rsidR="00762CBD" w:rsidRDefault="00762CBD" w:rsidP="008B3F85">
      <w:pPr>
        <w:pStyle w:val="Prrafodelista"/>
        <w:numPr>
          <w:ilvl w:val="0"/>
          <w:numId w:val="23"/>
        </w:numPr>
        <w:tabs>
          <w:tab w:val="left" w:pos="284"/>
        </w:tabs>
        <w:spacing w:before="120" w:after="120"/>
        <w:ind w:left="0" w:firstLine="0"/>
        <w:jc w:val="both"/>
        <w:rPr>
          <w:rFonts w:ascii="Cambria" w:hAnsi="Cambria" w:cs="Arial"/>
          <w:sz w:val="24"/>
          <w:szCs w:val="24"/>
        </w:rPr>
      </w:pPr>
      <w:r w:rsidRPr="00FD7953">
        <w:rPr>
          <w:rFonts w:ascii="Cambria" w:hAnsi="Cambria" w:cs="Arial"/>
          <w:sz w:val="24"/>
          <w:szCs w:val="24"/>
        </w:rPr>
        <w:t>La presente orden tiene por objeto establecer las bases reguladoras y convocar las subvenciones, a conceder en régimen de concurrencia competitiva</w:t>
      </w:r>
      <w:r w:rsidR="00877A7D" w:rsidRPr="00FD7953">
        <w:rPr>
          <w:rFonts w:ascii="Cambria" w:hAnsi="Cambria" w:cs="Arial"/>
          <w:sz w:val="24"/>
          <w:szCs w:val="24"/>
        </w:rPr>
        <w:t xml:space="preserve"> para los municipios de la Comunidad Autónoma de Cantabria</w:t>
      </w:r>
      <w:r w:rsidRPr="00FD7953">
        <w:rPr>
          <w:rFonts w:ascii="Cambria" w:hAnsi="Cambria" w:cs="Arial"/>
          <w:sz w:val="24"/>
          <w:szCs w:val="24"/>
        </w:rPr>
        <w:t xml:space="preserve">, destinadas al refuerzo de la conectividad a velocidades de 1 </w:t>
      </w:r>
      <w:proofErr w:type="spellStart"/>
      <w:r w:rsidRPr="00FD7953">
        <w:rPr>
          <w:rFonts w:ascii="Cambria" w:hAnsi="Cambria" w:cs="Arial"/>
          <w:sz w:val="24"/>
          <w:szCs w:val="24"/>
        </w:rPr>
        <w:t>Gbps</w:t>
      </w:r>
      <w:proofErr w:type="spellEnd"/>
      <w:r w:rsidRPr="00FD7953">
        <w:rPr>
          <w:rFonts w:ascii="Cambria" w:hAnsi="Cambria" w:cs="Arial"/>
          <w:sz w:val="24"/>
          <w:szCs w:val="24"/>
        </w:rPr>
        <w:t>, en centros públicos de referencia y para el refuerzo de las redes de comunicaciones electrónicas de los propios centros públicos de referencia</w:t>
      </w:r>
      <w:r w:rsidR="009813AE" w:rsidRPr="00FD7953">
        <w:rPr>
          <w:rFonts w:ascii="Cambria" w:hAnsi="Cambria" w:cs="Arial"/>
          <w:sz w:val="24"/>
          <w:szCs w:val="24"/>
        </w:rPr>
        <w:t xml:space="preserve"> para el ejercicio 2023</w:t>
      </w:r>
      <w:r w:rsidRPr="00FD7953">
        <w:rPr>
          <w:rFonts w:ascii="Cambria" w:hAnsi="Cambria" w:cs="Arial"/>
          <w:sz w:val="24"/>
          <w:szCs w:val="24"/>
        </w:rPr>
        <w:t>.</w:t>
      </w:r>
    </w:p>
    <w:p w:rsidR="00373477" w:rsidRPr="00FD7953" w:rsidRDefault="00373477" w:rsidP="00373477">
      <w:pPr>
        <w:pStyle w:val="Prrafodelista"/>
        <w:spacing w:before="120" w:after="120"/>
        <w:ind w:left="0"/>
        <w:jc w:val="both"/>
        <w:rPr>
          <w:rFonts w:ascii="Cambria" w:hAnsi="Cambria" w:cs="Arial"/>
          <w:sz w:val="24"/>
          <w:szCs w:val="24"/>
        </w:rPr>
      </w:pPr>
    </w:p>
    <w:p w:rsidR="00EA138D" w:rsidRPr="002D5E8D" w:rsidRDefault="00EA138D" w:rsidP="002D5E8D">
      <w:pPr>
        <w:pStyle w:val="Prrafodelista"/>
        <w:spacing w:before="120" w:after="120"/>
        <w:ind w:left="0"/>
        <w:jc w:val="both"/>
        <w:rPr>
          <w:rFonts w:ascii="Cambria" w:hAnsi="Cambria" w:cs="Arial"/>
          <w:sz w:val="24"/>
          <w:szCs w:val="24"/>
        </w:rPr>
      </w:pPr>
      <w:r w:rsidRPr="002D5E8D">
        <w:rPr>
          <w:rFonts w:ascii="Cambria" w:hAnsi="Cambria" w:cs="Arial"/>
          <w:sz w:val="24"/>
          <w:szCs w:val="24"/>
        </w:rPr>
        <w:t>Las subvenciones que se concedan al amparo de esta orden se enmarcan en el Plan de Recuperación, Transformación y Resiliencia (PRTR), instrumento de financiación orientado a los resultados, hitos y objetivos indicados en el mismo, que resultan vinculantes para todas las administraciones públicas participantes. De manera específica, estas bases reguladoras se dictan en desarrollo del Componente 15, Inversión 2 (C15.I2), del mencionado PRTR</w:t>
      </w:r>
      <w:r w:rsidR="00FD5526" w:rsidRPr="002D5E8D">
        <w:rPr>
          <w:rFonts w:ascii="Cambria" w:hAnsi="Cambria" w:cs="Arial"/>
          <w:sz w:val="24"/>
          <w:szCs w:val="24"/>
        </w:rPr>
        <w:t xml:space="preserve">, dentro del Programa </w:t>
      </w:r>
      <w:r w:rsidR="00E82E22" w:rsidRPr="002D5E8D">
        <w:rPr>
          <w:rFonts w:ascii="Cambria" w:hAnsi="Cambria" w:cs="Arial"/>
          <w:sz w:val="24"/>
          <w:szCs w:val="24"/>
        </w:rPr>
        <w:t>ÚNICO SERVICIOS</w:t>
      </w:r>
      <w:r w:rsidR="00FD5526" w:rsidRPr="002D5E8D">
        <w:rPr>
          <w:rFonts w:ascii="Cambria" w:hAnsi="Cambria" w:cs="Arial"/>
          <w:sz w:val="24"/>
          <w:szCs w:val="24"/>
        </w:rPr>
        <w:t xml:space="preserve"> </w:t>
      </w:r>
      <w:r w:rsidR="00E82E22" w:rsidRPr="002D5E8D">
        <w:rPr>
          <w:rFonts w:ascii="Cambria" w:hAnsi="Cambria" w:cs="Arial"/>
          <w:sz w:val="24"/>
          <w:szCs w:val="24"/>
        </w:rPr>
        <w:t>PÚBLICOS</w:t>
      </w:r>
    </w:p>
    <w:p w:rsidR="00EA138D" w:rsidRPr="00FD7953" w:rsidRDefault="00EA138D" w:rsidP="001D3A75">
      <w:pPr>
        <w:spacing w:before="120" w:after="120"/>
        <w:jc w:val="both"/>
        <w:rPr>
          <w:rFonts w:ascii="Cambria" w:hAnsi="Cambria" w:cs="Arial"/>
          <w:sz w:val="24"/>
          <w:szCs w:val="24"/>
        </w:rPr>
      </w:pPr>
      <w:r w:rsidRPr="00FD7953">
        <w:rPr>
          <w:rFonts w:ascii="Cambria" w:hAnsi="Cambria" w:cs="Arial"/>
          <w:sz w:val="24"/>
          <w:szCs w:val="24"/>
        </w:rPr>
        <w:t>L</w:t>
      </w:r>
      <w:r w:rsidR="00762CBD" w:rsidRPr="00FD7953">
        <w:rPr>
          <w:rFonts w:ascii="Cambria" w:hAnsi="Cambria" w:cs="Arial"/>
          <w:sz w:val="24"/>
          <w:szCs w:val="24"/>
        </w:rPr>
        <w:t xml:space="preserve">a </w:t>
      </w:r>
      <w:r w:rsidRPr="00FD7953">
        <w:rPr>
          <w:rFonts w:ascii="Cambria" w:hAnsi="Cambria" w:cs="Arial"/>
          <w:sz w:val="24"/>
          <w:szCs w:val="24"/>
        </w:rPr>
        <w:t>C15.I2 se refiere a</w:t>
      </w:r>
      <w:r w:rsidR="00762CBD" w:rsidRPr="00FD7953">
        <w:rPr>
          <w:rFonts w:ascii="Cambria" w:hAnsi="Cambria" w:cs="Arial"/>
          <w:sz w:val="24"/>
          <w:szCs w:val="24"/>
        </w:rPr>
        <w:t xml:space="preserve"> «Acciones de refuerzo de conectividad en centros de referencia, motores socioeconómicos y proyectos tractores de digitalización sectorial»,</w:t>
      </w:r>
      <w:r w:rsidRPr="00FD7953">
        <w:rPr>
          <w:rFonts w:ascii="Cambria" w:hAnsi="Cambria" w:cs="Arial"/>
          <w:sz w:val="24"/>
          <w:szCs w:val="24"/>
        </w:rPr>
        <w:t xml:space="preserve"> e</w:t>
      </w:r>
      <w:r w:rsidR="00762CBD" w:rsidRPr="00FD7953">
        <w:rPr>
          <w:rFonts w:ascii="Cambria" w:hAnsi="Cambria" w:cs="Arial"/>
          <w:sz w:val="24"/>
          <w:szCs w:val="24"/>
        </w:rPr>
        <w:t xml:space="preserve"> incluye acciones de refuerzo de la conectividad en centros de referencia, mediante la puesta en marcha de medidas para potenciar la conectividad y equipamiento de centros públicos que permiten acceder a servicios públicos esenciales, asistenciales y sociales tales como hospitales, centros de salud, centros educativos y de formación y otros centros de referencia y servicios públicos en las diversas provincias</w:t>
      </w:r>
      <w:r w:rsidR="00BE1801" w:rsidRPr="00FD7953">
        <w:rPr>
          <w:rFonts w:ascii="Cambria" w:hAnsi="Cambria" w:cs="Arial"/>
          <w:sz w:val="24"/>
          <w:szCs w:val="24"/>
        </w:rPr>
        <w:t>.</w:t>
      </w:r>
    </w:p>
    <w:p w:rsidR="00BE1801" w:rsidRPr="00FD7953" w:rsidRDefault="00BE1801" w:rsidP="008B3F85">
      <w:pPr>
        <w:pStyle w:val="Prrafodelista"/>
        <w:numPr>
          <w:ilvl w:val="0"/>
          <w:numId w:val="23"/>
        </w:numPr>
        <w:tabs>
          <w:tab w:val="left" w:pos="284"/>
        </w:tabs>
        <w:spacing w:before="120" w:after="120"/>
        <w:ind w:left="0" w:firstLine="0"/>
        <w:jc w:val="both"/>
        <w:rPr>
          <w:rFonts w:ascii="Cambria" w:hAnsi="Cambria" w:cs="Arial"/>
          <w:sz w:val="24"/>
          <w:szCs w:val="24"/>
        </w:rPr>
      </w:pPr>
      <w:r w:rsidRPr="00FD7953">
        <w:rPr>
          <w:rFonts w:ascii="Cambria" w:hAnsi="Cambria" w:cs="Arial"/>
          <w:sz w:val="24"/>
          <w:szCs w:val="24"/>
        </w:rPr>
        <w:t>Los efectos de estas bases reguladoras se agotan con la propia convocatoria, por lo que aquéllas participan de la naturaleza de la convocatoria, en virtud de lo previsto en el artículo 23.2.a), párrafo segundo, de la Ley 10/2006, de Subvenciones de Cantabria.</w:t>
      </w:r>
    </w:p>
    <w:p w:rsidR="00762CBD" w:rsidRPr="00FD7953" w:rsidRDefault="006C71AF" w:rsidP="0094427F">
      <w:pPr>
        <w:autoSpaceDE w:val="0"/>
        <w:autoSpaceDN w:val="0"/>
        <w:adjustRightInd w:val="0"/>
        <w:spacing w:before="200"/>
        <w:jc w:val="both"/>
        <w:rPr>
          <w:rFonts w:ascii="Cambria" w:hAnsi="Cambria" w:cs="Arial"/>
          <w:b/>
          <w:sz w:val="24"/>
          <w:szCs w:val="24"/>
        </w:rPr>
      </w:pPr>
      <w:r w:rsidRPr="00FD7953">
        <w:rPr>
          <w:rFonts w:ascii="Cambria" w:hAnsi="Cambria" w:cs="Arial"/>
          <w:b/>
          <w:sz w:val="24"/>
          <w:szCs w:val="24"/>
        </w:rPr>
        <w:t>Segundo</w:t>
      </w:r>
      <w:r w:rsidR="00762CBD" w:rsidRPr="00FD7953">
        <w:rPr>
          <w:rFonts w:ascii="Cambria" w:hAnsi="Cambria" w:cs="Arial"/>
          <w:b/>
          <w:sz w:val="24"/>
          <w:szCs w:val="24"/>
        </w:rPr>
        <w:t>. Financiación de las ayudas.</w:t>
      </w:r>
    </w:p>
    <w:p w:rsidR="00762CBD" w:rsidRPr="00FD7953" w:rsidRDefault="00762CBD" w:rsidP="00824F6E">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1. Las actuaciones subvencionadas en esta orden serán financiadas con recursos provenientes de la Unión Europea, a través del Mecanismo de Recuperación y Resiliencia, establecido por el Reglamento (UE) 2021/241 del Parlamento Europeo y del Consejo, de 12 de febrero de 2021, que forma parte del Fondo de Recuperación «</w:t>
      </w:r>
      <w:proofErr w:type="spellStart"/>
      <w:r w:rsidRPr="00FD7953">
        <w:rPr>
          <w:rFonts w:ascii="Cambria" w:hAnsi="Cambria" w:cs="Arial"/>
          <w:sz w:val="24"/>
          <w:szCs w:val="24"/>
        </w:rPr>
        <w:t>Next</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Generation</w:t>
      </w:r>
      <w:proofErr w:type="spellEnd"/>
      <w:r w:rsidRPr="00FD7953">
        <w:rPr>
          <w:rFonts w:ascii="Cambria" w:hAnsi="Cambria" w:cs="Arial"/>
          <w:sz w:val="24"/>
          <w:szCs w:val="24"/>
        </w:rPr>
        <w:t xml:space="preserve"> EU»</w:t>
      </w:r>
      <w:r w:rsidR="00824F6E" w:rsidRPr="00FD7953">
        <w:rPr>
          <w:rFonts w:ascii="Cambria" w:hAnsi="Cambria" w:cs="Arial"/>
          <w:sz w:val="24"/>
          <w:szCs w:val="24"/>
        </w:rPr>
        <w:t>. A estos efectos, se reconoce la plena aplicación de los mecanismos de gestión y control incluidos en el Real Decreto-ley 36/2020, de 30 de diciembre, así como cualquier otra exigencia específica cuya aplicación sea de obligado cumplimiento en el marco de ejecución del PRTR, incluso en el caso de que hubiera entrado en vigor con posterioridad a la publicación de esta orden.</w:t>
      </w:r>
    </w:p>
    <w:p w:rsidR="00E82E22" w:rsidRPr="00FD7953" w:rsidRDefault="00BE1801" w:rsidP="00BE1801">
      <w:pPr>
        <w:spacing w:before="120" w:after="120"/>
        <w:jc w:val="both"/>
        <w:rPr>
          <w:rFonts w:ascii="Cambria" w:hAnsi="Cambria" w:cs="Arial"/>
          <w:sz w:val="24"/>
          <w:szCs w:val="24"/>
        </w:rPr>
      </w:pPr>
      <w:r w:rsidRPr="00FD7953">
        <w:rPr>
          <w:rFonts w:ascii="Cambria" w:hAnsi="Cambria" w:cs="Arial"/>
          <w:sz w:val="24"/>
          <w:szCs w:val="24"/>
        </w:rPr>
        <w:t xml:space="preserve">2. </w:t>
      </w:r>
      <w:bookmarkStart w:id="1" w:name="_Hlk129350745"/>
      <w:r w:rsidRPr="00FD7953">
        <w:rPr>
          <w:rFonts w:ascii="Cambria" w:hAnsi="Cambria" w:cs="Arial"/>
          <w:sz w:val="24"/>
          <w:szCs w:val="24"/>
        </w:rPr>
        <w:t>La financiación de estas subvenciones será de hasta</w:t>
      </w:r>
      <w:r w:rsidR="00024085" w:rsidRPr="00FD7953">
        <w:rPr>
          <w:rFonts w:ascii="Cambria" w:hAnsi="Cambria" w:cs="Arial"/>
          <w:sz w:val="24"/>
          <w:szCs w:val="24"/>
        </w:rPr>
        <w:t xml:space="preserve"> 847</w:t>
      </w:r>
      <w:r w:rsidR="009813AE" w:rsidRPr="00FD7953">
        <w:rPr>
          <w:rFonts w:ascii="Cambria" w:hAnsi="Cambria" w:cs="Arial"/>
          <w:sz w:val="24"/>
          <w:szCs w:val="24"/>
        </w:rPr>
        <w:t>.000</w:t>
      </w:r>
      <w:r w:rsidR="00CC52F4" w:rsidRPr="00FD7953">
        <w:rPr>
          <w:rFonts w:ascii="Cambria" w:hAnsi="Cambria" w:cs="Arial"/>
          <w:sz w:val="24"/>
          <w:szCs w:val="24"/>
        </w:rPr>
        <w:t xml:space="preserve"> €</w:t>
      </w:r>
      <w:r w:rsidR="00E82E22" w:rsidRPr="00FD7953">
        <w:rPr>
          <w:rFonts w:ascii="Cambria" w:hAnsi="Cambria" w:cs="Arial"/>
          <w:sz w:val="24"/>
          <w:szCs w:val="24"/>
        </w:rPr>
        <w:t>. S</w:t>
      </w:r>
      <w:r w:rsidR="007F7532" w:rsidRPr="00FD7953">
        <w:rPr>
          <w:rFonts w:ascii="Cambria" w:hAnsi="Cambria" w:cs="Arial"/>
          <w:sz w:val="24"/>
          <w:szCs w:val="24"/>
        </w:rPr>
        <w:t>e</w:t>
      </w:r>
      <w:r w:rsidRPr="00FD7953">
        <w:rPr>
          <w:rFonts w:ascii="Cambria" w:hAnsi="Cambria" w:cs="Arial"/>
          <w:sz w:val="24"/>
          <w:szCs w:val="24"/>
        </w:rPr>
        <w:t xml:space="preserve"> llevará a cabo con cargo a la</w:t>
      </w:r>
      <w:r w:rsidR="00E82E22" w:rsidRPr="00FD7953">
        <w:rPr>
          <w:rFonts w:ascii="Cambria" w:hAnsi="Cambria" w:cs="Arial"/>
          <w:sz w:val="24"/>
          <w:szCs w:val="24"/>
        </w:rPr>
        <w:t xml:space="preserve">s siguientes </w:t>
      </w:r>
      <w:r w:rsidRPr="00FD7953">
        <w:rPr>
          <w:rFonts w:ascii="Cambria" w:hAnsi="Cambria" w:cs="Arial"/>
          <w:sz w:val="24"/>
          <w:szCs w:val="24"/>
        </w:rPr>
        <w:t>aplicaci</w:t>
      </w:r>
      <w:r w:rsidR="00E82E22" w:rsidRPr="00FD7953">
        <w:rPr>
          <w:rFonts w:ascii="Cambria" w:hAnsi="Cambria" w:cs="Arial"/>
          <w:sz w:val="24"/>
          <w:szCs w:val="24"/>
        </w:rPr>
        <w:t xml:space="preserve">ones </w:t>
      </w:r>
      <w:r w:rsidRPr="00FD7953">
        <w:rPr>
          <w:rFonts w:ascii="Cambria" w:hAnsi="Cambria" w:cs="Arial"/>
          <w:sz w:val="24"/>
          <w:szCs w:val="24"/>
        </w:rPr>
        <w:t>presupuestaria</w:t>
      </w:r>
      <w:r w:rsidR="00E82E22" w:rsidRPr="00FD7953">
        <w:rPr>
          <w:rFonts w:ascii="Cambria" w:hAnsi="Cambria" w:cs="Arial"/>
          <w:sz w:val="24"/>
          <w:szCs w:val="24"/>
        </w:rPr>
        <w:t>s de los Presupuestos Generales de la Comunidad Autónoma de Cantabria para el año 2023:</w:t>
      </w:r>
    </w:p>
    <w:p w:rsidR="00E82E22" w:rsidRPr="00FD7953" w:rsidRDefault="00E82E22" w:rsidP="00E82E22">
      <w:pPr>
        <w:pStyle w:val="Prrafodelista"/>
        <w:numPr>
          <w:ilvl w:val="0"/>
          <w:numId w:val="24"/>
        </w:numPr>
        <w:spacing w:before="120" w:after="120"/>
        <w:jc w:val="both"/>
        <w:rPr>
          <w:rFonts w:ascii="Cambria" w:hAnsi="Cambria" w:cs="Arial"/>
          <w:sz w:val="24"/>
          <w:szCs w:val="24"/>
        </w:rPr>
      </w:pPr>
      <w:r w:rsidRPr="00FD7953">
        <w:rPr>
          <w:rFonts w:ascii="Cambria" w:hAnsi="Cambria" w:cs="Arial"/>
          <w:sz w:val="24"/>
          <w:szCs w:val="24"/>
        </w:rPr>
        <w:t xml:space="preserve">Hasta 700.000€ de la </w:t>
      </w:r>
      <w:r w:rsidR="00CC52F4" w:rsidRPr="00FD7953">
        <w:rPr>
          <w:rFonts w:ascii="Cambria" w:hAnsi="Cambria" w:cs="Arial"/>
          <w:sz w:val="24"/>
          <w:szCs w:val="24"/>
        </w:rPr>
        <w:t xml:space="preserve">12.05.140A.761 “Centros de </w:t>
      </w:r>
      <w:r w:rsidR="00AF3C14" w:rsidRPr="00FD7953">
        <w:rPr>
          <w:rFonts w:ascii="Cambria" w:hAnsi="Cambria" w:cs="Arial"/>
          <w:sz w:val="24"/>
          <w:szCs w:val="24"/>
        </w:rPr>
        <w:t>Referencia”</w:t>
      </w:r>
      <w:r w:rsidRPr="00FD7953">
        <w:rPr>
          <w:rFonts w:ascii="Cambria" w:hAnsi="Cambria" w:cs="Arial"/>
          <w:sz w:val="24"/>
          <w:szCs w:val="24"/>
        </w:rPr>
        <w:t>, para financiar la base imponible de los proyectos subvencionados, siendo fondos provenientes de la Unión Europea</w:t>
      </w:r>
    </w:p>
    <w:p w:rsidR="00BE1801" w:rsidRPr="00FD7953" w:rsidRDefault="00E82E22" w:rsidP="00E82E22">
      <w:pPr>
        <w:pStyle w:val="Prrafodelista"/>
        <w:numPr>
          <w:ilvl w:val="0"/>
          <w:numId w:val="24"/>
        </w:numPr>
        <w:spacing w:before="120" w:after="120"/>
        <w:jc w:val="both"/>
        <w:rPr>
          <w:rFonts w:ascii="Cambria" w:hAnsi="Cambria" w:cs="Arial"/>
          <w:sz w:val="24"/>
          <w:szCs w:val="24"/>
        </w:rPr>
      </w:pPr>
      <w:r w:rsidRPr="00FD7953">
        <w:rPr>
          <w:rFonts w:ascii="Cambria" w:hAnsi="Cambria" w:cs="Arial"/>
          <w:sz w:val="24"/>
          <w:szCs w:val="24"/>
        </w:rPr>
        <w:t>Hasta 147.000€ de</w:t>
      </w:r>
      <w:r w:rsidR="001314CC" w:rsidRPr="00FD7953">
        <w:rPr>
          <w:rFonts w:ascii="Cambria" w:hAnsi="Cambria" w:cs="Arial"/>
          <w:sz w:val="24"/>
          <w:szCs w:val="24"/>
        </w:rPr>
        <w:t xml:space="preserve"> la 12.05.453C</w:t>
      </w:r>
      <w:r w:rsidR="00BE1801" w:rsidRPr="00FD7953">
        <w:rPr>
          <w:rFonts w:ascii="Cambria" w:hAnsi="Cambria" w:cs="Arial"/>
          <w:sz w:val="24"/>
          <w:szCs w:val="24"/>
        </w:rPr>
        <w:t>.</w:t>
      </w:r>
      <w:r w:rsidR="001314CC" w:rsidRPr="00FD7953">
        <w:rPr>
          <w:rFonts w:ascii="Cambria" w:hAnsi="Cambria" w:cs="Arial"/>
          <w:sz w:val="24"/>
          <w:szCs w:val="24"/>
        </w:rPr>
        <w:t>761 “Zonas Blancas de Telecomunicaciones Conecta Cantabria”</w:t>
      </w:r>
      <w:r w:rsidRPr="00FD7953">
        <w:rPr>
          <w:rFonts w:ascii="Cambria" w:hAnsi="Cambria" w:cs="Arial"/>
          <w:sz w:val="24"/>
          <w:szCs w:val="24"/>
        </w:rPr>
        <w:t>, para financia</w:t>
      </w:r>
      <w:r w:rsidR="00F55606" w:rsidRPr="00FD7953">
        <w:rPr>
          <w:rFonts w:ascii="Cambria" w:hAnsi="Cambria" w:cs="Arial"/>
          <w:sz w:val="24"/>
          <w:szCs w:val="24"/>
        </w:rPr>
        <w:t>r</w:t>
      </w:r>
      <w:r w:rsidRPr="00FD7953">
        <w:rPr>
          <w:rFonts w:ascii="Cambria" w:hAnsi="Cambria" w:cs="Arial"/>
          <w:sz w:val="24"/>
          <w:szCs w:val="24"/>
        </w:rPr>
        <w:t xml:space="preserve"> el IVA de los proyectos subvencionados.</w:t>
      </w:r>
    </w:p>
    <w:bookmarkEnd w:id="1"/>
    <w:p w:rsidR="0068321B" w:rsidRPr="00FD7953" w:rsidRDefault="00BE1801" w:rsidP="00EF21DF">
      <w:pPr>
        <w:autoSpaceDE w:val="0"/>
        <w:autoSpaceDN w:val="0"/>
        <w:adjustRightInd w:val="0"/>
        <w:spacing w:before="120" w:after="120"/>
        <w:jc w:val="both"/>
        <w:rPr>
          <w:rFonts w:ascii="Cambria" w:eastAsia="Calibri" w:hAnsi="Cambria" w:cs="Arial"/>
          <w:sz w:val="24"/>
          <w:szCs w:val="24"/>
        </w:rPr>
      </w:pPr>
      <w:r w:rsidRPr="00FD7953">
        <w:rPr>
          <w:rFonts w:ascii="Cambria" w:eastAsia="Calibri" w:hAnsi="Cambria" w:cs="Arial"/>
          <w:sz w:val="24"/>
          <w:szCs w:val="24"/>
        </w:rPr>
        <w:t>Los créditos asignados a esta convocatoria podrán ser modificados. En primer lugar, si</w:t>
      </w:r>
      <w:r w:rsidR="00567FC0" w:rsidRPr="00FD7953">
        <w:rPr>
          <w:rFonts w:ascii="Cambria" w:eastAsia="Calibri" w:hAnsi="Cambria" w:cs="Arial"/>
          <w:sz w:val="24"/>
          <w:szCs w:val="24"/>
        </w:rPr>
        <w:t xml:space="preserve"> </w:t>
      </w:r>
      <w:r w:rsidRPr="00FD7953">
        <w:rPr>
          <w:rFonts w:ascii="Cambria" w:eastAsia="Calibri" w:hAnsi="Cambria" w:cs="Arial"/>
          <w:sz w:val="24"/>
          <w:szCs w:val="24"/>
        </w:rPr>
        <w:t>como consecuencia de los plazos establecidos en el Real Decreto 9</w:t>
      </w:r>
      <w:r w:rsidR="00044190" w:rsidRPr="00FD7953">
        <w:rPr>
          <w:rFonts w:ascii="Cambria" w:eastAsia="Calibri" w:hAnsi="Cambria" w:cs="Arial"/>
          <w:sz w:val="24"/>
          <w:szCs w:val="24"/>
        </w:rPr>
        <w:t>87</w:t>
      </w:r>
      <w:r w:rsidRPr="00FD7953">
        <w:rPr>
          <w:rFonts w:ascii="Cambria" w:eastAsia="Calibri" w:hAnsi="Cambria" w:cs="Arial"/>
          <w:sz w:val="24"/>
          <w:szCs w:val="24"/>
        </w:rPr>
        <w:t>/2021, de 16 de noviembre para las distintas fases de las subvenciones, que exceden el ejercicio presupuestario, procede minorar dichos créditos y generarlos en su caso, en ejercicios posteriores. En segundo lugar, si se procede a una ampliación como consecuencia de la existencia de disponibilidad presupuestaria adicional tanto con fondos que provengan de los Presupuestos Generales del Estado, como de otros orígenes, siempre que hayan sido transferidos o reconocidos los créditos en la Secretaría de Estado de Telecomunicaciones e Infraestructuras Digitales</w:t>
      </w:r>
      <w:r w:rsidR="00567FC0" w:rsidRPr="00FD7953">
        <w:rPr>
          <w:rFonts w:ascii="Cambria" w:eastAsia="Calibri" w:hAnsi="Cambria" w:cs="Arial"/>
          <w:sz w:val="24"/>
          <w:szCs w:val="24"/>
        </w:rPr>
        <w:t>,</w:t>
      </w:r>
      <w:r w:rsidRPr="00FD7953">
        <w:rPr>
          <w:rFonts w:ascii="Cambria" w:eastAsia="Calibri" w:hAnsi="Cambria" w:cs="Arial"/>
          <w:sz w:val="24"/>
          <w:szCs w:val="24"/>
        </w:rPr>
        <w:t xml:space="preserve"> tal y como establece el a</w:t>
      </w:r>
      <w:r w:rsidR="00044190" w:rsidRPr="00FD7953">
        <w:rPr>
          <w:rFonts w:ascii="Cambria" w:eastAsia="Calibri" w:hAnsi="Cambria" w:cs="Arial"/>
          <w:sz w:val="24"/>
          <w:szCs w:val="24"/>
        </w:rPr>
        <w:t>rtículo 11.3 del Real Decreto 987</w:t>
      </w:r>
      <w:r w:rsidRPr="00FD7953">
        <w:rPr>
          <w:rFonts w:ascii="Cambria" w:eastAsia="Calibri" w:hAnsi="Cambria" w:cs="Arial"/>
          <w:sz w:val="24"/>
          <w:szCs w:val="24"/>
        </w:rPr>
        <w:t>/2021.</w:t>
      </w:r>
    </w:p>
    <w:p w:rsidR="00BE1801" w:rsidRPr="00FD7953" w:rsidRDefault="00457766" w:rsidP="00EF21DF">
      <w:pPr>
        <w:autoSpaceDE w:val="0"/>
        <w:autoSpaceDN w:val="0"/>
        <w:adjustRightInd w:val="0"/>
        <w:spacing w:before="200"/>
        <w:jc w:val="both"/>
        <w:rPr>
          <w:rFonts w:ascii="Cambria" w:hAnsi="Cambria" w:cs="Arial"/>
          <w:b/>
          <w:sz w:val="24"/>
          <w:szCs w:val="24"/>
        </w:rPr>
      </w:pPr>
      <w:r w:rsidRPr="00FD7953">
        <w:rPr>
          <w:rFonts w:ascii="Cambria" w:hAnsi="Cambria" w:cs="Arial"/>
          <w:b/>
          <w:sz w:val="24"/>
          <w:szCs w:val="24"/>
        </w:rPr>
        <w:t>Tercero</w:t>
      </w:r>
      <w:r w:rsidR="00BE1801" w:rsidRPr="00FD7953">
        <w:rPr>
          <w:rFonts w:ascii="Cambria" w:hAnsi="Cambria" w:cs="Arial"/>
          <w:b/>
          <w:sz w:val="24"/>
          <w:szCs w:val="24"/>
        </w:rPr>
        <w:t>. Régimen jurídico aplicable.</w:t>
      </w:r>
    </w:p>
    <w:p w:rsidR="00BE1801" w:rsidRPr="00FD7953" w:rsidRDefault="00BE1801" w:rsidP="00BE1801">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1. El régimen jurídico, normativa específica aplicable, requisitos y obligaciones de los beneficiarios, serán los establecidos en la Ley 38/2003, de 17 de noviembre; en su Reglamento, aprobado por Real Decreto 887/2006, de 21 de julio, así como en la Ley 10/2006, de 17 de julio, de Subvenciones de Cantabria.</w:t>
      </w:r>
    </w:p>
    <w:p w:rsidR="00BE1801" w:rsidRPr="00FD7953" w:rsidRDefault="00BE1801" w:rsidP="00BE1801">
      <w:pPr>
        <w:spacing w:before="120" w:after="120"/>
        <w:jc w:val="both"/>
        <w:rPr>
          <w:rFonts w:ascii="Cambria" w:hAnsi="Cambria" w:cs="Arial"/>
          <w:sz w:val="24"/>
          <w:szCs w:val="24"/>
        </w:rPr>
      </w:pPr>
      <w:r w:rsidRPr="00FD7953">
        <w:rPr>
          <w:rFonts w:ascii="Cambria" w:hAnsi="Cambria" w:cs="Arial"/>
          <w:sz w:val="24"/>
          <w:szCs w:val="24"/>
        </w:rPr>
        <w:t>2. Estas ayudas estarán</w:t>
      </w:r>
      <w:r w:rsidR="00EF21DF" w:rsidRPr="00FD7953">
        <w:rPr>
          <w:rFonts w:ascii="Cambria" w:hAnsi="Cambria" w:cs="Arial"/>
          <w:sz w:val="24"/>
          <w:szCs w:val="24"/>
        </w:rPr>
        <w:t>,</w:t>
      </w:r>
      <w:r w:rsidRPr="00FD7953">
        <w:rPr>
          <w:rFonts w:ascii="Cambria" w:hAnsi="Cambria" w:cs="Arial"/>
          <w:sz w:val="24"/>
          <w:szCs w:val="24"/>
        </w:rPr>
        <w:t xml:space="preserve"> asimismo</w:t>
      </w:r>
      <w:r w:rsidR="00EF21DF" w:rsidRPr="00FD7953">
        <w:rPr>
          <w:rFonts w:ascii="Cambria" w:hAnsi="Cambria" w:cs="Arial"/>
          <w:sz w:val="24"/>
          <w:szCs w:val="24"/>
        </w:rPr>
        <w:t>,</w:t>
      </w:r>
      <w:r w:rsidRPr="00FD7953">
        <w:rPr>
          <w:rFonts w:ascii="Cambria" w:hAnsi="Cambria" w:cs="Arial"/>
          <w:sz w:val="24"/>
          <w:szCs w:val="24"/>
        </w:rPr>
        <w:t xml:space="preserve"> sometidas al Real Decreto 9</w:t>
      </w:r>
      <w:r w:rsidR="00044190" w:rsidRPr="00FD7953">
        <w:rPr>
          <w:rFonts w:ascii="Cambria" w:hAnsi="Cambria" w:cs="Arial"/>
          <w:sz w:val="24"/>
          <w:szCs w:val="24"/>
        </w:rPr>
        <w:t>87</w:t>
      </w:r>
      <w:r w:rsidRPr="00FD7953">
        <w:rPr>
          <w:rFonts w:ascii="Cambria" w:hAnsi="Cambria" w:cs="Arial"/>
          <w:sz w:val="24"/>
          <w:szCs w:val="24"/>
        </w:rPr>
        <w:t xml:space="preserve">/2021, de 16 de noviembre, por el que se aprueba la concesión directa de ayudas a las comunidades autónomas y a las ciudades de Ceuta y Melilla para la ejecución de diversas </w:t>
      </w:r>
      <w:r w:rsidR="00044190" w:rsidRPr="00FD7953">
        <w:rPr>
          <w:rFonts w:ascii="Cambria" w:hAnsi="Cambria" w:cs="Arial"/>
          <w:sz w:val="24"/>
          <w:szCs w:val="24"/>
        </w:rPr>
        <w:t>acciones de refuerzo de conectividad en centros públicos de referencia</w:t>
      </w:r>
      <w:r w:rsidRPr="00FD7953">
        <w:rPr>
          <w:rFonts w:ascii="Cambria" w:hAnsi="Cambria" w:cs="Arial"/>
          <w:sz w:val="24"/>
          <w:szCs w:val="24"/>
        </w:rPr>
        <w:t xml:space="preserve">, en el marco del Plan de Recuperación, Transformación y Resiliencia, así como al Reglamento (UE) 2021/241 del Parlamento Europeo y del Consejo, de 12 de febrero de 2021, por el que se establece el Mecanismo de Recuperación y Resiliencia, así como a la normativa interna aplicable a la gestión, seguimiento y control que se establezca para el Plan de Recuperación, Trasformación y Resiliencia de España, en particular, el </w:t>
      </w:r>
      <w:bookmarkStart w:id="2" w:name="_Hlk133346009"/>
      <w:r w:rsidRPr="00FD7953">
        <w:rPr>
          <w:rFonts w:ascii="Cambria" w:hAnsi="Cambria" w:cs="Arial"/>
          <w:sz w:val="24"/>
          <w:szCs w:val="24"/>
        </w:rPr>
        <w:t xml:space="preserve">Real Decreto-ley 36/2020, de 30 de diciembre, por el que se aprueban medidas urgentes para la modernización de la Administración Pública y para la ejecución del Plan de Recuperación, Transformación y Resiliencia, cuya aplicación será de obligado cumplimiento. </w:t>
      </w:r>
      <w:bookmarkEnd w:id="2"/>
    </w:p>
    <w:p w:rsidR="00BE1801" w:rsidRPr="00FD7953" w:rsidRDefault="00BE1801" w:rsidP="00D95D63">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3. Lo anterior, sin perjuicio de la aplicación de cualesquiera otras disposiciones tanto del derecho nacional como de la Unión Europea que pudieran resultar de aplicación, particularmente las que se aprueben en el ámbito de la ejecución y gestión de los fondos provenientes del Mecanismo de Recuperación y Resiliencia, establecido por el Reglamento (UE) 2021/241 del Parlamento Europeo y del Consejo, de 12 de febrero de 2021, y el PRTR. En particular, será de aplicación lo previsto en el Reglamento general de exención por categorías y en el Reglamento de </w:t>
      </w:r>
      <w:proofErr w:type="spellStart"/>
      <w:r w:rsidR="00F311D8" w:rsidRPr="00FD7953">
        <w:rPr>
          <w:rFonts w:ascii="Cambria" w:hAnsi="Cambria" w:cs="Arial"/>
          <w:sz w:val="24"/>
          <w:szCs w:val="24"/>
        </w:rPr>
        <w:t>mínimis</w:t>
      </w:r>
      <w:proofErr w:type="spellEnd"/>
      <w:r w:rsidRPr="00FD7953">
        <w:rPr>
          <w:rFonts w:ascii="Cambria" w:hAnsi="Cambria" w:cs="Arial"/>
          <w:sz w:val="24"/>
          <w:szCs w:val="24"/>
        </w:rPr>
        <w:t>, así como en la Orden HFP/1030/2021, de 29 de septiembre, por la que se configura el sistema de gestión del Plan de Recuperación, Transformación y Resiliencia,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rsidR="00D97F2E" w:rsidRPr="00FD7953" w:rsidRDefault="00D97F2E" w:rsidP="008B3F85">
      <w:pPr>
        <w:tabs>
          <w:tab w:val="left" w:pos="284"/>
          <w:tab w:val="left" w:pos="426"/>
        </w:tabs>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4.</w:t>
      </w:r>
      <w:r w:rsidRPr="00FD7953">
        <w:rPr>
          <w:rFonts w:ascii="Cambria" w:hAnsi="Cambria" w:cs="Arial"/>
          <w:sz w:val="24"/>
          <w:szCs w:val="24"/>
        </w:rPr>
        <w:t> </w:t>
      </w:r>
      <w:r w:rsidRPr="00FD7953">
        <w:rPr>
          <w:rFonts w:ascii="Cambria" w:hAnsi="Cambria" w:cs="Arial"/>
          <w:sz w:val="24"/>
          <w:szCs w:val="24"/>
        </w:rPr>
        <w:t>En concreto, estas subvenciones y las actuaciones que se financien estarán sometidas al régimen jurídico establecido en las siguientes normas:</w:t>
      </w:r>
    </w:p>
    <w:p w:rsidR="00D97F2E" w:rsidRPr="00FD7953" w:rsidRDefault="00D97F2E" w:rsidP="00D97F2E">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a)</w:t>
      </w:r>
      <w:r w:rsidRPr="00FD7953">
        <w:rPr>
          <w:rFonts w:ascii="Cambria" w:hAnsi="Cambria" w:cs="Arial"/>
          <w:sz w:val="24"/>
          <w:szCs w:val="24"/>
        </w:rPr>
        <w:t> </w:t>
      </w:r>
      <w:r w:rsidRPr="00FD7953">
        <w:rPr>
          <w:rFonts w:ascii="Cambria" w:hAnsi="Cambria" w:cs="Arial"/>
          <w:sz w:val="24"/>
          <w:szCs w:val="24"/>
        </w:rPr>
        <w:t>El Reglamento (UE) 2020/2094 del Consejo, de 14 de diciembre de 2020, por el que se establece un Instrumento de Recuperación de la Unión Europea para apoyar la recuperación tras la crisis de la COVID-19.</w:t>
      </w:r>
    </w:p>
    <w:p w:rsidR="00D97F2E" w:rsidRPr="00FD7953" w:rsidRDefault="00D97F2E" w:rsidP="00D97F2E">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b)</w:t>
      </w:r>
      <w:r w:rsidRPr="00FD7953">
        <w:rPr>
          <w:rFonts w:ascii="Cambria" w:hAnsi="Cambria" w:cs="Arial"/>
          <w:sz w:val="24"/>
          <w:szCs w:val="24"/>
        </w:rPr>
        <w:t> </w:t>
      </w:r>
      <w:r w:rsidRPr="00FD7953">
        <w:rPr>
          <w:rFonts w:ascii="Cambria" w:hAnsi="Cambria" w:cs="Arial"/>
          <w:sz w:val="24"/>
          <w:szCs w:val="24"/>
        </w:rPr>
        <w:t>El Reglamento (UE) 2021/241 del Parlamento Europeo y del Consejo, de 12 de febrero de 2021, por el que se establece el Mecanismo de Recuperación y Resiliencia (MRR).</w:t>
      </w:r>
    </w:p>
    <w:p w:rsidR="00D97F2E" w:rsidRPr="00FD7953" w:rsidRDefault="00D97F2E" w:rsidP="00D97F2E">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c)</w:t>
      </w:r>
      <w:r w:rsidRPr="00FD7953">
        <w:rPr>
          <w:rFonts w:ascii="Cambria" w:hAnsi="Cambria" w:cs="Arial"/>
          <w:sz w:val="24"/>
          <w:szCs w:val="24"/>
        </w:rPr>
        <w:t> </w:t>
      </w:r>
      <w:r w:rsidRPr="00FD7953">
        <w:rPr>
          <w:rFonts w:ascii="Cambria" w:hAnsi="Cambria" w:cs="Arial"/>
          <w:sz w:val="24"/>
          <w:szCs w:val="24"/>
        </w:rPr>
        <w:t>El Reglamento (UE) 2020/852 del Parlamento Europeo y del Consejo, de 18 de junio de 2020, relativo al establecimiento de un marco para facilitar las inversiones sostenibles y por el que se modifica el Reglamento (UE) 2019/2088, ya que todas las actuaciones que se ejecuten dentro del PRTR deben cumplir el principio de no causar un perjuicio significativo a los objetivos medioambientales recogidos en el artículo 17 del citado reglamento.</w:t>
      </w:r>
    </w:p>
    <w:p w:rsidR="00D97F2E" w:rsidRPr="00FD7953" w:rsidRDefault="00D97F2E" w:rsidP="00D97F2E">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d)</w:t>
      </w:r>
      <w:r w:rsidRPr="00FD7953">
        <w:rPr>
          <w:rFonts w:ascii="Cambria" w:hAnsi="Cambria" w:cs="Arial"/>
          <w:sz w:val="24"/>
          <w:szCs w:val="24"/>
        </w:rPr>
        <w:t> </w:t>
      </w:r>
      <w:r w:rsidRPr="00FD7953">
        <w:rPr>
          <w:rFonts w:ascii="Cambria" w:hAnsi="Cambria" w:cs="Arial"/>
          <w:sz w:val="24"/>
          <w:szCs w:val="24"/>
        </w:rPr>
        <w:t>Los Actos Delegados del Reglamento de Taxonomía, «</w:t>
      </w:r>
      <w:proofErr w:type="spellStart"/>
      <w:r w:rsidRPr="00FD7953">
        <w:rPr>
          <w:rFonts w:ascii="Cambria" w:hAnsi="Cambria" w:cs="Arial"/>
          <w:sz w:val="24"/>
          <w:szCs w:val="24"/>
        </w:rPr>
        <w:t>Supplementing</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Regulation</w:t>
      </w:r>
      <w:proofErr w:type="spellEnd"/>
      <w:r w:rsidRPr="00FD7953">
        <w:rPr>
          <w:rFonts w:ascii="Cambria" w:hAnsi="Cambria" w:cs="Arial"/>
          <w:sz w:val="24"/>
          <w:szCs w:val="24"/>
        </w:rPr>
        <w:t xml:space="preserve"> (EU) 2020/852 of </w:t>
      </w:r>
      <w:proofErr w:type="spellStart"/>
      <w:r w:rsidRPr="00FD7953">
        <w:rPr>
          <w:rFonts w:ascii="Cambria" w:hAnsi="Cambria" w:cs="Arial"/>
          <w:sz w:val="24"/>
          <w:szCs w:val="24"/>
        </w:rPr>
        <w:t>the</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European</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Parliament</w:t>
      </w:r>
      <w:proofErr w:type="spellEnd"/>
      <w:r w:rsidRPr="00FD7953">
        <w:rPr>
          <w:rFonts w:ascii="Cambria" w:hAnsi="Cambria" w:cs="Arial"/>
          <w:sz w:val="24"/>
          <w:szCs w:val="24"/>
        </w:rPr>
        <w:t xml:space="preserve"> and of </w:t>
      </w:r>
      <w:proofErr w:type="spellStart"/>
      <w:r w:rsidRPr="00FD7953">
        <w:rPr>
          <w:rFonts w:ascii="Cambria" w:hAnsi="Cambria" w:cs="Arial"/>
          <w:sz w:val="24"/>
          <w:szCs w:val="24"/>
        </w:rPr>
        <w:t>the</w:t>
      </w:r>
      <w:proofErr w:type="spellEnd"/>
      <w:r w:rsidRPr="00FD7953">
        <w:rPr>
          <w:rFonts w:ascii="Cambria" w:hAnsi="Cambria" w:cs="Arial"/>
          <w:sz w:val="24"/>
          <w:szCs w:val="24"/>
        </w:rPr>
        <w:t xml:space="preserve"> Council </w:t>
      </w:r>
      <w:proofErr w:type="spellStart"/>
      <w:r w:rsidRPr="00FD7953">
        <w:rPr>
          <w:rFonts w:ascii="Cambria" w:hAnsi="Cambria" w:cs="Arial"/>
          <w:sz w:val="24"/>
          <w:szCs w:val="24"/>
        </w:rPr>
        <w:t>by</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establishing</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the</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technical</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screening</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criteria</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for</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determining</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the</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conditions</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under</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which</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an</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economic</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activity</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qualifies</w:t>
      </w:r>
      <w:proofErr w:type="spellEnd"/>
      <w:r w:rsidRPr="00FD7953">
        <w:rPr>
          <w:rFonts w:ascii="Cambria" w:hAnsi="Cambria" w:cs="Arial"/>
          <w:sz w:val="24"/>
          <w:szCs w:val="24"/>
        </w:rPr>
        <w:t xml:space="preserve"> as </w:t>
      </w:r>
      <w:proofErr w:type="spellStart"/>
      <w:r w:rsidRPr="00FD7953">
        <w:rPr>
          <w:rFonts w:ascii="Cambria" w:hAnsi="Cambria" w:cs="Arial"/>
          <w:sz w:val="24"/>
          <w:szCs w:val="24"/>
        </w:rPr>
        <w:t>contributing</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substantially</w:t>
      </w:r>
      <w:proofErr w:type="spellEnd"/>
      <w:r w:rsidRPr="00FD7953">
        <w:rPr>
          <w:rFonts w:ascii="Cambria" w:hAnsi="Cambria" w:cs="Arial"/>
          <w:sz w:val="24"/>
          <w:szCs w:val="24"/>
        </w:rPr>
        <w:t xml:space="preserve"> to </w:t>
      </w:r>
      <w:proofErr w:type="spellStart"/>
      <w:r w:rsidRPr="00FD7953">
        <w:rPr>
          <w:rFonts w:ascii="Cambria" w:hAnsi="Cambria" w:cs="Arial"/>
          <w:sz w:val="24"/>
          <w:szCs w:val="24"/>
        </w:rPr>
        <w:t>climate</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change</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mitigation</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or</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climate</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change</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adaptation</w:t>
      </w:r>
      <w:proofErr w:type="spellEnd"/>
      <w:r w:rsidRPr="00FD7953">
        <w:rPr>
          <w:rFonts w:ascii="Cambria" w:hAnsi="Cambria" w:cs="Arial"/>
          <w:sz w:val="24"/>
          <w:szCs w:val="24"/>
        </w:rPr>
        <w:t xml:space="preserve"> and </w:t>
      </w:r>
      <w:proofErr w:type="spellStart"/>
      <w:r w:rsidRPr="00FD7953">
        <w:rPr>
          <w:rFonts w:ascii="Cambria" w:hAnsi="Cambria" w:cs="Arial"/>
          <w:sz w:val="24"/>
          <w:szCs w:val="24"/>
        </w:rPr>
        <w:t>for</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determining</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whether</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that</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economic</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activity</w:t>
      </w:r>
      <w:proofErr w:type="spellEnd"/>
      <w:r w:rsidRPr="00FD7953">
        <w:rPr>
          <w:rFonts w:ascii="Cambria" w:hAnsi="Cambria" w:cs="Arial"/>
          <w:sz w:val="24"/>
          <w:szCs w:val="24"/>
        </w:rPr>
        <w:t xml:space="preserve"> causes no </w:t>
      </w:r>
      <w:proofErr w:type="spellStart"/>
      <w:r w:rsidRPr="00FD7953">
        <w:rPr>
          <w:rFonts w:ascii="Cambria" w:hAnsi="Cambria" w:cs="Arial"/>
          <w:sz w:val="24"/>
          <w:szCs w:val="24"/>
        </w:rPr>
        <w:t>significant</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harm</w:t>
      </w:r>
      <w:proofErr w:type="spellEnd"/>
      <w:r w:rsidRPr="00FD7953">
        <w:rPr>
          <w:rFonts w:ascii="Cambria" w:hAnsi="Cambria" w:cs="Arial"/>
          <w:sz w:val="24"/>
          <w:szCs w:val="24"/>
        </w:rPr>
        <w:t xml:space="preserve"> to </w:t>
      </w:r>
      <w:proofErr w:type="spellStart"/>
      <w:r w:rsidRPr="00FD7953">
        <w:rPr>
          <w:rFonts w:ascii="Cambria" w:hAnsi="Cambria" w:cs="Arial"/>
          <w:sz w:val="24"/>
          <w:szCs w:val="24"/>
        </w:rPr>
        <w:t>any</w:t>
      </w:r>
      <w:proofErr w:type="spellEnd"/>
      <w:r w:rsidRPr="00FD7953">
        <w:rPr>
          <w:rFonts w:ascii="Cambria" w:hAnsi="Cambria" w:cs="Arial"/>
          <w:sz w:val="24"/>
          <w:szCs w:val="24"/>
        </w:rPr>
        <w:t xml:space="preserve"> of </w:t>
      </w:r>
      <w:proofErr w:type="spellStart"/>
      <w:r w:rsidRPr="00FD7953">
        <w:rPr>
          <w:rFonts w:ascii="Cambria" w:hAnsi="Cambria" w:cs="Arial"/>
          <w:sz w:val="24"/>
          <w:szCs w:val="24"/>
        </w:rPr>
        <w:t>the</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other</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environmental</w:t>
      </w:r>
      <w:proofErr w:type="spellEnd"/>
      <w:r w:rsidRPr="00FD7953">
        <w:rPr>
          <w:rFonts w:ascii="Cambria" w:hAnsi="Cambria" w:cs="Arial"/>
          <w:sz w:val="24"/>
          <w:szCs w:val="24"/>
        </w:rPr>
        <w:t xml:space="preserve"> </w:t>
      </w:r>
      <w:proofErr w:type="spellStart"/>
      <w:r w:rsidRPr="00FD7953">
        <w:rPr>
          <w:rFonts w:ascii="Cambria" w:hAnsi="Cambria" w:cs="Arial"/>
          <w:sz w:val="24"/>
          <w:szCs w:val="24"/>
        </w:rPr>
        <w:t>objectives</w:t>
      </w:r>
      <w:proofErr w:type="spellEnd"/>
      <w:r w:rsidRPr="00FD7953">
        <w:rPr>
          <w:rFonts w:ascii="Cambria" w:hAnsi="Cambria" w:cs="Arial"/>
          <w:sz w:val="24"/>
          <w:szCs w:val="24"/>
        </w:rPr>
        <w:t>», («Actos Delegados de Taxonomía»).</w:t>
      </w:r>
    </w:p>
    <w:p w:rsidR="00D97F2E" w:rsidRPr="00FD7953" w:rsidRDefault="00D97F2E" w:rsidP="00D97F2E">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e)</w:t>
      </w:r>
      <w:r w:rsidRPr="00FD7953">
        <w:rPr>
          <w:rFonts w:ascii="Cambria" w:hAnsi="Cambria" w:cs="Arial"/>
          <w:sz w:val="24"/>
          <w:szCs w:val="24"/>
        </w:rPr>
        <w:t> </w:t>
      </w:r>
      <w:r w:rsidRPr="00FD7953">
        <w:rPr>
          <w:rFonts w:ascii="Cambria" w:hAnsi="Cambria" w:cs="Arial"/>
          <w:sz w:val="24"/>
          <w:szCs w:val="24"/>
        </w:rPr>
        <w:t>La «Guía técnica sobre la aplicación del principio de “no causar un perjuicio significativo” en virtud del Reglamento relativo al Mecanismo de Recuperación y Resiliencia (2021/C 58/01)» («Guía Técnica de la Comisión Europea»).</w:t>
      </w:r>
    </w:p>
    <w:p w:rsidR="00D97F2E" w:rsidRPr="00FD7953" w:rsidRDefault="00D97F2E" w:rsidP="00D97F2E">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f)</w:t>
      </w:r>
      <w:r w:rsidRPr="00FD7953">
        <w:rPr>
          <w:rFonts w:ascii="Cambria" w:hAnsi="Cambria" w:cs="Arial"/>
          <w:sz w:val="24"/>
          <w:szCs w:val="24"/>
        </w:rPr>
        <w:t> </w:t>
      </w:r>
      <w:r w:rsidRPr="00FD7953">
        <w:rPr>
          <w:rFonts w:ascii="Cambria" w:hAnsi="Cambria" w:cs="Arial"/>
          <w:sz w:val="24"/>
          <w:szCs w:val="24"/>
        </w:rPr>
        <w:t>El Acuerdo del Consejo de Ministros, de 27 de abril de 2021, por el que se aprueba el Plan de Recuperación, Transformación y Resiliencia y la Decisión de Ejecución del Consejo relativa a la aprobación de la evaluación del Plan de Recuperación, Transformación y Resiliencia de España.</w:t>
      </w:r>
    </w:p>
    <w:p w:rsidR="00D97F2E" w:rsidRPr="00FD7953" w:rsidRDefault="00D97F2E" w:rsidP="00D97F2E">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g)</w:t>
      </w:r>
      <w:r w:rsidRPr="00FD7953">
        <w:rPr>
          <w:rFonts w:ascii="Cambria" w:hAnsi="Cambria" w:cs="Arial"/>
          <w:sz w:val="24"/>
          <w:szCs w:val="24"/>
        </w:rPr>
        <w:t> </w:t>
      </w:r>
      <w:r w:rsidRPr="00FD7953">
        <w:rPr>
          <w:rFonts w:ascii="Cambria" w:hAnsi="Cambria" w:cs="Arial"/>
          <w:sz w:val="24"/>
          <w:szCs w:val="24"/>
        </w:rPr>
        <w:t>La normativa interna aplicable a la gestión, seguimiento y control que se establezca para el Plan de Recuperación, Trasformación y Resiliencia de España, en particular, el Real Decreto-ley 36/2020, de 30 de diciembre, por el que se aprueban medidas urgentes para la modernización de la Administración Pública y para la ejecución del Plan de Recuperación, Transformación y Resiliencia, y las órdenes que pueda adoptar el Ministerio de Hacienda y Función Pública, como autoridad responsable del PRTR ante la Unión Europea, entre las que se encuentran las siguientes:</w:t>
      </w:r>
    </w:p>
    <w:p w:rsidR="00D97F2E" w:rsidRPr="00FD7953" w:rsidRDefault="00D97F2E" w:rsidP="00D97F2E">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1.º</w:t>
      </w:r>
      <w:r w:rsidRPr="00FD7953">
        <w:rPr>
          <w:rFonts w:ascii="Cambria" w:hAnsi="Cambria" w:cs="Arial"/>
          <w:sz w:val="24"/>
          <w:szCs w:val="24"/>
        </w:rPr>
        <w:t> </w:t>
      </w:r>
      <w:r w:rsidRPr="00FD7953">
        <w:rPr>
          <w:rFonts w:ascii="Cambria" w:hAnsi="Cambria" w:cs="Arial"/>
          <w:sz w:val="24"/>
          <w:szCs w:val="24"/>
        </w:rPr>
        <w:t>Orden HFP/1030/2021, de 29 de septiembre, por la que se configura el sistema de gestión del Plan de Recuperación, Transformación y Resiliencia.</w:t>
      </w:r>
    </w:p>
    <w:p w:rsidR="00D97F2E" w:rsidRPr="00FD7953" w:rsidRDefault="00D97F2E" w:rsidP="00D97F2E">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2.º</w:t>
      </w:r>
      <w:r w:rsidRPr="00FD7953">
        <w:rPr>
          <w:rFonts w:ascii="Cambria" w:hAnsi="Cambria" w:cs="Arial"/>
          <w:sz w:val="24"/>
          <w:szCs w:val="24"/>
        </w:rPr>
        <w:t> </w:t>
      </w:r>
      <w:r w:rsidRPr="00FD7953">
        <w:rPr>
          <w:rFonts w:ascii="Cambria" w:hAnsi="Cambria" w:cs="Arial"/>
          <w:sz w:val="24"/>
          <w:szCs w:val="24"/>
        </w:rPr>
        <w:t>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rsidR="00D97F2E" w:rsidRPr="00FD7953" w:rsidRDefault="00D97F2E" w:rsidP="0073307B">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h)</w:t>
      </w:r>
      <w:r w:rsidRPr="00FD7953">
        <w:rPr>
          <w:rFonts w:ascii="Cambria" w:hAnsi="Cambria" w:cs="Arial"/>
          <w:sz w:val="24"/>
          <w:szCs w:val="24"/>
        </w:rPr>
        <w:t> </w:t>
      </w:r>
      <w:r w:rsidRPr="00FD7953">
        <w:rPr>
          <w:rFonts w:ascii="Cambria" w:hAnsi="Cambria" w:cs="Arial"/>
          <w:sz w:val="24"/>
          <w:szCs w:val="24"/>
        </w:rPr>
        <w:t>La Ley 38/2003, de 17 de noviembre, General de Subvenciones y su Reglamento de desarrollo, aprobado por el Real Decreto 887/2006, de 21 de julio, serán de aplicación, en lo que proceda, en todo lo que sea compatible con lo especialmente previsto en el Real Decreto-ley 36/2020, de 30 de diciembre.</w:t>
      </w:r>
    </w:p>
    <w:p w:rsidR="00D97F2E" w:rsidRPr="00FD7953" w:rsidRDefault="00D97F2E" w:rsidP="0073307B">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i)</w:t>
      </w:r>
      <w:r w:rsidRPr="00FD7953">
        <w:rPr>
          <w:rFonts w:ascii="Cambria" w:hAnsi="Cambria" w:cs="Arial"/>
          <w:sz w:val="24"/>
          <w:szCs w:val="24"/>
        </w:rPr>
        <w:t> </w:t>
      </w:r>
      <w:r w:rsidRPr="00FD7953">
        <w:rPr>
          <w:rFonts w:ascii="Cambria" w:hAnsi="Cambria" w:cs="Arial"/>
          <w:sz w:val="24"/>
          <w:szCs w:val="24"/>
        </w:rPr>
        <w:t>La Ley 9/2017, de 8 de noviembre, de Contratos del Sector Público, por la que se transponen al ordenamiento jurídico español las Directivas del Parlamento Europeo y del Consejo 2014/23/UE y 2014/24/UE, de 26 de febrero de 2014, en el caso de que en la ejecución de las subvenciones se celebren contratos que deban someterse a dicha ley.</w:t>
      </w:r>
    </w:p>
    <w:p w:rsidR="00E82E22" w:rsidRPr="00FD7953" w:rsidRDefault="00D97F2E" w:rsidP="0073307B">
      <w:pPr>
        <w:jc w:val="both"/>
        <w:rPr>
          <w:rFonts w:ascii="Cambria" w:hAnsi="Cambria" w:cs="Arial"/>
          <w:sz w:val="24"/>
          <w:szCs w:val="24"/>
        </w:rPr>
      </w:pPr>
      <w:r w:rsidRPr="00FD7953">
        <w:rPr>
          <w:rFonts w:ascii="Cambria" w:hAnsi="Cambria" w:cs="Arial"/>
          <w:sz w:val="24"/>
          <w:szCs w:val="24"/>
        </w:rPr>
        <w:t>J)    Orden HFP/55/2023, de 24 de enero, relativa al análisis sistemático del riesgo de conflicto de interés en los procedimientos que ejecutan el Plan de Recuperación, Transformación y Resiliencia</w:t>
      </w:r>
    </w:p>
    <w:p w:rsidR="0073307B" w:rsidRPr="00FD7953" w:rsidRDefault="00E82E22" w:rsidP="0073307B">
      <w:pPr>
        <w:jc w:val="both"/>
        <w:rPr>
          <w:rFonts w:ascii="Cambria" w:hAnsi="Cambria" w:cs="Arial"/>
          <w:sz w:val="24"/>
          <w:szCs w:val="24"/>
        </w:rPr>
      </w:pPr>
      <w:r w:rsidRPr="00FD7953">
        <w:rPr>
          <w:rFonts w:ascii="Cambria" w:hAnsi="Cambria" w:cs="Arial"/>
          <w:sz w:val="24"/>
          <w:szCs w:val="24"/>
        </w:rPr>
        <w:t>k) L</w:t>
      </w:r>
      <w:r w:rsidR="00D97F2E" w:rsidRPr="00FD7953">
        <w:rPr>
          <w:rFonts w:ascii="Cambria" w:hAnsi="Cambria" w:cs="Arial"/>
          <w:sz w:val="24"/>
          <w:szCs w:val="24"/>
        </w:rPr>
        <w:t xml:space="preserve">a normativa relativa a la prevención y corrección del fraude y la corrupción, la prevención del conflicto de interés y la doble financiación, con arreglo a las previsiones del Reglamento (UE, </w:t>
      </w:r>
      <w:proofErr w:type="spellStart"/>
      <w:r w:rsidR="00D97F2E" w:rsidRPr="00FD7953">
        <w:rPr>
          <w:rFonts w:ascii="Cambria" w:hAnsi="Cambria" w:cs="Arial"/>
          <w:sz w:val="24"/>
          <w:szCs w:val="24"/>
        </w:rPr>
        <w:t>Euratom</w:t>
      </w:r>
      <w:proofErr w:type="spellEnd"/>
      <w:r w:rsidR="00D97F2E" w:rsidRPr="00FD7953">
        <w:rPr>
          <w:rFonts w:ascii="Cambria" w:hAnsi="Cambria" w:cs="Arial"/>
          <w:sz w:val="24"/>
          <w:szCs w:val="24"/>
        </w:rPr>
        <w:t xml:space="preserve">) 2018/1046 del Parlamento Europeo y del Consejo, de 18 de julio de 2018, sobre las normas financieras aplicables al presupuesto general de la Unión, por el que se modifican los Reglamentos (UE) 1296/2013, (UE) 1301/2013, (UE) 1303/2013, (UE) 1304/2013, (UE) 1309/2013, (UE) 1316/2013, (UE) 223/2014 y (UE) 283/2014 y la Decisión 541/2014/UE, y por el que se deroga el Reglamento (UE, </w:t>
      </w:r>
      <w:proofErr w:type="spellStart"/>
      <w:r w:rsidR="00D97F2E" w:rsidRPr="00FD7953">
        <w:rPr>
          <w:rFonts w:ascii="Cambria" w:hAnsi="Cambria" w:cs="Arial"/>
          <w:sz w:val="24"/>
          <w:szCs w:val="24"/>
        </w:rPr>
        <w:t>Euratom</w:t>
      </w:r>
      <w:proofErr w:type="spellEnd"/>
      <w:r w:rsidR="00D97F2E" w:rsidRPr="00FD7953">
        <w:rPr>
          <w:rFonts w:ascii="Cambria" w:hAnsi="Cambria" w:cs="Arial"/>
          <w:sz w:val="24"/>
          <w:szCs w:val="24"/>
        </w:rPr>
        <w:t>) 966/2012.</w:t>
      </w:r>
    </w:p>
    <w:p w:rsidR="00AD3272" w:rsidRPr="008B3F85" w:rsidRDefault="00AD3272" w:rsidP="002C3A7B">
      <w:pPr>
        <w:jc w:val="both"/>
        <w:rPr>
          <w:rFonts w:ascii="Cambria" w:hAnsi="Cambria" w:cs="Arial"/>
          <w:sz w:val="24"/>
          <w:szCs w:val="24"/>
        </w:rPr>
      </w:pPr>
      <w:r w:rsidRPr="008B3F85">
        <w:rPr>
          <w:rFonts w:ascii="Cambria" w:hAnsi="Cambria" w:cs="Arial"/>
          <w:sz w:val="24"/>
          <w:szCs w:val="24"/>
        </w:rPr>
        <w:t>Asimismo</w:t>
      </w:r>
      <w:r w:rsidR="002C3A7B" w:rsidRPr="008B3F85">
        <w:rPr>
          <w:rFonts w:ascii="Cambria" w:hAnsi="Cambria" w:cs="Arial"/>
          <w:sz w:val="24"/>
          <w:szCs w:val="24"/>
        </w:rPr>
        <w:t>,</w:t>
      </w:r>
      <w:r w:rsidRPr="008B3F85">
        <w:rPr>
          <w:rFonts w:ascii="Cambria" w:hAnsi="Cambria" w:cs="Arial"/>
          <w:sz w:val="24"/>
          <w:szCs w:val="24"/>
        </w:rPr>
        <w:t xml:space="preserve"> </w:t>
      </w:r>
      <w:r w:rsidR="002C3A7B" w:rsidRPr="008B3F85">
        <w:rPr>
          <w:rFonts w:ascii="Cambria" w:hAnsi="Cambria" w:cs="Arial"/>
          <w:sz w:val="24"/>
          <w:szCs w:val="24"/>
        </w:rPr>
        <w:t xml:space="preserve">las actuaciones derivadas de esta convocatoria </w:t>
      </w:r>
      <w:r w:rsidRPr="008B3F85">
        <w:rPr>
          <w:rFonts w:ascii="Cambria" w:hAnsi="Cambria" w:cs="Arial"/>
          <w:sz w:val="24"/>
          <w:szCs w:val="24"/>
        </w:rPr>
        <w:t>queda</w:t>
      </w:r>
      <w:r w:rsidR="002C3A7B" w:rsidRPr="008B3F85">
        <w:rPr>
          <w:rFonts w:ascii="Cambria" w:hAnsi="Cambria" w:cs="Arial"/>
          <w:sz w:val="24"/>
          <w:szCs w:val="24"/>
        </w:rPr>
        <w:t>n</w:t>
      </w:r>
      <w:r w:rsidRPr="008B3F85">
        <w:rPr>
          <w:rFonts w:ascii="Cambria" w:hAnsi="Cambria" w:cs="Arial"/>
          <w:sz w:val="24"/>
          <w:szCs w:val="24"/>
        </w:rPr>
        <w:t xml:space="preserve"> sujet</w:t>
      </w:r>
      <w:r w:rsidR="002C3A7B" w:rsidRPr="008B3F85">
        <w:rPr>
          <w:rFonts w:ascii="Cambria" w:hAnsi="Cambria" w:cs="Arial"/>
          <w:sz w:val="24"/>
          <w:szCs w:val="24"/>
        </w:rPr>
        <w:t>as</w:t>
      </w:r>
      <w:r w:rsidRPr="008B3F85">
        <w:rPr>
          <w:rFonts w:ascii="Cambria" w:hAnsi="Cambria" w:cs="Arial"/>
          <w:sz w:val="24"/>
          <w:szCs w:val="24"/>
        </w:rPr>
        <w:t xml:space="preserve"> al «Plan de Medidas Antifraude para la Gestión de los Fondos </w:t>
      </w:r>
      <w:proofErr w:type="spellStart"/>
      <w:r w:rsidRPr="008B3F85">
        <w:rPr>
          <w:rFonts w:ascii="Cambria" w:hAnsi="Cambria" w:cs="Arial"/>
          <w:sz w:val="24"/>
          <w:szCs w:val="24"/>
        </w:rPr>
        <w:t>NextGenerationUE</w:t>
      </w:r>
      <w:proofErr w:type="spellEnd"/>
      <w:r w:rsidRPr="008B3F85">
        <w:rPr>
          <w:rFonts w:ascii="Cambria" w:hAnsi="Cambria" w:cs="Arial"/>
          <w:sz w:val="24"/>
          <w:szCs w:val="24"/>
        </w:rPr>
        <w:t xml:space="preserve"> de la Consejería de Industria, Turismo, Innovación, Transporte y Comercio del Gobierno de Cantabria», que puede ser consultado en la página de Transparencia del Gobierno de</w:t>
      </w:r>
      <w:r w:rsidR="008B3F85">
        <w:rPr>
          <w:rFonts w:ascii="Cambria" w:hAnsi="Cambria" w:cs="Arial"/>
          <w:sz w:val="24"/>
          <w:szCs w:val="24"/>
        </w:rPr>
        <w:t xml:space="preserve"> </w:t>
      </w:r>
      <w:r w:rsidR="002C3A7B" w:rsidRPr="008B3F85">
        <w:rPr>
          <w:rFonts w:ascii="Cambria" w:hAnsi="Cambria" w:cs="Arial"/>
          <w:sz w:val="24"/>
          <w:szCs w:val="24"/>
        </w:rPr>
        <w:t>C</w:t>
      </w:r>
      <w:r w:rsidRPr="008B3F85">
        <w:rPr>
          <w:rFonts w:ascii="Cambria" w:hAnsi="Cambria" w:cs="Arial"/>
          <w:sz w:val="24"/>
          <w:szCs w:val="24"/>
        </w:rPr>
        <w:t>antabria</w:t>
      </w:r>
      <w:r w:rsidR="002C3A7B" w:rsidRPr="008B3F85">
        <w:rPr>
          <w:rFonts w:ascii="Cambria" w:hAnsi="Cambria" w:cs="Arial"/>
          <w:sz w:val="24"/>
          <w:szCs w:val="24"/>
        </w:rPr>
        <w:t xml:space="preserve"> </w:t>
      </w:r>
      <w:r w:rsidRPr="008B3F85">
        <w:rPr>
          <w:rFonts w:ascii="Cambria" w:hAnsi="Cambria" w:cs="Arial"/>
          <w:sz w:val="24"/>
          <w:szCs w:val="24"/>
        </w:rPr>
        <w:t>(</w:t>
      </w:r>
      <w:hyperlink r:id="rId9" w:history="1">
        <w:r w:rsidR="00ED57AF" w:rsidRPr="008B3F85">
          <w:rPr>
            <w:rStyle w:val="Hipervnculo"/>
            <w:rFonts w:ascii="Cambria" w:hAnsi="Cambria" w:cs="Arial"/>
            <w:sz w:val="24"/>
            <w:szCs w:val="24"/>
          </w:rPr>
          <w:t>https://transparencia.cantabria.es/documents/3551375/20605313/Plan+de+Integridad+y+Medidas+Antifraude+para+la+Gesti%C3%B3n+de+Fondos+Next+Generation+UE.pdf/0e5eaf4f-7914-a30e-715a-15cc4595bb28?t=1644928001587</w:t>
        </w:r>
      </w:hyperlink>
      <w:r w:rsidRPr="008B3F85">
        <w:rPr>
          <w:rFonts w:ascii="Cambria" w:hAnsi="Cambria" w:cs="Arial"/>
          <w:sz w:val="24"/>
          <w:szCs w:val="24"/>
        </w:rPr>
        <w:t>)</w:t>
      </w:r>
      <w:r w:rsidR="00ED57AF" w:rsidRPr="008B3F85">
        <w:rPr>
          <w:rFonts w:ascii="Cambria" w:hAnsi="Cambria" w:cs="Arial"/>
          <w:sz w:val="24"/>
          <w:szCs w:val="24"/>
        </w:rPr>
        <w:t xml:space="preserve"> </w:t>
      </w:r>
      <w:r w:rsidR="002C3A7B" w:rsidRPr="008B3F85">
        <w:rPr>
          <w:rFonts w:ascii="Cambria" w:hAnsi="Cambria" w:cs="Arial"/>
          <w:sz w:val="24"/>
          <w:szCs w:val="24"/>
        </w:rPr>
        <w:t>y</w:t>
      </w:r>
      <w:r w:rsidRPr="008B3F85">
        <w:rPr>
          <w:rFonts w:ascii="Cambria" w:hAnsi="Cambria" w:cs="Arial"/>
          <w:sz w:val="24"/>
          <w:szCs w:val="24"/>
        </w:rPr>
        <w:t xml:space="preserve"> al Plan de Medidas Antifraude del Ayuntamiento </w:t>
      </w:r>
      <w:r w:rsidR="002C3A7B" w:rsidRPr="008B3F85">
        <w:rPr>
          <w:rFonts w:ascii="Cambria" w:hAnsi="Cambria" w:cs="Arial"/>
          <w:sz w:val="24"/>
          <w:szCs w:val="24"/>
        </w:rPr>
        <w:t>beneficiario</w:t>
      </w:r>
      <w:r w:rsidRPr="008B3F85">
        <w:rPr>
          <w:rFonts w:ascii="Cambria" w:hAnsi="Cambria" w:cs="Arial"/>
          <w:sz w:val="24"/>
          <w:szCs w:val="24"/>
        </w:rPr>
        <w:t xml:space="preserve">, en su caso, en ambos casos con la finalidad de dar cumplimiento a las obligaciones impuestas en el artículo 22 del Reglamento (UE) 2021/241 del Parlamento Europeo y del Consejo, de 12 de febrero de 2021, por el que se establece el Mecanismo de Recuperación y Resiliencia, con el que se pretende proteger los intereses financieros de la Unión frente a las irregularidades y el fraude, garantizar que los fondos se utilizan de conformidad con las normas aplicables en general y en particular en lo que se refiere a la prevención, detección y corrección del fraude, la corrupción y los conflictos de intereses. </w:t>
      </w:r>
    </w:p>
    <w:p w:rsidR="00AD3272" w:rsidRDefault="002C3A7B" w:rsidP="00AD3272">
      <w:pPr>
        <w:jc w:val="both"/>
        <w:rPr>
          <w:rFonts w:ascii="Cambria" w:hAnsi="Cambria" w:cs="Arial"/>
          <w:sz w:val="24"/>
          <w:szCs w:val="24"/>
        </w:rPr>
      </w:pPr>
      <w:r w:rsidRPr="008B3F85">
        <w:rPr>
          <w:rFonts w:ascii="Cambria" w:hAnsi="Cambria" w:cs="Arial"/>
          <w:sz w:val="24"/>
          <w:szCs w:val="24"/>
        </w:rPr>
        <w:t>Asimismo se informará de la disponibilidad de un procedimiento para</w:t>
      </w:r>
      <w:r w:rsidR="00AD3272" w:rsidRPr="008B3F85">
        <w:rPr>
          <w:rFonts w:ascii="Cambria" w:hAnsi="Cambria" w:cs="Arial"/>
          <w:sz w:val="24"/>
          <w:szCs w:val="24"/>
        </w:rPr>
        <w:t xml:space="preserve"> presentar denuncias</w:t>
      </w:r>
      <w:r w:rsidR="00306ED1" w:rsidRPr="008B3F85">
        <w:rPr>
          <w:rFonts w:ascii="Cambria" w:hAnsi="Cambria" w:cs="Arial"/>
          <w:sz w:val="24"/>
          <w:szCs w:val="24"/>
        </w:rPr>
        <w:t xml:space="preserve"> en este ámbito, a través de</w:t>
      </w:r>
      <w:r w:rsidR="00AD3272" w:rsidRPr="008B3F85">
        <w:rPr>
          <w:rFonts w:ascii="Cambria" w:hAnsi="Cambria" w:cs="Arial"/>
          <w:sz w:val="24"/>
          <w:szCs w:val="24"/>
        </w:rPr>
        <w:t>l mail habilitado al efecto (</w:t>
      </w:r>
      <w:hyperlink r:id="rId10" w:history="1">
        <w:r w:rsidR="00ED57AF" w:rsidRPr="008B3F85">
          <w:rPr>
            <w:rStyle w:val="Hipervnculo"/>
            <w:rFonts w:ascii="Cambria" w:hAnsi="Cambria" w:cs="Arial"/>
            <w:sz w:val="24"/>
            <w:szCs w:val="24"/>
          </w:rPr>
          <w:t>cindustria.denunciasfraudescorrupcionfondosue@cantabria.es</w:t>
        </w:r>
      </w:hyperlink>
      <w:r w:rsidR="00AD3272" w:rsidRPr="008B3F85">
        <w:rPr>
          <w:rFonts w:ascii="Cambria" w:hAnsi="Cambria" w:cs="Arial"/>
          <w:sz w:val="24"/>
          <w:szCs w:val="24"/>
        </w:rPr>
        <w:t>)</w:t>
      </w:r>
      <w:r w:rsidR="00ED57AF" w:rsidRPr="008B3F85">
        <w:rPr>
          <w:rFonts w:ascii="Cambria" w:hAnsi="Cambria" w:cs="Arial"/>
          <w:sz w:val="24"/>
          <w:szCs w:val="24"/>
        </w:rPr>
        <w:t xml:space="preserve"> </w:t>
      </w:r>
      <w:r w:rsidR="00AD3272" w:rsidRPr="008B3F85">
        <w:rPr>
          <w:rFonts w:ascii="Cambria" w:hAnsi="Cambria" w:cs="Arial"/>
          <w:sz w:val="24"/>
          <w:szCs w:val="24"/>
        </w:rPr>
        <w:t>o dirigirlas al canal de denuncias del Servicio Nacional de Coordinación Antifraude de la Intervención General de la Administración del Estado (</w:t>
      </w:r>
      <w:hyperlink r:id="rId11" w:history="1">
        <w:r w:rsidR="00ED57AF" w:rsidRPr="008B3F85">
          <w:rPr>
            <w:rStyle w:val="Hipervnculo"/>
            <w:rFonts w:ascii="Cambria" w:hAnsi="Cambria" w:cs="Arial"/>
            <w:sz w:val="24"/>
            <w:szCs w:val="24"/>
          </w:rPr>
          <w:t>https://www.igae.pap.hacienda.gob.es/sitios/igae/es-ES/snca/Paginas/ComunicacionSNCA.aspx</w:t>
        </w:r>
      </w:hyperlink>
      <w:r w:rsidR="00AD3272" w:rsidRPr="008B3F85">
        <w:rPr>
          <w:rFonts w:ascii="Cambria" w:hAnsi="Cambria" w:cs="Arial"/>
          <w:sz w:val="24"/>
          <w:szCs w:val="24"/>
        </w:rPr>
        <w:t>)</w:t>
      </w:r>
      <w:r w:rsidR="00ED57AF" w:rsidRPr="008B3F85">
        <w:rPr>
          <w:rFonts w:ascii="Cambria" w:hAnsi="Cambria" w:cs="Arial"/>
          <w:sz w:val="24"/>
          <w:szCs w:val="24"/>
        </w:rPr>
        <w:t xml:space="preserve"> </w:t>
      </w:r>
      <w:r w:rsidR="00AD3272" w:rsidRPr="008B3F85">
        <w:rPr>
          <w:rFonts w:ascii="Cambria" w:hAnsi="Cambria" w:cs="Arial"/>
          <w:sz w:val="24"/>
          <w:szCs w:val="24"/>
        </w:rPr>
        <w:t xml:space="preserve"> o de la Oficina Europea de la Lucha Contra el Fraude (</w:t>
      </w:r>
      <w:hyperlink r:id="rId12" w:history="1">
        <w:r w:rsidR="00ED57AF" w:rsidRPr="008B3F85">
          <w:rPr>
            <w:rStyle w:val="Hipervnculo"/>
            <w:rFonts w:ascii="Cambria" w:hAnsi="Cambria" w:cs="Arial"/>
            <w:sz w:val="24"/>
            <w:szCs w:val="24"/>
          </w:rPr>
          <w:t>https://fns.olaf.europa.eu/main_es.htm</w:t>
        </w:r>
      </w:hyperlink>
      <w:r w:rsidR="00AD3272" w:rsidRPr="008B3F85">
        <w:rPr>
          <w:rFonts w:ascii="Cambria" w:hAnsi="Cambria" w:cs="Arial"/>
          <w:sz w:val="24"/>
          <w:szCs w:val="24"/>
        </w:rPr>
        <w:t>)</w:t>
      </w:r>
      <w:r w:rsidR="00ED57AF" w:rsidRPr="008B3F85">
        <w:rPr>
          <w:rFonts w:ascii="Cambria" w:hAnsi="Cambria" w:cs="Arial"/>
          <w:sz w:val="24"/>
          <w:szCs w:val="24"/>
        </w:rPr>
        <w:t xml:space="preserve"> </w:t>
      </w:r>
      <w:r w:rsidR="00AD3272" w:rsidRPr="008B3F85">
        <w:rPr>
          <w:rFonts w:ascii="Cambria" w:hAnsi="Cambria" w:cs="Arial"/>
          <w:sz w:val="24"/>
          <w:szCs w:val="24"/>
        </w:rPr>
        <w:t>.”</w:t>
      </w:r>
    </w:p>
    <w:p w:rsidR="008C51CC" w:rsidRPr="00FD7953" w:rsidRDefault="00457766" w:rsidP="00D95D63">
      <w:pPr>
        <w:autoSpaceDE w:val="0"/>
        <w:autoSpaceDN w:val="0"/>
        <w:adjustRightInd w:val="0"/>
        <w:spacing w:before="200"/>
        <w:jc w:val="both"/>
        <w:rPr>
          <w:rFonts w:ascii="Cambria" w:hAnsi="Cambria" w:cs="Arial"/>
          <w:b/>
          <w:sz w:val="24"/>
          <w:szCs w:val="24"/>
        </w:rPr>
      </w:pPr>
      <w:r w:rsidRPr="00FD7953">
        <w:rPr>
          <w:rFonts w:ascii="Cambria" w:hAnsi="Cambria" w:cs="Arial"/>
          <w:b/>
          <w:sz w:val="24"/>
          <w:szCs w:val="24"/>
        </w:rPr>
        <w:t>Cuarto</w:t>
      </w:r>
      <w:r w:rsidR="00BE1801" w:rsidRPr="00FD7953">
        <w:rPr>
          <w:rFonts w:ascii="Cambria" w:hAnsi="Cambria" w:cs="Arial"/>
          <w:b/>
          <w:sz w:val="24"/>
          <w:szCs w:val="24"/>
        </w:rPr>
        <w:t>. Definiciones.</w:t>
      </w:r>
    </w:p>
    <w:p w:rsidR="00550BB7" w:rsidRPr="00FD7953" w:rsidRDefault="00550BB7" w:rsidP="00226977">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Exclusivamente en el contexto de la presente</w:t>
      </w:r>
      <w:r w:rsidR="00044BA2" w:rsidRPr="00FD7953">
        <w:rPr>
          <w:rFonts w:ascii="Cambria" w:hAnsi="Cambria" w:cs="Arial"/>
          <w:sz w:val="24"/>
          <w:szCs w:val="24"/>
        </w:rPr>
        <w:t xml:space="preserve"> orden</w:t>
      </w:r>
      <w:r w:rsidRPr="00FD7953">
        <w:rPr>
          <w:rFonts w:ascii="Cambria" w:hAnsi="Cambria" w:cs="Arial"/>
          <w:sz w:val="24"/>
          <w:szCs w:val="24"/>
        </w:rPr>
        <w:t>, se aplicarán las siguientes definiciones:</w:t>
      </w:r>
    </w:p>
    <w:p w:rsidR="00550BB7" w:rsidRPr="00FD7953" w:rsidRDefault="00550BB7" w:rsidP="00226977">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a) Neutralidad tecnológica: principio que garantiza imparcialidad tecnológica, no favoreciendo</w:t>
      </w:r>
      <w:r w:rsidR="00D07CE4" w:rsidRPr="00FD7953">
        <w:rPr>
          <w:rFonts w:ascii="Cambria" w:hAnsi="Cambria" w:cs="Arial"/>
          <w:sz w:val="24"/>
          <w:szCs w:val="24"/>
        </w:rPr>
        <w:t xml:space="preserve"> </w:t>
      </w:r>
      <w:r w:rsidRPr="00FD7953">
        <w:rPr>
          <w:rFonts w:ascii="Cambria" w:hAnsi="Cambria" w:cs="Arial"/>
          <w:sz w:val="24"/>
          <w:szCs w:val="24"/>
        </w:rPr>
        <w:t>ni excluyendo a ninguna tecnología o plataforma de red particular. Las subvenciones no</w:t>
      </w:r>
      <w:r w:rsidR="00D07CE4" w:rsidRPr="00FD7953">
        <w:rPr>
          <w:rFonts w:ascii="Cambria" w:hAnsi="Cambria" w:cs="Arial"/>
          <w:sz w:val="24"/>
          <w:szCs w:val="24"/>
        </w:rPr>
        <w:t xml:space="preserve"> </w:t>
      </w:r>
      <w:r w:rsidRPr="00FD7953">
        <w:rPr>
          <w:rFonts w:ascii="Cambria" w:hAnsi="Cambria" w:cs="Arial"/>
          <w:sz w:val="24"/>
          <w:szCs w:val="24"/>
        </w:rPr>
        <w:t>estarán condicionadas al despliegue de una solución tecnológica concreta, siendo los solicitantes</w:t>
      </w:r>
      <w:r w:rsidR="00D07CE4" w:rsidRPr="00FD7953">
        <w:rPr>
          <w:rFonts w:ascii="Cambria" w:hAnsi="Cambria" w:cs="Arial"/>
          <w:sz w:val="24"/>
          <w:szCs w:val="24"/>
        </w:rPr>
        <w:t xml:space="preserve"> </w:t>
      </w:r>
      <w:r w:rsidRPr="00FD7953">
        <w:rPr>
          <w:rFonts w:ascii="Cambria" w:hAnsi="Cambria" w:cs="Arial"/>
          <w:sz w:val="24"/>
          <w:szCs w:val="24"/>
        </w:rPr>
        <w:t>los que deberán expresar y motivar la solución tecnológica más adecuada en el marco de</w:t>
      </w:r>
      <w:r w:rsidR="00D07CE4" w:rsidRPr="00FD7953">
        <w:rPr>
          <w:rFonts w:ascii="Cambria" w:hAnsi="Cambria" w:cs="Arial"/>
          <w:sz w:val="24"/>
          <w:szCs w:val="24"/>
        </w:rPr>
        <w:t xml:space="preserve"> </w:t>
      </w:r>
      <w:r w:rsidR="00256C8B" w:rsidRPr="00FD7953">
        <w:rPr>
          <w:rFonts w:ascii="Cambria" w:hAnsi="Cambria" w:cs="Arial"/>
          <w:sz w:val="24"/>
          <w:szCs w:val="24"/>
        </w:rPr>
        <w:t>esta</w:t>
      </w:r>
      <w:r w:rsidRPr="00FD7953">
        <w:rPr>
          <w:rFonts w:ascii="Cambria" w:hAnsi="Cambria" w:cs="Arial"/>
          <w:sz w:val="24"/>
          <w:szCs w:val="24"/>
        </w:rPr>
        <w:t xml:space="preserve"> convocatoria</w:t>
      </w:r>
      <w:r w:rsidR="00CC1C03" w:rsidRPr="00FD7953">
        <w:rPr>
          <w:rFonts w:ascii="Cambria" w:hAnsi="Cambria" w:cs="Arial"/>
          <w:sz w:val="24"/>
          <w:szCs w:val="24"/>
        </w:rPr>
        <w:t>.</w:t>
      </w:r>
    </w:p>
    <w:p w:rsidR="00CC1C03" w:rsidRPr="00FD7953" w:rsidRDefault="00857D0D" w:rsidP="00226977">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b</w:t>
      </w:r>
      <w:r w:rsidR="00CC1C03" w:rsidRPr="00FD7953">
        <w:rPr>
          <w:rFonts w:ascii="Cambria" w:hAnsi="Cambria" w:cs="Arial"/>
          <w:sz w:val="24"/>
          <w:szCs w:val="24"/>
        </w:rPr>
        <w:t>) Centros públicos de referencia: Son centros públicos de referencia aquellos que permiten acceder a servicios esenciales, asistenciales y sociales, tales como hospitales, centros de salud, centros educativos y de formación, incluyendo bibliotecas, y otros centros en los que se presten servicios públicos de tipo asistencial, social o de igualdad, así como los centros de I+D públicos.</w:t>
      </w:r>
    </w:p>
    <w:p w:rsidR="00550BB7" w:rsidRPr="00FD7953" w:rsidRDefault="00550BB7" w:rsidP="00226977">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El beneficiario no podrá negar el acceso a la infraestructura por razones discrecionales o</w:t>
      </w:r>
      <w:r w:rsidR="00D07CE4" w:rsidRPr="00FD7953">
        <w:rPr>
          <w:rFonts w:ascii="Cambria" w:hAnsi="Cambria" w:cs="Arial"/>
          <w:sz w:val="24"/>
          <w:szCs w:val="24"/>
        </w:rPr>
        <w:t xml:space="preserve"> </w:t>
      </w:r>
      <w:r w:rsidRPr="00FD7953">
        <w:rPr>
          <w:rFonts w:ascii="Cambria" w:hAnsi="Cambria" w:cs="Arial"/>
          <w:sz w:val="24"/>
          <w:szCs w:val="24"/>
        </w:rPr>
        <w:t>discriminatorias. La red debe ofrecer acceso a los interesados mediante todas las formas posibles</w:t>
      </w:r>
      <w:r w:rsidR="00D07CE4" w:rsidRPr="00FD7953">
        <w:rPr>
          <w:rFonts w:ascii="Cambria" w:hAnsi="Cambria" w:cs="Arial"/>
          <w:sz w:val="24"/>
          <w:szCs w:val="24"/>
        </w:rPr>
        <w:t xml:space="preserve"> </w:t>
      </w:r>
      <w:r w:rsidRPr="00FD7953">
        <w:rPr>
          <w:rFonts w:ascii="Cambria" w:hAnsi="Cambria" w:cs="Arial"/>
          <w:sz w:val="24"/>
          <w:szCs w:val="24"/>
        </w:rPr>
        <w:t>de acceso de red y permitir una competencia efectiva a nivel minorista, garantizando la</w:t>
      </w:r>
      <w:r w:rsidR="00D07CE4" w:rsidRPr="00FD7953">
        <w:rPr>
          <w:rFonts w:ascii="Cambria" w:hAnsi="Cambria" w:cs="Arial"/>
          <w:sz w:val="24"/>
          <w:szCs w:val="24"/>
        </w:rPr>
        <w:t xml:space="preserve"> </w:t>
      </w:r>
      <w:r w:rsidRPr="00FD7953">
        <w:rPr>
          <w:rFonts w:ascii="Cambria" w:hAnsi="Cambria" w:cs="Arial"/>
          <w:sz w:val="24"/>
          <w:szCs w:val="24"/>
        </w:rPr>
        <w:t>prestación de servicios competitivos y accesibles a los usuarios finales.</w:t>
      </w:r>
    </w:p>
    <w:p w:rsidR="00863E6A" w:rsidRPr="00FD7953" w:rsidRDefault="008F01AA" w:rsidP="00D95D63">
      <w:pPr>
        <w:autoSpaceDE w:val="0"/>
        <w:autoSpaceDN w:val="0"/>
        <w:adjustRightInd w:val="0"/>
        <w:spacing w:before="200"/>
        <w:rPr>
          <w:rFonts w:ascii="Cambria" w:eastAsia="Calibri" w:hAnsi="Cambria" w:cs="Arial"/>
          <w:b/>
          <w:sz w:val="24"/>
          <w:szCs w:val="24"/>
        </w:rPr>
      </w:pPr>
      <w:r w:rsidRPr="00FD7953">
        <w:rPr>
          <w:rFonts w:ascii="Cambria" w:hAnsi="Cambria" w:cs="Arial"/>
          <w:b/>
          <w:sz w:val="24"/>
          <w:szCs w:val="24"/>
        </w:rPr>
        <w:t>Quinto.</w:t>
      </w:r>
      <w:r w:rsidR="00863E6A" w:rsidRPr="00FD7953">
        <w:rPr>
          <w:rFonts w:ascii="Cambria" w:hAnsi="Cambria" w:cs="Arial"/>
          <w:b/>
          <w:sz w:val="24"/>
          <w:szCs w:val="24"/>
        </w:rPr>
        <w:t xml:space="preserve"> Actuaciones y gastos subvencionables.</w:t>
      </w:r>
      <w:r w:rsidR="00863E6A" w:rsidRPr="00FD7953">
        <w:rPr>
          <w:rFonts w:ascii="Cambria" w:eastAsia="Calibri" w:hAnsi="Cambria" w:cs="Arial"/>
          <w:b/>
          <w:sz w:val="24"/>
          <w:szCs w:val="24"/>
        </w:rPr>
        <w:t xml:space="preserve">  </w:t>
      </w:r>
    </w:p>
    <w:p w:rsidR="00863E6A" w:rsidRPr="00FD7953" w:rsidRDefault="00863E6A" w:rsidP="00863E6A">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1. De conformidad con lo previsto en el artículo 31 de la Ley 38/2003, de 17 de noviembre, General de Subvenciones y en el artículo 83 de su reglamento de desarrollo aprobado por Real Decreto 887/2006, y respetando el principio de neutralidad tecnológica, las subvenciones se destinarán a cubrir inversiones y gastos directamente relacionados con las actuaciones necesarias para</w:t>
      </w:r>
      <w:r w:rsidR="00E23834" w:rsidRPr="00FD7953">
        <w:rPr>
          <w:rFonts w:ascii="Cambria" w:hAnsi="Cambria" w:cs="Arial"/>
          <w:sz w:val="24"/>
          <w:szCs w:val="24"/>
        </w:rPr>
        <w:t xml:space="preserve"> la realización de las siguientes líneas de actuación</w:t>
      </w:r>
      <w:r w:rsidRPr="00FD7953">
        <w:rPr>
          <w:rFonts w:ascii="Cambria" w:hAnsi="Cambria" w:cs="Arial"/>
          <w:sz w:val="24"/>
          <w:szCs w:val="24"/>
        </w:rPr>
        <w:t>:</w:t>
      </w:r>
    </w:p>
    <w:p w:rsidR="00226977" w:rsidRPr="00FD7953" w:rsidRDefault="00226977" w:rsidP="00226977">
      <w:pPr>
        <w:autoSpaceDE w:val="0"/>
        <w:autoSpaceDN w:val="0"/>
        <w:adjustRightInd w:val="0"/>
        <w:spacing w:before="120" w:after="120"/>
        <w:jc w:val="both"/>
        <w:rPr>
          <w:rFonts w:ascii="Cambria" w:hAnsi="Cambria" w:cs="Arial"/>
          <w:sz w:val="24"/>
          <w:szCs w:val="24"/>
        </w:rPr>
      </w:pPr>
      <w:r w:rsidRPr="00FD7953">
        <w:rPr>
          <w:rFonts w:ascii="Cambria" w:hAnsi="Cambria" w:cs="Arial"/>
          <w:b/>
          <w:bCs/>
          <w:sz w:val="24"/>
          <w:szCs w:val="24"/>
          <w:u w:val="single"/>
        </w:rPr>
        <w:t>Línea de actuación 1</w:t>
      </w:r>
      <w:r w:rsidRPr="00FD7953">
        <w:rPr>
          <w:rFonts w:ascii="Cambria" w:hAnsi="Cambria" w:cs="Arial"/>
          <w:sz w:val="24"/>
          <w:szCs w:val="24"/>
        </w:rPr>
        <w:t xml:space="preserve">: Proporcionar conectividad de redes de banda ancha de muy alta velocidad, capaces de prestar servicios a velocidades de 1 </w:t>
      </w:r>
      <w:proofErr w:type="spellStart"/>
      <w:r w:rsidRPr="00FD7953">
        <w:rPr>
          <w:rFonts w:ascii="Cambria" w:hAnsi="Cambria" w:cs="Arial"/>
          <w:sz w:val="24"/>
          <w:szCs w:val="24"/>
        </w:rPr>
        <w:t>Gbps</w:t>
      </w:r>
      <w:proofErr w:type="spellEnd"/>
      <w:r w:rsidRPr="00FD7953">
        <w:rPr>
          <w:rFonts w:ascii="Cambria" w:hAnsi="Cambria" w:cs="Arial"/>
          <w:sz w:val="24"/>
          <w:szCs w:val="24"/>
        </w:rPr>
        <w:t>, en los centros públicos de referencia.</w:t>
      </w:r>
    </w:p>
    <w:p w:rsidR="00226977" w:rsidRPr="00FD7953" w:rsidRDefault="00226977" w:rsidP="00226977">
      <w:pPr>
        <w:autoSpaceDE w:val="0"/>
        <w:autoSpaceDN w:val="0"/>
        <w:adjustRightInd w:val="0"/>
        <w:spacing w:before="120" w:after="120"/>
        <w:jc w:val="both"/>
        <w:rPr>
          <w:rFonts w:ascii="Cambria" w:hAnsi="Cambria" w:cs="Arial"/>
          <w:sz w:val="24"/>
          <w:szCs w:val="24"/>
        </w:rPr>
      </w:pPr>
      <w:r w:rsidRPr="00FD7953">
        <w:rPr>
          <w:rFonts w:ascii="Cambria" w:hAnsi="Cambria" w:cs="Arial"/>
          <w:b/>
          <w:bCs/>
          <w:sz w:val="24"/>
          <w:szCs w:val="24"/>
          <w:u w:val="single"/>
        </w:rPr>
        <w:t>Línea de actuación 2</w:t>
      </w:r>
      <w:r w:rsidRPr="00FD7953">
        <w:rPr>
          <w:rFonts w:ascii="Cambria" w:hAnsi="Cambria" w:cs="Arial"/>
          <w:sz w:val="24"/>
          <w:szCs w:val="24"/>
        </w:rPr>
        <w:t xml:space="preserve">: Instalar una red de comunicaciones electrónicas de alta velocidad, capaz de prestar servicios a velocidades de 1 </w:t>
      </w:r>
      <w:proofErr w:type="spellStart"/>
      <w:r w:rsidRPr="00FD7953">
        <w:rPr>
          <w:rFonts w:ascii="Cambria" w:hAnsi="Cambria" w:cs="Arial"/>
          <w:sz w:val="24"/>
          <w:szCs w:val="24"/>
        </w:rPr>
        <w:t>Gbps</w:t>
      </w:r>
      <w:proofErr w:type="spellEnd"/>
      <w:r w:rsidRPr="00FD7953">
        <w:rPr>
          <w:rFonts w:ascii="Cambria" w:hAnsi="Cambria" w:cs="Arial"/>
          <w:sz w:val="24"/>
          <w:szCs w:val="24"/>
        </w:rPr>
        <w:t>, en cada centro público de referencia.</w:t>
      </w:r>
    </w:p>
    <w:p w:rsidR="00226977" w:rsidRPr="00FD7953" w:rsidRDefault="00664EC7" w:rsidP="00226977">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2. </w:t>
      </w:r>
      <w:r w:rsidR="00226977" w:rsidRPr="00FD7953">
        <w:rPr>
          <w:rFonts w:ascii="Cambria" w:hAnsi="Cambria" w:cs="Arial"/>
          <w:sz w:val="24"/>
          <w:szCs w:val="24"/>
        </w:rPr>
        <w:t xml:space="preserve">En ningún caso serán subvencionables las inversiones y gastos que se hubieran comprometido o realizado con anterioridad </w:t>
      </w:r>
      <w:r w:rsidR="00523260" w:rsidRPr="00FD7953">
        <w:rPr>
          <w:rFonts w:ascii="Cambria" w:hAnsi="Cambria" w:cs="Arial"/>
          <w:sz w:val="24"/>
          <w:szCs w:val="24"/>
        </w:rPr>
        <w:t xml:space="preserve">al </w:t>
      </w:r>
      <w:r w:rsidR="00FD7953" w:rsidRPr="00FD7953">
        <w:rPr>
          <w:rFonts w:ascii="Cambria" w:hAnsi="Cambria" w:cs="Arial"/>
          <w:sz w:val="24"/>
          <w:szCs w:val="24"/>
        </w:rPr>
        <w:t>18 de noviembre de 2021</w:t>
      </w:r>
      <w:r w:rsidR="009B7D95" w:rsidRPr="00FD7953">
        <w:rPr>
          <w:rFonts w:ascii="Cambria" w:hAnsi="Cambria" w:cs="Arial"/>
          <w:sz w:val="24"/>
          <w:szCs w:val="24"/>
        </w:rPr>
        <w:t xml:space="preserve">, sin perjuicio de lo </w:t>
      </w:r>
      <w:r w:rsidR="00F923EE" w:rsidRPr="00FD7953">
        <w:rPr>
          <w:rFonts w:ascii="Cambria" w:hAnsi="Cambria" w:cs="Arial"/>
          <w:sz w:val="24"/>
          <w:szCs w:val="24"/>
        </w:rPr>
        <w:t>establecido</w:t>
      </w:r>
      <w:r w:rsidR="009B7D95" w:rsidRPr="00FD7953">
        <w:rPr>
          <w:rFonts w:ascii="Cambria" w:hAnsi="Cambria" w:cs="Arial"/>
          <w:sz w:val="24"/>
          <w:szCs w:val="24"/>
        </w:rPr>
        <w:t xml:space="preserve"> en</w:t>
      </w:r>
      <w:r w:rsidR="00F923EE" w:rsidRPr="00FD7953">
        <w:rPr>
          <w:rFonts w:ascii="Cambria" w:hAnsi="Cambria" w:cs="Arial"/>
          <w:sz w:val="24"/>
          <w:szCs w:val="24"/>
        </w:rPr>
        <w:t xml:space="preserve"> </w:t>
      </w:r>
      <w:r w:rsidR="009B7D95" w:rsidRPr="00FD7953">
        <w:rPr>
          <w:rFonts w:ascii="Cambria" w:hAnsi="Cambria" w:cs="Arial"/>
          <w:sz w:val="24"/>
          <w:szCs w:val="24"/>
        </w:rPr>
        <w:t>e</w:t>
      </w:r>
      <w:r w:rsidR="00F923EE" w:rsidRPr="00FD7953">
        <w:rPr>
          <w:rFonts w:ascii="Cambria" w:hAnsi="Cambria" w:cs="Arial"/>
          <w:sz w:val="24"/>
          <w:szCs w:val="24"/>
        </w:rPr>
        <w:t>l artículo 4.</w:t>
      </w:r>
      <w:r w:rsidR="009B7D95" w:rsidRPr="00FD7953">
        <w:rPr>
          <w:rFonts w:ascii="Cambria" w:hAnsi="Cambria" w:cs="Arial"/>
          <w:sz w:val="24"/>
          <w:szCs w:val="24"/>
        </w:rPr>
        <w:t>2 del R</w:t>
      </w:r>
      <w:r w:rsidR="00F923EE" w:rsidRPr="00FD7953">
        <w:rPr>
          <w:rFonts w:ascii="Cambria" w:hAnsi="Cambria" w:cs="Arial"/>
          <w:sz w:val="24"/>
          <w:szCs w:val="24"/>
        </w:rPr>
        <w:t xml:space="preserve">eal </w:t>
      </w:r>
      <w:r w:rsidR="009B7D95" w:rsidRPr="00FD7953">
        <w:rPr>
          <w:rFonts w:ascii="Cambria" w:hAnsi="Cambria" w:cs="Arial"/>
          <w:sz w:val="24"/>
          <w:szCs w:val="24"/>
        </w:rPr>
        <w:t>D</w:t>
      </w:r>
      <w:r w:rsidR="00F923EE" w:rsidRPr="00FD7953">
        <w:rPr>
          <w:rFonts w:ascii="Cambria" w:hAnsi="Cambria" w:cs="Arial"/>
          <w:sz w:val="24"/>
          <w:szCs w:val="24"/>
        </w:rPr>
        <w:t>ecreto 987/2021, de 16 de noviembre</w:t>
      </w:r>
      <w:r w:rsidR="00226977" w:rsidRPr="00FD7953">
        <w:rPr>
          <w:rFonts w:ascii="Cambria" w:hAnsi="Cambria" w:cs="Arial"/>
          <w:sz w:val="24"/>
          <w:szCs w:val="24"/>
        </w:rPr>
        <w:t>.</w:t>
      </w:r>
    </w:p>
    <w:p w:rsidR="00226977" w:rsidRPr="00FD7953" w:rsidRDefault="00664EC7" w:rsidP="00226977">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3. </w:t>
      </w:r>
      <w:r w:rsidR="00226977" w:rsidRPr="00FD7953">
        <w:rPr>
          <w:rFonts w:ascii="Cambria" w:hAnsi="Cambria" w:cs="Arial"/>
          <w:sz w:val="24"/>
          <w:szCs w:val="24"/>
        </w:rPr>
        <w:t>Se consideran inversiones y gastos subvencionables, en los términos previstos en el artículo 31 de la Ley 38/2003, de 17 de noviembre, y en el artículo 83 del Reglamento aprobado por Real Decreto 887/2006, de 21 de julio, los siguientes conceptos:</w:t>
      </w:r>
    </w:p>
    <w:p w:rsidR="00226977" w:rsidRPr="00FD7953" w:rsidRDefault="00226977" w:rsidP="00074182">
      <w:pPr>
        <w:pStyle w:val="Prrafodelista"/>
        <w:numPr>
          <w:ilvl w:val="0"/>
          <w:numId w:val="11"/>
        </w:num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Redacción y dirección del proyecto (incluyendo la preceptiva dirección facultativa de los proyectos y coordinación de seguridad y salud en las fases de ejecución).</w:t>
      </w:r>
    </w:p>
    <w:p w:rsidR="00226977" w:rsidRPr="00FD7953" w:rsidRDefault="00226977" w:rsidP="00074182">
      <w:pPr>
        <w:pStyle w:val="Prrafodelista"/>
        <w:numPr>
          <w:ilvl w:val="0"/>
          <w:numId w:val="11"/>
        </w:num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Infraestructuras y obra civil.</w:t>
      </w:r>
    </w:p>
    <w:p w:rsidR="00226977" w:rsidRPr="00FD7953" w:rsidRDefault="00226977" w:rsidP="00074182">
      <w:pPr>
        <w:pStyle w:val="Prrafodelista"/>
        <w:numPr>
          <w:ilvl w:val="0"/>
          <w:numId w:val="11"/>
        </w:num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Equipamiento y otros materiales.</w:t>
      </w:r>
    </w:p>
    <w:p w:rsidR="00226977" w:rsidRPr="00FD7953" w:rsidRDefault="00BC6288" w:rsidP="00226977">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4. </w:t>
      </w:r>
      <w:r w:rsidR="00226977" w:rsidRPr="00FD7953">
        <w:rPr>
          <w:rFonts w:ascii="Cambria" w:hAnsi="Cambria" w:cs="Arial"/>
          <w:sz w:val="24"/>
          <w:szCs w:val="24"/>
        </w:rPr>
        <w:t>En ningún caso, el coste de adquisición de los gastos subvencionables podrá ser superior al valor de mercado. Cuando el importe del gasto subvencionable supere las cuantías establecidas en la Ley 9/2017, de 8 de noviembre, de Contratos del Sector Público, para el contrato menor, el beneficiario deberá solicitar como mínimo tres ofertas de diferentes proveedores, con carácter previo a la contratación del compromiso para la obra, la prestación del servicio o la entrega del bien, salvo que por sus especiales características no exista en el mercado suficiente número de entidades que los realicen, presten o suministren. La elección entre las ofertas presentadas, que deberán aportarse en la fase de justificación de las inversiones, se realizará conforme a criterios de eficiencia y economía, debiendo justificarse expresamente en la memoria económica de la cuenta justificativa la elección cuando no recaiga en la propuesta económica más ventajosa.</w:t>
      </w:r>
    </w:p>
    <w:p w:rsidR="0073307B" w:rsidRPr="00FD7953" w:rsidRDefault="00BC6288" w:rsidP="00226977">
      <w:pPr>
        <w:autoSpaceDE w:val="0"/>
        <w:autoSpaceDN w:val="0"/>
        <w:adjustRightInd w:val="0"/>
        <w:spacing w:before="120" w:after="120"/>
        <w:jc w:val="both"/>
        <w:rPr>
          <w:rFonts w:ascii="Cambria" w:hAnsi="Cambria" w:cs="Arial"/>
          <w:strike/>
          <w:sz w:val="24"/>
          <w:szCs w:val="24"/>
        </w:rPr>
      </w:pPr>
      <w:r w:rsidRPr="00FD7953">
        <w:rPr>
          <w:rFonts w:ascii="Cambria" w:hAnsi="Cambria" w:cs="Arial"/>
          <w:sz w:val="24"/>
          <w:szCs w:val="24"/>
        </w:rPr>
        <w:t xml:space="preserve">5. </w:t>
      </w:r>
      <w:r w:rsidR="00226977" w:rsidRPr="00FD7953">
        <w:rPr>
          <w:rFonts w:ascii="Cambria" w:hAnsi="Cambria" w:cs="Arial"/>
          <w:sz w:val="24"/>
          <w:szCs w:val="24"/>
        </w:rPr>
        <w:t xml:space="preserve">Dentro de los gastos subvencionables, conforme </w:t>
      </w:r>
      <w:r w:rsidR="009E7128" w:rsidRPr="00FD7953">
        <w:rPr>
          <w:rFonts w:ascii="Cambria" w:hAnsi="Cambria" w:cs="Arial"/>
          <w:sz w:val="24"/>
          <w:szCs w:val="24"/>
        </w:rPr>
        <w:t>a</w:t>
      </w:r>
      <w:r w:rsidR="00226977" w:rsidRPr="00FD7953">
        <w:rPr>
          <w:rFonts w:ascii="Cambria" w:hAnsi="Cambria" w:cs="Arial"/>
          <w:sz w:val="24"/>
          <w:szCs w:val="24"/>
        </w:rPr>
        <w:t>l artículo 31.8 de la Ley 38/2003, de 17 de noviembre, General de Subvenciones, se admitirán los impuestos indirectos aplicables cuando no sean susceptibles de recuperación o compensación por el beneficiario</w:t>
      </w:r>
    </w:p>
    <w:p w:rsidR="00226977" w:rsidRPr="00FD7953" w:rsidRDefault="00FD7953" w:rsidP="00226977">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En particular</w:t>
      </w:r>
      <w:r w:rsidR="0073307B" w:rsidRPr="00FD7953">
        <w:rPr>
          <w:rFonts w:ascii="Cambria" w:hAnsi="Cambria" w:cs="Arial"/>
          <w:sz w:val="24"/>
          <w:szCs w:val="24"/>
        </w:rPr>
        <w:t>, será gasto subvencionable el</w:t>
      </w:r>
      <w:r w:rsidR="00226977" w:rsidRPr="00FD7953">
        <w:rPr>
          <w:rFonts w:ascii="Cambria" w:hAnsi="Cambria" w:cs="Arial"/>
          <w:sz w:val="24"/>
          <w:szCs w:val="24"/>
        </w:rPr>
        <w:t xml:space="preserve"> impuesto sobre el valor añadido (IVA)</w:t>
      </w:r>
      <w:r w:rsidR="0073307B" w:rsidRPr="00FD7953">
        <w:rPr>
          <w:rFonts w:ascii="Cambria" w:hAnsi="Cambria" w:cs="Arial"/>
          <w:sz w:val="24"/>
          <w:szCs w:val="24"/>
        </w:rPr>
        <w:t xml:space="preserve">, no </w:t>
      </w:r>
      <w:proofErr w:type="gramStart"/>
      <w:r w:rsidR="0073307B" w:rsidRPr="00FD7953">
        <w:rPr>
          <w:rFonts w:ascii="Cambria" w:hAnsi="Cambria" w:cs="Arial"/>
          <w:sz w:val="24"/>
          <w:szCs w:val="24"/>
        </w:rPr>
        <w:t>obstante</w:t>
      </w:r>
      <w:proofErr w:type="gramEnd"/>
      <w:r w:rsidR="0073307B" w:rsidRPr="00FD7953">
        <w:rPr>
          <w:rFonts w:ascii="Cambria" w:hAnsi="Cambria" w:cs="Arial"/>
          <w:sz w:val="24"/>
          <w:szCs w:val="24"/>
        </w:rPr>
        <w:t xml:space="preserve"> su financiación no correrá a cargo de los fondos provenientes de la Unión Europea</w:t>
      </w:r>
      <w:r w:rsidR="00226977" w:rsidRPr="00FD7953">
        <w:rPr>
          <w:rFonts w:ascii="Cambria" w:hAnsi="Cambria" w:cs="Arial"/>
          <w:sz w:val="24"/>
          <w:szCs w:val="24"/>
        </w:rPr>
        <w:t>.</w:t>
      </w:r>
    </w:p>
    <w:p w:rsidR="003B2EAC" w:rsidRPr="00FD7953" w:rsidRDefault="003B2EAC" w:rsidP="003B2EAC">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6. En aplicación de lo dispuesto en el artículo 31.4.a) de la Ley 38/2003, de 17 de noviembre, las infraestructuras y equipos que sean objeto de ayuda deberán permanecer afectos al fin concreto del proyecto durante un periodo mínimo de cinco años, contados a partir de la finalización del mismo, o hasta el final de su vida útil si esta fuera menor de 5 años.</w:t>
      </w:r>
    </w:p>
    <w:p w:rsidR="00AD2BC8" w:rsidRPr="00FD7953" w:rsidRDefault="003E09E2" w:rsidP="00AD2BC8">
      <w:pPr>
        <w:autoSpaceDE w:val="0"/>
        <w:autoSpaceDN w:val="0"/>
        <w:adjustRightInd w:val="0"/>
        <w:spacing w:before="120" w:after="120"/>
        <w:jc w:val="both"/>
        <w:rPr>
          <w:rFonts w:ascii="Cambria" w:hAnsi="Cambria" w:cs="Arial"/>
          <w:sz w:val="24"/>
          <w:szCs w:val="24"/>
        </w:rPr>
      </w:pPr>
      <w:bookmarkStart w:id="3" w:name="_Hlk129085404"/>
      <w:r w:rsidRPr="00FD7953">
        <w:rPr>
          <w:rFonts w:ascii="Cambria" w:hAnsi="Cambria" w:cs="Arial"/>
          <w:sz w:val="24"/>
          <w:szCs w:val="24"/>
        </w:rPr>
        <w:t>7.</w:t>
      </w:r>
      <w:r w:rsidR="00AD2BC8" w:rsidRPr="00FD7953">
        <w:rPr>
          <w:rFonts w:ascii="Cambria" w:hAnsi="Cambria" w:cs="Arial"/>
          <w:sz w:val="24"/>
          <w:szCs w:val="24"/>
        </w:rPr>
        <w:t xml:space="preserve"> No serán objeto de ayuda aquellas actuaciones que, directa o indirectamente ocasionen un perjuicio significativo al medio ambiente, de acuerdo con el artículo 17 del Reglamento (UE) 2020/852 del Parlamento Europeo y del Consejo, de 18 de junio de 2020 (Reglamento de Taxonomía), o que estén dirigidas a aumentar la eficiencia de los combustibles fósiles.</w:t>
      </w:r>
    </w:p>
    <w:p w:rsidR="003E09E2" w:rsidRDefault="003E09E2" w:rsidP="00AD2BC8">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8. Cada actuación relacionada con un centro público de referencia computará para el cumplimiento de los hitos y objetivos del proyecto relativo a la Componente 15 Inversión 2, CID 238, que para Cantabria se ha establecido en un mínimo de 122 actuaciones. Mediante la concesión de la subvención se </w:t>
      </w:r>
      <w:r w:rsidR="00495E8F" w:rsidRPr="00FD7953">
        <w:rPr>
          <w:rFonts w:ascii="Cambria" w:hAnsi="Cambria" w:cs="Arial"/>
          <w:sz w:val="24"/>
          <w:szCs w:val="24"/>
        </w:rPr>
        <w:t>traslada al beneficiario la responsabilidad del cumplimiento del hito y objetivo correspondiente a las actuaciones subvencionadas.</w:t>
      </w:r>
    </w:p>
    <w:p w:rsidR="002D5E8D" w:rsidRPr="002D5E8D" w:rsidRDefault="002D5E8D" w:rsidP="002D5E8D">
      <w:pPr>
        <w:autoSpaceDE w:val="0"/>
        <w:autoSpaceDN w:val="0"/>
        <w:adjustRightInd w:val="0"/>
        <w:spacing w:before="120" w:after="120"/>
        <w:jc w:val="both"/>
        <w:rPr>
          <w:rFonts w:ascii="Cambria" w:hAnsi="Cambria" w:cs="Arial"/>
          <w:sz w:val="24"/>
          <w:szCs w:val="24"/>
        </w:rPr>
      </w:pPr>
      <w:r w:rsidRPr="008B3F85">
        <w:rPr>
          <w:rFonts w:ascii="Cambria" w:hAnsi="Cambria" w:cs="Arial"/>
          <w:sz w:val="24"/>
          <w:szCs w:val="24"/>
        </w:rPr>
        <w:t>9. De acuerdo con lo previsto en el Plan de Recuperación, Transformación y Resiliencia y el Mecanismo de Recuperación y Resiliencia, establecido por el Reglamento (UE) 2021/241 del Parlamento Europeo y del Consejo, de 12 de febrero de 2021, en cuanto a la inversión C15.I2 no cabe esperar ninguna contribución específica a la transición verde y sí una contribución íntegra a la transición digital. La Contribución de la componente 15 a la transición digital es del 100%.</w:t>
      </w:r>
    </w:p>
    <w:bookmarkEnd w:id="3"/>
    <w:p w:rsidR="003B2EAC" w:rsidRPr="00FD7953" w:rsidRDefault="008F01AA" w:rsidP="002D5034">
      <w:pPr>
        <w:autoSpaceDE w:val="0"/>
        <w:autoSpaceDN w:val="0"/>
        <w:adjustRightInd w:val="0"/>
        <w:spacing w:before="200"/>
        <w:jc w:val="both"/>
        <w:rPr>
          <w:rFonts w:ascii="Cambria" w:hAnsi="Cambria" w:cs="Arial"/>
          <w:b/>
          <w:bCs/>
          <w:sz w:val="24"/>
          <w:szCs w:val="24"/>
        </w:rPr>
      </w:pPr>
      <w:r w:rsidRPr="00FD7953">
        <w:rPr>
          <w:rFonts w:ascii="Cambria" w:hAnsi="Cambria" w:cs="Arial"/>
          <w:b/>
          <w:bCs/>
          <w:sz w:val="24"/>
          <w:szCs w:val="24"/>
        </w:rPr>
        <w:t>Sexto</w:t>
      </w:r>
      <w:r w:rsidR="003B2EAC" w:rsidRPr="00FD7953">
        <w:rPr>
          <w:rFonts w:ascii="Cambria" w:hAnsi="Cambria" w:cs="Arial"/>
          <w:b/>
          <w:bCs/>
          <w:sz w:val="24"/>
          <w:szCs w:val="24"/>
        </w:rPr>
        <w:t>. Beneficiarios.</w:t>
      </w:r>
    </w:p>
    <w:p w:rsidR="008B0F90" w:rsidRPr="00FD7953" w:rsidRDefault="008B0F90" w:rsidP="00623551">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1. Podrán ser beneficiarios de las ayudas reguladas en la presente Orden los ayuntamientos de Cantabri</w:t>
      </w:r>
      <w:r w:rsidR="00D9144A" w:rsidRPr="00FD7953">
        <w:rPr>
          <w:rFonts w:ascii="Cambria" w:hAnsi="Cambria" w:cs="Arial"/>
          <w:sz w:val="24"/>
          <w:szCs w:val="24"/>
        </w:rPr>
        <w:t>a.</w:t>
      </w:r>
    </w:p>
    <w:p w:rsidR="003B2EAC" w:rsidRPr="00FD7953" w:rsidRDefault="003B2EAC" w:rsidP="00623551">
      <w:pPr>
        <w:autoSpaceDE w:val="0"/>
        <w:autoSpaceDN w:val="0"/>
        <w:adjustRightInd w:val="0"/>
        <w:spacing w:before="120" w:after="120"/>
        <w:jc w:val="both"/>
        <w:rPr>
          <w:rFonts w:ascii="Cambria" w:hAnsi="Cambria" w:cs="Times New Roman"/>
          <w:sz w:val="24"/>
          <w:szCs w:val="24"/>
        </w:rPr>
      </w:pPr>
      <w:r w:rsidRPr="00FD7953">
        <w:rPr>
          <w:rFonts w:ascii="Cambria" w:hAnsi="Cambria" w:cs="Arial"/>
          <w:sz w:val="24"/>
          <w:szCs w:val="24"/>
        </w:rPr>
        <w:t>2. No podrán obtener la condición de beneficiarias las entidades en las cuales concurra alguna de las circunstancias recogidas en el apartado 2 del artículo 12 de la Ley 10/2006, de 17 de julio, de Subvenciones de Cantabria</w:t>
      </w:r>
      <w:r w:rsidRPr="00FD7953">
        <w:rPr>
          <w:rFonts w:ascii="Cambria" w:hAnsi="Cambria" w:cs="Times New Roman"/>
          <w:sz w:val="24"/>
          <w:szCs w:val="24"/>
        </w:rPr>
        <w:t>.</w:t>
      </w:r>
    </w:p>
    <w:p w:rsidR="003B2EAC" w:rsidRPr="00FD7953" w:rsidRDefault="003B2EAC" w:rsidP="00623551">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3. Los beneficiarios destinarán el importe íntegro de la ayuda que reciban al pago de las correspondientes actuaciones subvencionables y quedar</w:t>
      </w:r>
      <w:r w:rsidR="0051743E" w:rsidRPr="00FD7953">
        <w:rPr>
          <w:rFonts w:ascii="Cambria" w:hAnsi="Cambria" w:cs="Arial"/>
          <w:sz w:val="24"/>
          <w:szCs w:val="24"/>
        </w:rPr>
        <w:t>á</w:t>
      </w:r>
      <w:r w:rsidRPr="00FD7953">
        <w:rPr>
          <w:rFonts w:ascii="Cambria" w:hAnsi="Cambria" w:cs="Arial"/>
          <w:sz w:val="24"/>
          <w:szCs w:val="24"/>
        </w:rPr>
        <w:t>n sujetos a las obligaciones previstas en el artículo 14 de la Ley 38/2003, de 17 de noviembre, así como a las contenidas en el Real Decreto 9</w:t>
      </w:r>
      <w:r w:rsidR="00044190" w:rsidRPr="00FD7953">
        <w:rPr>
          <w:rFonts w:ascii="Cambria" w:hAnsi="Cambria" w:cs="Arial"/>
          <w:sz w:val="24"/>
          <w:szCs w:val="24"/>
        </w:rPr>
        <w:t>87</w:t>
      </w:r>
      <w:r w:rsidRPr="00FD7953">
        <w:rPr>
          <w:rFonts w:ascii="Cambria" w:hAnsi="Cambria" w:cs="Arial"/>
          <w:sz w:val="24"/>
          <w:szCs w:val="24"/>
        </w:rPr>
        <w:t>/2021, de 16 de noviembre y las que se determinan en esta convocatoria.</w:t>
      </w:r>
    </w:p>
    <w:p w:rsidR="003B2EAC" w:rsidRPr="00FD7953" w:rsidRDefault="003B2EAC" w:rsidP="00623551">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4. Los beneficiarios deberán mantener un sistema de contabilidad separada, o un código contable diferenciado que recoja adecuadamente todas las transacciones. Asimismo, deberán disponer de los libros contables, registros diligenciados y demás documentos en los términos exigidos por la legislación aplicable al beneficiario, así como las facturas y demás justificantes de gasto de valor probatorio equivalente y los correspondientes justificantes de pago. Este conjunto de documentos constituye el soporte justificativo de la ayuda concedida, garantiza su adecuado reflejo en la contabilidad de los beneficiarios y deberá conservarse durante un plazo mínimo de diez años, relacionadas con la actuación objeto de ayuda.</w:t>
      </w:r>
    </w:p>
    <w:p w:rsidR="00852B06" w:rsidRPr="00FD7953" w:rsidRDefault="003B2EAC" w:rsidP="00623551">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5. El incumplimiento de cualquiera de las obligaciones señaladas en los apartados 3 y 4, podrán ser causa de la pérdida de derecho al cobro o del reintegro de la ayuda concedida según la fase procedimental en que se halle la tramitación del expediente.</w:t>
      </w:r>
    </w:p>
    <w:p w:rsidR="0061433D" w:rsidRPr="00FD7953" w:rsidRDefault="0061433D" w:rsidP="00623551">
      <w:pPr>
        <w:autoSpaceDE w:val="0"/>
        <w:autoSpaceDN w:val="0"/>
        <w:adjustRightInd w:val="0"/>
        <w:spacing w:before="200"/>
        <w:jc w:val="both"/>
        <w:rPr>
          <w:rFonts w:ascii="Cambria" w:hAnsi="Cambria" w:cs="Arial"/>
          <w:sz w:val="24"/>
          <w:szCs w:val="24"/>
        </w:rPr>
      </w:pPr>
      <w:r w:rsidRPr="00FD7953">
        <w:rPr>
          <w:rFonts w:ascii="Cambria" w:hAnsi="Cambria" w:cs="Arial"/>
          <w:sz w:val="24"/>
          <w:szCs w:val="24"/>
        </w:rPr>
        <w:t>6. L</w:t>
      </w:r>
      <w:r w:rsidR="004048F4" w:rsidRPr="00FD7953">
        <w:rPr>
          <w:rFonts w:ascii="Cambria" w:hAnsi="Cambria" w:cs="Arial"/>
          <w:sz w:val="24"/>
          <w:szCs w:val="24"/>
        </w:rPr>
        <w:t>o</w:t>
      </w:r>
      <w:r w:rsidRPr="00FD7953">
        <w:rPr>
          <w:rFonts w:ascii="Cambria" w:hAnsi="Cambria" w:cs="Arial"/>
          <w:sz w:val="24"/>
          <w:szCs w:val="24"/>
        </w:rPr>
        <w:t>s beneficiari</w:t>
      </w:r>
      <w:r w:rsidR="004048F4" w:rsidRPr="00FD7953">
        <w:rPr>
          <w:rFonts w:ascii="Cambria" w:hAnsi="Cambria" w:cs="Arial"/>
          <w:sz w:val="24"/>
          <w:szCs w:val="24"/>
        </w:rPr>
        <w:t>o</w:t>
      </w:r>
      <w:r w:rsidRPr="00FD7953">
        <w:rPr>
          <w:rFonts w:ascii="Cambria" w:hAnsi="Cambria" w:cs="Arial"/>
          <w:sz w:val="24"/>
          <w:szCs w:val="24"/>
        </w:rPr>
        <w:t>s podrán concertar con terceros la ejecución total o parcial de las líneas de actuación previstas en el</w:t>
      </w:r>
      <w:r w:rsidR="00852B06" w:rsidRPr="00FD7953">
        <w:rPr>
          <w:rFonts w:ascii="Cambria" w:hAnsi="Cambria" w:cs="Arial"/>
          <w:sz w:val="24"/>
          <w:szCs w:val="24"/>
        </w:rPr>
        <w:t xml:space="preserve"> apartado</w:t>
      </w:r>
      <w:r w:rsidRPr="00FD7953">
        <w:rPr>
          <w:rFonts w:ascii="Cambria" w:hAnsi="Cambria" w:cs="Arial"/>
          <w:sz w:val="24"/>
          <w:szCs w:val="24"/>
        </w:rPr>
        <w:t xml:space="preserve"> </w:t>
      </w:r>
      <w:r w:rsidR="00852B06" w:rsidRPr="00FD7953">
        <w:rPr>
          <w:rFonts w:ascii="Cambria" w:hAnsi="Cambria" w:cs="Arial"/>
          <w:sz w:val="24"/>
          <w:szCs w:val="24"/>
        </w:rPr>
        <w:t xml:space="preserve">quinto “Actuaciones y gastos subvencionables” </w:t>
      </w:r>
      <w:r w:rsidRPr="00FD7953">
        <w:rPr>
          <w:rFonts w:ascii="Cambria" w:hAnsi="Cambria" w:cs="Arial"/>
          <w:sz w:val="24"/>
          <w:szCs w:val="24"/>
        </w:rPr>
        <w:t>mediante los procedimientos de licitación correspondientes</w:t>
      </w:r>
      <w:r w:rsidR="00A8153A" w:rsidRPr="00FD7953">
        <w:rPr>
          <w:rFonts w:ascii="Cambria" w:hAnsi="Cambria" w:cs="Arial"/>
          <w:sz w:val="24"/>
          <w:szCs w:val="24"/>
        </w:rPr>
        <w:t>.</w:t>
      </w:r>
    </w:p>
    <w:p w:rsidR="00623551" w:rsidRPr="00FD7953" w:rsidRDefault="00623551" w:rsidP="00623551">
      <w:pPr>
        <w:autoSpaceDE w:val="0"/>
        <w:autoSpaceDN w:val="0"/>
        <w:adjustRightInd w:val="0"/>
        <w:spacing w:before="200"/>
        <w:jc w:val="both"/>
        <w:rPr>
          <w:rFonts w:ascii="Cambria" w:hAnsi="Cambria" w:cs="Arial"/>
          <w:sz w:val="24"/>
          <w:szCs w:val="24"/>
        </w:rPr>
      </w:pPr>
      <w:r w:rsidRPr="00FD7953">
        <w:rPr>
          <w:rFonts w:ascii="Cambria" w:hAnsi="Cambria" w:cs="Arial"/>
          <w:sz w:val="24"/>
          <w:szCs w:val="24"/>
        </w:rPr>
        <w:t xml:space="preserve">7. La condición de entidad beneficiaria de la ayuda, implica que la entidad asume la totalidad de derechos y obligaciones inherentes a tal condición, derivada de las disposiciones de la Unión Europea, así como de la Ley 38/2003, de 17 de noviembre y de su Reglamento de desarrollo. </w:t>
      </w:r>
      <w:bookmarkStart w:id="4" w:name="_Hlk129084351"/>
      <w:r w:rsidRPr="00FD7953">
        <w:rPr>
          <w:rFonts w:ascii="Cambria" w:hAnsi="Cambria" w:cs="Arial"/>
          <w:sz w:val="24"/>
          <w:szCs w:val="24"/>
        </w:rPr>
        <w:t>Las entidades beneficiarias serán las responsables de la gestión y ejecución de los proyectos presentados</w:t>
      </w:r>
      <w:bookmarkEnd w:id="4"/>
      <w:r w:rsidRPr="00FD7953">
        <w:rPr>
          <w:rFonts w:ascii="Cambria" w:hAnsi="Cambria" w:cs="Arial"/>
          <w:sz w:val="24"/>
          <w:szCs w:val="24"/>
        </w:rPr>
        <w:t>.</w:t>
      </w:r>
    </w:p>
    <w:p w:rsidR="00803EBC" w:rsidRPr="00FD7953" w:rsidRDefault="008F01AA" w:rsidP="00222D94">
      <w:pPr>
        <w:autoSpaceDE w:val="0"/>
        <w:autoSpaceDN w:val="0"/>
        <w:adjustRightInd w:val="0"/>
        <w:spacing w:before="200"/>
        <w:jc w:val="both"/>
        <w:rPr>
          <w:rFonts w:ascii="Cambria" w:hAnsi="Cambria" w:cs="Arial"/>
          <w:b/>
          <w:sz w:val="24"/>
          <w:szCs w:val="24"/>
        </w:rPr>
      </w:pPr>
      <w:r w:rsidRPr="00FD7953">
        <w:rPr>
          <w:rFonts w:ascii="Cambria" w:hAnsi="Cambria" w:cs="Arial"/>
          <w:b/>
          <w:sz w:val="24"/>
          <w:szCs w:val="24"/>
        </w:rPr>
        <w:t>Séptimo</w:t>
      </w:r>
      <w:r w:rsidR="00803EBC" w:rsidRPr="00FD7953">
        <w:rPr>
          <w:rFonts w:ascii="Cambria" w:hAnsi="Cambria" w:cs="Arial"/>
          <w:b/>
          <w:sz w:val="24"/>
          <w:szCs w:val="24"/>
        </w:rPr>
        <w:t>.</w:t>
      </w:r>
      <w:r w:rsidR="00803EBC" w:rsidRPr="00FD7953">
        <w:rPr>
          <w:rFonts w:ascii="Cambria" w:hAnsi="Cambria" w:cs="Arial"/>
          <w:sz w:val="24"/>
          <w:szCs w:val="24"/>
        </w:rPr>
        <w:t xml:space="preserve"> </w:t>
      </w:r>
      <w:r w:rsidR="00803EBC" w:rsidRPr="00FD7953">
        <w:rPr>
          <w:rFonts w:ascii="Cambria" w:hAnsi="Cambria" w:cs="Arial"/>
          <w:b/>
          <w:sz w:val="24"/>
          <w:szCs w:val="24"/>
        </w:rPr>
        <w:t>Intensidad máxima de las ayudas.</w:t>
      </w:r>
    </w:p>
    <w:p w:rsidR="00803EBC" w:rsidRPr="00FD7953" w:rsidRDefault="00803EBC" w:rsidP="00803EBC">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1. Se entiende por intensidad de ayuda el importe bruto de la ayuda</w:t>
      </w:r>
      <w:r w:rsidR="00222D94" w:rsidRPr="00FD7953">
        <w:rPr>
          <w:rFonts w:ascii="Cambria" w:hAnsi="Cambria" w:cs="Arial"/>
          <w:sz w:val="24"/>
          <w:szCs w:val="24"/>
        </w:rPr>
        <w:t xml:space="preserve">, </w:t>
      </w:r>
      <w:r w:rsidRPr="00FD7953">
        <w:rPr>
          <w:rFonts w:ascii="Cambria" w:hAnsi="Cambria" w:cs="Arial"/>
          <w:sz w:val="24"/>
          <w:szCs w:val="24"/>
        </w:rPr>
        <w:t xml:space="preserve">expresado en porcentaje de los costes subvencionables del proyecto. </w:t>
      </w:r>
    </w:p>
    <w:p w:rsidR="00803EBC" w:rsidRPr="00FD7953" w:rsidRDefault="00803EBC" w:rsidP="00803EBC">
      <w:pPr>
        <w:spacing w:before="120" w:after="120"/>
        <w:jc w:val="both"/>
        <w:rPr>
          <w:rFonts w:ascii="Cambria" w:hAnsi="Cambria" w:cs="Arial"/>
          <w:sz w:val="24"/>
          <w:szCs w:val="24"/>
        </w:rPr>
      </w:pPr>
      <w:r w:rsidRPr="00FD7953">
        <w:rPr>
          <w:rFonts w:ascii="Cambria" w:hAnsi="Cambria" w:cs="Arial"/>
          <w:sz w:val="24"/>
          <w:szCs w:val="24"/>
        </w:rPr>
        <w:t xml:space="preserve">   La intensidad máxima de la ayuda no podrá superar el 100% de los costes subvencionables que consten en las facturas, </w:t>
      </w:r>
      <w:r w:rsidR="0073307B" w:rsidRPr="00FD7953">
        <w:rPr>
          <w:rFonts w:ascii="Cambria" w:hAnsi="Cambria" w:cs="Arial"/>
          <w:sz w:val="24"/>
          <w:szCs w:val="24"/>
        </w:rPr>
        <w:t>incluido</w:t>
      </w:r>
      <w:r w:rsidRPr="00FD7953">
        <w:rPr>
          <w:rFonts w:ascii="Cambria" w:hAnsi="Cambria" w:cs="Arial"/>
          <w:sz w:val="24"/>
          <w:szCs w:val="24"/>
        </w:rPr>
        <w:t xml:space="preserve"> el Impuesto sobre el Valor añadido</w:t>
      </w:r>
      <w:r w:rsidR="00222D94" w:rsidRPr="00FD7953">
        <w:rPr>
          <w:rFonts w:ascii="Cambria" w:hAnsi="Cambria" w:cs="Arial"/>
          <w:sz w:val="24"/>
          <w:szCs w:val="24"/>
        </w:rPr>
        <w:t>,</w:t>
      </w:r>
      <w:r w:rsidR="00404E0E" w:rsidRPr="00FD7953">
        <w:rPr>
          <w:rFonts w:ascii="Cambria" w:hAnsi="Cambria" w:cs="Arial"/>
          <w:sz w:val="24"/>
          <w:szCs w:val="24"/>
        </w:rPr>
        <w:t xml:space="preserve"> hasta un máximo de 70.000 € por beneficiario</w:t>
      </w:r>
      <w:r w:rsidR="0073307B" w:rsidRPr="00FD7953">
        <w:rPr>
          <w:rFonts w:ascii="Cambria" w:hAnsi="Cambria" w:cs="Arial"/>
          <w:sz w:val="24"/>
          <w:szCs w:val="24"/>
        </w:rPr>
        <w:t>.</w:t>
      </w:r>
      <w:r w:rsidR="00404E0E" w:rsidRPr="00FD7953">
        <w:rPr>
          <w:rFonts w:ascii="Cambria" w:hAnsi="Cambria" w:cs="Arial"/>
          <w:sz w:val="24"/>
          <w:szCs w:val="24"/>
        </w:rPr>
        <w:t xml:space="preserve"> </w:t>
      </w:r>
      <w:r w:rsidRPr="00FD7953">
        <w:rPr>
          <w:rFonts w:ascii="Cambria" w:hAnsi="Cambria" w:cs="Arial"/>
          <w:sz w:val="24"/>
          <w:szCs w:val="24"/>
        </w:rPr>
        <w:t xml:space="preserve"> La cantidad restante hasta el coste total de la actuación será asumida por el ayuntamiento.</w:t>
      </w:r>
    </w:p>
    <w:p w:rsidR="00803EBC" w:rsidRPr="00FD7953" w:rsidRDefault="00803EBC" w:rsidP="00803EBC">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2. El importe de las subvenciones en ningún caso podrá ser de tal cuantía, que aisladamente o en concurrencia con otras subvenciones, ayudas, ingresos o recursos, supere el coste de la actividad subvencionada.</w:t>
      </w:r>
    </w:p>
    <w:p w:rsidR="00803EBC" w:rsidRPr="00FD7953" w:rsidRDefault="008F01AA" w:rsidP="00222D94">
      <w:pPr>
        <w:autoSpaceDE w:val="0"/>
        <w:autoSpaceDN w:val="0"/>
        <w:adjustRightInd w:val="0"/>
        <w:spacing w:before="200"/>
        <w:jc w:val="both"/>
        <w:rPr>
          <w:rFonts w:ascii="Cambria" w:hAnsi="Cambria" w:cs="Arial"/>
          <w:b/>
          <w:sz w:val="24"/>
          <w:szCs w:val="24"/>
        </w:rPr>
      </w:pPr>
      <w:bookmarkStart w:id="5" w:name="_Hlk133345184"/>
      <w:r w:rsidRPr="00FD7953">
        <w:rPr>
          <w:rFonts w:ascii="Cambria" w:hAnsi="Cambria" w:cs="Arial"/>
          <w:b/>
          <w:sz w:val="24"/>
          <w:szCs w:val="24"/>
        </w:rPr>
        <w:t>Octavo</w:t>
      </w:r>
      <w:r w:rsidR="00803EBC" w:rsidRPr="00FD7953">
        <w:rPr>
          <w:rFonts w:ascii="Cambria" w:hAnsi="Cambria" w:cs="Arial"/>
          <w:b/>
          <w:sz w:val="24"/>
          <w:szCs w:val="24"/>
        </w:rPr>
        <w:t>. Compatibilidad de las ayudas.</w:t>
      </w:r>
    </w:p>
    <w:p w:rsidR="00803EBC" w:rsidRPr="00FD7953" w:rsidRDefault="00803EBC" w:rsidP="00803EBC">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Las ayudas previstas en la presente Orden serán compatibles con cualquier otra ayuda de otros programas o instrumentos de cualesquiera administraciones públicas u organismos o entes públicos, nacionales o internacionales, particularmente de la Unión Europea, en tanto que dicha ayuda no cubra los mismos costes, de acuerdo con el principio de no duplicidad en la financiación previsto en el artículo 9 Reglamento (UE) 2021/241 del Parlamento Europeo y del Consejo, de 12 de febrero de 2021, de conformidad con lo dispuesto en el Reglamento Financiero.</w:t>
      </w:r>
    </w:p>
    <w:bookmarkEnd w:id="5"/>
    <w:p w:rsidR="00803EBC" w:rsidRPr="00FD7953" w:rsidRDefault="005D28B9" w:rsidP="00222D94">
      <w:pPr>
        <w:autoSpaceDE w:val="0"/>
        <w:autoSpaceDN w:val="0"/>
        <w:adjustRightInd w:val="0"/>
        <w:spacing w:before="200"/>
        <w:jc w:val="both"/>
        <w:rPr>
          <w:rFonts w:ascii="Cambria" w:hAnsi="Cambria" w:cs="Arial"/>
          <w:b/>
          <w:sz w:val="24"/>
          <w:szCs w:val="24"/>
        </w:rPr>
      </w:pPr>
      <w:r w:rsidRPr="00FD7953">
        <w:rPr>
          <w:rFonts w:ascii="Cambria" w:hAnsi="Cambria" w:cs="Arial"/>
          <w:b/>
          <w:sz w:val="24"/>
          <w:szCs w:val="24"/>
        </w:rPr>
        <w:t>Noveno</w:t>
      </w:r>
      <w:r w:rsidR="00803EBC" w:rsidRPr="00FD7953">
        <w:rPr>
          <w:rFonts w:ascii="Cambria" w:hAnsi="Cambria" w:cs="Arial"/>
          <w:b/>
          <w:sz w:val="24"/>
          <w:szCs w:val="24"/>
        </w:rPr>
        <w:t>. Procedimiento de concesión.</w:t>
      </w:r>
    </w:p>
    <w:p w:rsidR="007767C1" w:rsidRPr="00FD7953" w:rsidRDefault="007767C1" w:rsidP="007767C1">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1. Las solicitudes serán atendidas por riguroso orden de presentación hasta el agotamiento de los fondos, de acuerdo con lo previsto en el artículo 62.1 del Real Decreto-ley 36/2020, de 30 de diciembre. </w:t>
      </w:r>
    </w:p>
    <w:p w:rsidR="007767C1" w:rsidRPr="00FD7953" w:rsidRDefault="007767C1" w:rsidP="007767C1">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2. Se considerará agotado el presupuesto cuando se efectúe el registro de la última solicitud de ayuda que totalice el importe asignado. En caso de que se agote el presupuesto asignado, y siempre que no hubiera expirado la vigencia del programa, podrán seguir registrándose solicitudes en lista de reserva provisional que serán atendidas por riguroso orden de entrada, y estarán supeditadas a que se produzcan desestimaciones o revocaciones de las solicitudes de ayuda previas que pudieran liberar presupuesto, o bien se incorpore nuevo presupuesto a la convocatoria. En ningún caso la presentación de una solicitud a la lista de reserva provisional generará derecho alguno para el solicitante hasta que no se valide la solicitud.</w:t>
      </w:r>
    </w:p>
    <w:p w:rsidR="007767C1" w:rsidRDefault="007767C1" w:rsidP="007767C1">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3. En caso de agotamiento del crédito asignado, si éste se produjese en fecha anterior a la finalización del periodo de ejecución establecido en esta convocatoria, la Consejería de Industria, Turismo, Innovación, Transporte y Comercio dictará resolución dando por finalizado el plazo de presentación de solicitudes, procediendo a su publicación mediante su remisión a la Base de Datos Nacional de Subvenciones. </w:t>
      </w:r>
    </w:p>
    <w:p w:rsidR="00803EBC" w:rsidRPr="00FD7953" w:rsidRDefault="005D28B9" w:rsidP="00E237B4">
      <w:pPr>
        <w:autoSpaceDE w:val="0"/>
        <w:autoSpaceDN w:val="0"/>
        <w:adjustRightInd w:val="0"/>
        <w:spacing w:before="200"/>
        <w:jc w:val="both"/>
        <w:rPr>
          <w:rFonts w:ascii="Cambria" w:hAnsi="Cambria" w:cs="Arial"/>
          <w:b/>
          <w:sz w:val="24"/>
          <w:szCs w:val="24"/>
        </w:rPr>
      </w:pPr>
      <w:r w:rsidRPr="00FD7953">
        <w:rPr>
          <w:rFonts w:ascii="Cambria" w:hAnsi="Cambria" w:cs="Arial"/>
          <w:b/>
          <w:sz w:val="24"/>
          <w:szCs w:val="24"/>
        </w:rPr>
        <w:t>Décimo</w:t>
      </w:r>
      <w:r w:rsidR="00E237B4" w:rsidRPr="00FD7953">
        <w:rPr>
          <w:rFonts w:ascii="Cambria" w:hAnsi="Cambria" w:cs="Arial"/>
          <w:b/>
          <w:sz w:val="24"/>
          <w:szCs w:val="24"/>
        </w:rPr>
        <w:t>.</w:t>
      </w:r>
      <w:r w:rsidR="00803EBC" w:rsidRPr="00FD7953">
        <w:rPr>
          <w:rFonts w:ascii="Cambria" w:hAnsi="Cambria" w:cs="Arial"/>
          <w:b/>
          <w:sz w:val="24"/>
          <w:szCs w:val="24"/>
        </w:rPr>
        <w:t xml:space="preserve"> Solicitudes y documentación.</w:t>
      </w:r>
    </w:p>
    <w:p w:rsidR="00803EBC" w:rsidRPr="00346F96" w:rsidRDefault="00346F96" w:rsidP="00346F96">
      <w:pPr>
        <w:autoSpaceDE w:val="0"/>
        <w:autoSpaceDN w:val="0"/>
        <w:adjustRightInd w:val="0"/>
        <w:spacing w:before="120" w:after="120"/>
        <w:jc w:val="both"/>
        <w:rPr>
          <w:rFonts w:ascii="Cambria" w:hAnsi="Cambria" w:cs="Arial"/>
          <w:sz w:val="24"/>
          <w:szCs w:val="24"/>
        </w:rPr>
      </w:pPr>
      <w:r>
        <w:rPr>
          <w:rFonts w:ascii="Cambria" w:hAnsi="Cambria" w:cs="Arial"/>
          <w:sz w:val="24"/>
          <w:szCs w:val="24"/>
        </w:rPr>
        <w:t xml:space="preserve">1. </w:t>
      </w:r>
      <w:r w:rsidRPr="00346F96">
        <w:rPr>
          <w:rFonts w:ascii="Cambria" w:hAnsi="Cambria" w:cs="Arial"/>
          <w:sz w:val="24"/>
          <w:szCs w:val="24"/>
        </w:rPr>
        <w:t>E</w:t>
      </w:r>
      <w:r w:rsidR="00803EBC" w:rsidRPr="00346F96">
        <w:rPr>
          <w:rFonts w:ascii="Cambria" w:hAnsi="Cambria" w:cs="Arial"/>
          <w:sz w:val="24"/>
          <w:szCs w:val="24"/>
        </w:rPr>
        <w:t xml:space="preserve">l plazo de presentación de solicitudes </w:t>
      </w:r>
      <w:r w:rsidR="00E67A67" w:rsidRPr="00346F96">
        <w:rPr>
          <w:rFonts w:ascii="Cambria" w:hAnsi="Cambria" w:cs="Arial"/>
          <w:sz w:val="24"/>
          <w:szCs w:val="24"/>
        </w:rPr>
        <w:t>será de dos meses</w:t>
      </w:r>
      <w:r w:rsidR="00803EBC" w:rsidRPr="00346F96">
        <w:rPr>
          <w:rFonts w:ascii="Cambria" w:hAnsi="Cambria" w:cs="Arial"/>
          <w:sz w:val="24"/>
          <w:szCs w:val="24"/>
        </w:rPr>
        <w:t>, desde el día siguiente al de la publicación en el Boletín Oficial de Cantabria del extracto de convocatoria</w:t>
      </w:r>
      <w:r w:rsidR="00E67A67" w:rsidRPr="00346F96">
        <w:rPr>
          <w:rFonts w:ascii="Cambria" w:hAnsi="Cambria" w:cs="Arial"/>
          <w:sz w:val="24"/>
          <w:szCs w:val="24"/>
        </w:rPr>
        <w:t xml:space="preserve">. </w:t>
      </w:r>
    </w:p>
    <w:p w:rsidR="00803EBC" w:rsidRPr="00FD7953" w:rsidRDefault="00803EBC" w:rsidP="00803EBC">
      <w:pPr>
        <w:pStyle w:val="Prrafodelista"/>
        <w:autoSpaceDE w:val="0"/>
        <w:autoSpaceDN w:val="0"/>
        <w:adjustRightInd w:val="0"/>
        <w:spacing w:before="120" w:after="120"/>
        <w:ind w:left="0"/>
        <w:jc w:val="both"/>
        <w:rPr>
          <w:rFonts w:ascii="Cambria" w:hAnsi="Cambria" w:cs="Arial"/>
          <w:sz w:val="24"/>
          <w:szCs w:val="24"/>
        </w:rPr>
      </w:pPr>
      <w:r w:rsidRPr="00FD7953">
        <w:rPr>
          <w:rFonts w:ascii="Cambria" w:hAnsi="Cambria" w:cs="Arial"/>
          <w:sz w:val="24"/>
          <w:szCs w:val="24"/>
        </w:rPr>
        <w:t>2. La presentación de solicitudes deberá realizarse obligatoriamente de forma</w:t>
      </w:r>
      <w:r w:rsidR="00D8664A" w:rsidRPr="00FD7953">
        <w:rPr>
          <w:rFonts w:ascii="Cambria" w:hAnsi="Cambria" w:cs="Arial"/>
          <w:sz w:val="24"/>
          <w:szCs w:val="24"/>
        </w:rPr>
        <w:t xml:space="preserve"> telemática</w:t>
      </w:r>
      <w:r w:rsidR="00C229F0" w:rsidRPr="00FD7953">
        <w:rPr>
          <w:rFonts w:ascii="Cambria" w:hAnsi="Cambria" w:cs="Arial"/>
          <w:sz w:val="24"/>
          <w:szCs w:val="24"/>
        </w:rPr>
        <w:t>,</w:t>
      </w:r>
      <w:r w:rsidRPr="00FD7953">
        <w:rPr>
          <w:rFonts w:ascii="Cambria" w:hAnsi="Cambria" w:cs="Arial"/>
          <w:sz w:val="24"/>
          <w:szCs w:val="24"/>
        </w:rPr>
        <w:t xml:space="preserve"> </w:t>
      </w:r>
      <w:r w:rsidR="00E2362C" w:rsidRPr="00FD7953">
        <w:rPr>
          <w:rFonts w:ascii="Cambria" w:hAnsi="Cambria" w:cs="Arial"/>
          <w:sz w:val="24"/>
          <w:szCs w:val="24"/>
        </w:rPr>
        <w:t>pudiendo presentar</w:t>
      </w:r>
      <w:r w:rsidR="00D9144A" w:rsidRPr="00FD7953">
        <w:rPr>
          <w:rFonts w:ascii="Cambria" w:hAnsi="Cambria" w:cs="Arial"/>
          <w:sz w:val="24"/>
          <w:szCs w:val="24"/>
        </w:rPr>
        <w:t xml:space="preserve"> en una misma solicitud </w:t>
      </w:r>
      <w:r w:rsidR="00C229F0" w:rsidRPr="00FD7953">
        <w:rPr>
          <w:rFonts w:ascii="Cambria" w:hAnsi="Cambria" w:cs="Arial"/>
          <w:sz w:val="24"/>
          <w:szCs w:val="24"/>
        </w:rPr>
        <w:t>todas las</w:t>
      </w:r>
      <w:r w:rsidR="00D9144A" w:rsidRPr="00FD7953">
        <w:rPr>
          <w:rFonts w:ascii="Cambria" w:hAnsi="Cambria" w:cs="Arial"/>
          <w:sz w:val="24"/>
          <w:szCs w:val="24"/>
        </w:rPr>
        <w:t xml:space="preserve"> actuaciones </w:t>
      </w:r>
      <w:r w:rsidR="00194CB5" w:rsidRPr="00FD7953">
        <w:rPr>
          <w:rFonts w:ascii="Cambria" w:hAnsi="Cambria" w:cs="Arial"/>
          <w:sz w:val="24"/>
          <w:szCs w:val="24"/>
        </w:rPr>
        <w:t xml:space="preserve">para las </w:t>
      </w:r>
      <w:r w:rsidR="00C229F0" w:rsidRPr="00FD7953">
        <w:rPr>
          <w:rFonts w:ascii="Cambria" w:hAnsi="Cambria" w:cs="Arial"/>
          <w:sz w:val="24"/>
          <w:szCs w:val="24"/>
        </w:rPr>
        <w:t xml:space="preserve">que </w:t>
      </w:r>
      <w:r w:rsidR="00194CB5" w:rsidRPr="00FD7953">
        <w:rPr>
          <w:rFonts w:ascii="Cambria" w:hAnsi="Cambria" w:cs="Arial"/>
          <w:sz w:val="24"/>
          <w:szCs w:val="24"/>
        </w:rPr>
        <w:t>esté interesado en recibir la subvención</w:t>
      </w:r>
      <w:r w:rsidR="00D9144A" w:rsidRPr="00FD7953">
        <w:rPr>
          <w:rFonts w:ascii="Cambria" w:hAnsi="Cambria" w:cs="Arial"/>
          <w:sz w:val="24"/>
          <w:szCs w:val="24"/>
        </w:rPr>
        <w:t xml:space="preserve">. </w:t>
      </w:r>
    </w:p>
    <w:p w:rsidR="00803EBC" w:rsidRPr="00FD7953" w:rsidRDefault="00803EBC" w:rsidP="00803EBC">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3. El modelo de solicitud y el resto de </w:t>
      </w:r>
      <w:r w:rsidR="00E2362C" w:rsidRPr="00FD7953">
        <w:rPr>
          <w:rFonts w:ascii="Cambria" w:hAnsi="Cambria" w:cs="Arial"/>
          <w:sz w:val="24"/>
          <w:szCs w:val="24"/>
        </w:rPr>
        <w:t>los modelos</w:t>
      </w:r>
      <w:r w:rsidRPr="00FD7953">
        <w:rPr>
          <w:rFonts w:ascii="Cambria" w:hAnsi="Cambria" w:cs="Arial"/>
          <w:sz w:val="24"/>
          <w:szCs w:val="24"/>
        </w:rPr>
        <w:t xml:space="preserve"> complementarios, que figuran como anexos en esta orden, se encontrarán disponibles en el Portal Institucional del Gobierno de Cantabria (https://www.cantabria.es), en su apartado “Atención a la Ciudadanía 012”, “Ayudas y Subvenciones”, en la sede electrónica del Gobierno de Cantabria (http://sede.cantabria.es)</w:t>
      </w:r>
      <w:r w:rsidR="00782618" w:rsidRPr="00FD7953">
        <w:rPr>
          <w:rFonts w:ascii="Cambria" w:hAnsi="Cambria" w:cs="Arial"/>
          <w:sz w:val="24"/>
          <w:szCs w:val="24"/>
        </w:rPr>
        <w:t>.</w:t>
      </w:r>
      <w:r w:rsidRPr="00FD7953">
        <w:rPr>
          <w:rFonts w:ascii="Cambria" w:hAnsi="Cambria" w:cs="Arial"/>
          <w:sz w:val="24"/>
          <w:szCs w:val="24"/>
        </w:rPr>
        <w:t xml:space="preserve"> </w:t>
      </w:r>
    </w:p>
    <w:p w:rsidR="00803EBC" w:rsidRPr="00FD7953" w:rsidRDefault="00803EBC" w:rsidP="00803EBC">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4. Las solicitudes de subvención deberán presentarse debidamente cumplimentadas, fechadas y firmadas por </w:t>
      </w:r>
      <w:r w:rsidR="00F923EE" w:rsidRPr="00FD7953">
        <w:rPr>
          <w:rFonts w:ascii="Cambria" w:hAnsi="Cambria" w:cs="Arial"/>
          <w:sz w:val="24"/>
          <w:szCs w:val="24"/>
        </w:rPr>
        <w:t xml:space="preserve">el alcalde o alcaldesa </w:t>
      </w:r>
      <w:r w:rsidRPr="00FD7953">
        <w:rPr>
          <w:rFonts w:ascii="Cambria" w:hAnsi="Cambria" w:cs="Arial"/>
          <w:sz w:val="24"/>
          <w:szCs w:val="24"/>
        </w:rPr>
        <w:t>y acompañadas de la siguiente documentación:</w:t>
      </w:r>
    </w:p>
    <w:p w:rsidR="00D97E9A" w:rsidRPr="00FD7953" w:rsidRDefault="00D97E9A" w:rsidP="00D97E9A">
      <w:pPr>
        <w:pStyle w:val="Prrafodelista"/>
        <w:numPr>
          <w:ilvl w:val="1"/>
          <w:numId w:val="7"/>
        </w:numPr>
        <w:autoSpaceDE w:val="0"/>
        <w:autoSpaceDN w:val="0"/>
        <w:adjustRightInd w:val="0"/>
        <w:spacing w:before="120" w:after="60"/>
        <w:ind w:left="851" w:hanging="425"/>
        <w:contextualSpacing w:val="0"/>
        <w:jc w:val="both"/>
        <w:rPr>
          <w:rFonts w:ascii="Cambria" w:eastAsia="Calibri" w:hAnsi="Cambria" w:cs="Arial"/>
          <w:sz w:val="24"/>
          <w:szCs w:val="24"/>
        </w:rPr>
      </w:pPr>
      <w:r w:rsidRPr="00FD7953">
        <w:rPr>
          <w:rFonts w:ascii="Cambria" w:hAnsi="Cambria" w:cs="Arial"/>
          <w:sz w:val="24"/>
          <w:szCs w:val="24"/>
        </w:rPr>
        <w:t xml:space="preserve">Una memoria descriptiva y cuantificada del proyecto, incluyendo detalles de inversión, fecha prevista </w:t>
      </w:r>
      <w:r w:rsidR="00564223" w:rsidRPr="00FD7953">
        <w:rPr>
          <w:rFonts w:ascii="Cambria" w:hAnsi="Cambria" w:cs="Arial"/>
          <w:sz w:val="24"/>
          <w:szCs w:val="24"/>
        </w:rPr>
        <w:t xml:space="preserve">de </w:t>
      </w:r>
      <w:r w:rsidRPr="00FD7953">
        <w:rPr>
          <w:rFonts w:ascii="Cambria" w:hAnsi="Cambria" w:cs="Arial"/>
          <w:sz w:val="24"/>
          <w:szCs w:val="24"/>
        </w:rPr>
        <w:t>puesta en funcionamiento, importes de gastos, vinculación de equipamiento y su funcionabilidad con el proyecto subvencionable, firmada y sellada por el solicitante.</w:t>
      </w:r>
    </w:p>
    <w:p w:rsidR="00D8664A" w:rsidRPr="00FD7953" w:rsidRDefault="00D8664A" w:rsidP="00D97E9A">
      <w:pPr>
        <w:pStyle w:val="Prrafodelista"/>
        <w:numPr>
          <w:ilvl w:val="1"/>
          <w:numId w:val="7"/>
        </w:numPr>
        <w:autoSpaceDE w:val="0"/>
        <w:autoSpaceDN w:val="0"/>
        <w:adjustRightInd w:val="0"/>
        <w:spacing w:before="120" w:after="60"/>
        <w:ind w:left="851" w:hanging="425"/>
        <w:contextualSpacing w:val="0"/>
        <w:jc w:val="both"/>
        <w:rPr>
          <w:rFonts w:ascii="Cambria" w:eastAsia="Calibri" w:hAnsi="Cambria" w:cs="Arial"/>
          <w:sz w:val="24"/>
          <w:szCs w:val="24"/>
        </w:rPr>
      </w:pPr>
      <w:r w:rsidRPr="00FD7953">
        <w:rPr>
          <w:rFonts w:ascii="Cambria" w:eastAsia="Calibri" w:hAnsi="Cambria" w:cs="Arial"/>
          <w:sz w:val="24"/>
          <w:szCs w:val="24"/>
        </w:rPr>
        <w:t xml:space="preserve">Certificación expedida por el secretario de la Corporación o representante de la Entidad Local de la resolución adoptada por el órgano competente por la que se </w:t>
      </w:r>
      <w:r w:rsidR="00B6367D" w:rsidRPr="00FD7953">
        <w:rPr>
          <w:rFonts w:ascii="Cambria" w:eastAsia="Calibri" w:hAnsi="Cambria" w:cs="Arial"/>
          <w:sz w:val="24"/>
          <w:szCs w:val="24"/>
        </w:rPr>
        <w:t>dispone a</w:t>
      </w:r>
      <w:r w:rsidRPr="00FD7953">
        <w:rPr>
          <w:rFonts w:ascii="Cambria" w:eastAsia="Calibri" w:hAnsi="Cambria" w:cs="Arial"/>
          <w:sz w:val="24"/>
          <w:szCs w:val="24"/>
        </w:rPr>
        <w:t xml:space="preserve"> solicitar la subvención regulada en la presente orden.</w:t>
      </w:r>
    </w:p>
    <w:p w:rsidR="00D8664A" w:rsidRPr="00FD7953" w:rsidRDefault="00D8664A" w:rsidP="00D97E9A">
      <w:pPr>
        <w:pStyle w:val="Prrafodelista"/>
        <w:numPr>
          <w:ilvl w:val="1"/>
          <w:numId w:val="7"/>
        </w:numPr>
        <w:autoSpaceDE w:val="0"/>
        <w:autoSpaceDN w:val="0"/>
        <w:adjustRightInd w:val="0"/>
        <w:spacing w:before="120" w:after="60"/>
        <w:ind w:left="851" w:hanging="425"/>
        <w:contextualSpacing w:val="0"/>
        <w:jc w:val="both"/>
        <w:rPr>
          <w:rFonts w:ascii="Cambria" w:eastAsia="Calibri" w:hAnsi="Cambria" w:cs="Arial"/>
          <w:sz w:val="24"/>
          <w:szCs w:val="24"/>
        </w:rPr>
      </w:pPr>
      <w:r w:rsidRPr="00FD7953">
        <w:rPr>
          <w:rFonts w:ascii="Cambria" w:eastAsia="Calibri" w:hAnsi="Cambria" w:cs="Arial"/>
          <w:sz w:val="24"/>
          <w:szCs w:val="24"/>
        </w:rPr>
        <w:t>Declaración expresa responsable de no haber solicitado/</w:t>
      </w:r>
      <w:proofErr w:type="gramStart"/>
      <w:r w:rsidRPr="00FD7953">
        <w:rPr>
          <w:rFonts w:ascii="Cambria" w:eastAsia="Calibri" w:hAnsi="Cambria" w:cs="Arial"/>
          <w:sz w:val="24"/>
          <w:szCs w:val="24"/>
        </w:rPr>
        <w:t>recibido ayudas</w:t>
      </w:r>
      <w:proofErr w:type="gramEnd"/>
      <w:r w:rsidR="00A25C22" w:rsidRPr="00FD7953">
        <w:rPr>
          <w:rFonts w:ascii="Cambria" w:eastAsia="Calibri" w:hAnsi="Cambria" w:cs="Arial"/>
          <w:sz w:val="24"/>
          <w:szCs w:val="24"/>
        </w:rPr>
        <w:t xml:space="preserve"> </w:t>
      </w:r>
      <w:r w:rsidRPr="00FD7953">
        <w:rPr>
          <w:rFonts w:ascii="Cambria" w:eastAsia="Calibri" w:hAnsi="Cambria" w:cs="Arial"/>
          <w:sz w:val="24"/>
          <w:szCs w:val="24"/>
        </w:rPr>
        <w:t>para el mismo proyecto objeto de la solicitud, haciendo constar, en caso contrario, el organismo o administración otorgante, denominación de la convocatoria y su importe</w:t>
      </w:r>
      <w:r w:rsidR="008871D3" w:rsidRPr="00FD7953">
        <w:rPr>
          <w:rFonts w:ascii="Cambria" w:eastAsia="Calibri" w:hAnsi="Cambria" w:cs="Arial"/>
          <w:sz w:val="24"/>
          <w:szCs w:val="24"/>
        </w:rPr>
        <w:t>, incluida en el Anexo I.</w:t>
      </w:r>
    </w:p>
    <w:p w:rsidR="00D8664A" w:rsidRPr="00FD7953" w:rsidRDefault="00D8664A" w:rsidP="00D97E9A">
      <w:pPr>
        <w:pStyle w:val="Prrafodelista"/>
        <w:numPr>
          <w:ilvl w:val="1"/>
          <w:numId w:val="7"/>
        </w:numPr>
        <w:autoSpaceDE w:val="0"/>
        <w:autoSpaceDN w:val="0"/>
        <w:adjustRightInd w:val="0"/>
        <w:spacing w:before="120" w:after="60"/>
        <w:ind w:left="851" w:hanging="425"/>
        <w:contextualSpacing w:val="0"/>
        <w:jc w:val="both"/>
        <w:rPr>
          <w:rFonts w:ascii="Cambria" w:eastAsia="Calibri" w:hAnsi="Cambria" w:cs="Arial"/>
          <w:sz w:val="24"/>
          <w:szCs w:val="24"/>
        </w:rPr>
      </w:pPr>
      <w:r w:rsidRPr="00FD7953">
        <w:rPr>
          <w:rFonts w:ascii="Cambria" w:eastAsia="Calibri" w:hAnsi="Cambria" w:cs="Arial"/>
          <w:sz w:val="24"/>
          <w:szCs w:val="24"/>
        </w:rPr>
        <w:t>Declaración responsable de no hallarse incurso en ninguna de las causas de incompatibilidad o prohibición para obtener subvenciones de las establecidas en el artículo 12 de la Ley de Cantabria 10/2006, de 17 de julio, de Subvenciones de Cantabria</w:t>
      </w:r>
      <w:r w:rsidR="008871D3" w:rsidRPr="00FD7953">
        <w:rPr>
          <w:rFonts w:ascii="Cambria" w:eastAsia="Calibri" w:hAnsi="Cambria" w:cs="Arial"/>
          <w:sz w:val="24"/>
          <w:szCs w:val="24"/>
        </w:rPr>
        <w:t>, incluida en el Anexo I.</w:t>
      </w:r>
    </w:p>
    <w:p w:rsidR="00D8664A" w:rsidRPr="00FD7953" w:rsidRDefault="00803EBC" w:rsidP="00D97E9A">
      <w:pPr>
        <w:pStyle w:val="Prrafodelista"/>
        <w:numPr>
          <w:ilvl w:val="1"/>
          <w:numId w:val="7"/>
        </w:numPr>
        <w:autoSpaceDE w:val="0"/>
        <w:autoSpaceDN w:val="0"/>
        <w:adjustRightInd w:val="0"/>
        <w:spacing w:before="120" w:after="60"/>
        <w:ind w:left="851" w:hanging="425"/>
        <w:contextualSpacing w:val="0"/>
        <w:jc w:val="both"/>
        <w:rPr>
          <w:rFonts w:ascii="Cambria" w:eastAsia="Calibri" w:hAnsi="Cambria" w:cs="Arial"/>
          <w:sz w:val="24"/>
          <w:szCs w:val="24"/>
        </w:rPr>
      </w:pPr>
      <w:r w:rsidRPr="00FD7953">
        <w:rPr>
          <w:rFonts w:ascii="Cambria" w:eastAsia="Calibri" w:hAnsi="Cambria" w:cs="Arial"/>
          <w:sz w:val="24"/>
          <w:szCs w:val="24"/>
        </w:rPr>
        <w:t>Aceptación de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w:t>
      </w:r>
      <w:r w:rsidR="008871D3" w:rsidRPr="00FD7953">
        <w:rPr>
          <w:rFonts w:ascii="Cambria" w:eastAsia="Calibri" w:hAnsi="Cambria" w:cs="Arial"/>
          <w:sz w:val="24"/>
          <w:szCs w:val="24"/>
        </w:rPr>
        <w:t>, incluida en el Anexo I.</w:t>
      </w:r>
    </w:p>
    <w:p w:rsidR="00D8664A" w:rsidRPr="00FD7953" w:rsidRDefault="00803EBC" w:rsidP="00D97E9A">
      <w:pPr>
        <w:pStyle w:val="Prrafodelista"/>
        <w:numPr>
          <w:ilvl w:val="1"/>
          <w:numId w:val="7"/>
        </w:numPr>
        <w:autoSpaceDE w:val="0"/>
        <w:autoSpaceDN w:val="0"/>
        <w:adjustRightInd w:val="0"/>
        <w:spacing w:before="120" w:after="60"/>
        <w:ind w:left="851" w:hanging="425"/>
        <w:contextualSpacing w:val="0"/>
        <w:jc w:val="both"/>
        <w:rPr>
          <w:rFonts w:ascii="Cambria" w:eastAsia="Calibri" w:hAnsi="Cambria" w:cs="Arial"/>
          <w:sz w:val="24"/>
          <w:szCs w:val="24"/>
        </w:rPr>
      </w:pPr>
      <w:r w:rsidRPr="00FD7953">
        <w:rPr>
          <w:rFonts w:ascii="Cambria" w:eastAsia="Calibri" w:hAnsi="Cambria" w:cs="Arial"/>
          <w:sz w:val="24"/>
          <w:szCs w:val="24"/>
        </w:rPr>
        <w:t>Declaración responsable relativa al compromiso de cumplimiento de los principios transversales establecidos en el PRTR y que pudieran afectar al ámbito objeto de gestión</w:t>
      </w:r>
      <w:r w:rsidR="008871D3" w:rsidRPr="00FD7953">
        <w:rPr>
          <w:rFonts w:ascii="Cambria" w:eastAsia="Calibri" w:hAnsi="Cambria" w:cs="Arial"/>
          <w:sz w:val="24"/>
          <w:szCs w:val="24"/>
        </w:rPr>
        <w:t>, incluida en el Anexo I.</w:t>
      </w:r>
    </w:p>
    <w:p w:rsidR="008871D3" w:rsidRPr="00FD7953" w:rsidRDefault="008871D3" w:rsidP="008871D3">
      <w:pPr>
        <w:pStyle w:val="Prrafodelista"/>
        <w:numPr>
          <w:ilvl w:val="1"/>
          <w:numId w:val="7"/>
        </w:numPr>
        <w:autoSpaceDE w:val="0"/>
        <w:autoSpaceDN w:val="0"/>
        <w:adjustRightInd w:val="0"/>
        <w:spacing w:before="120" w:after="60"/>
        <w:ind w:left="851" w:hanging="425"/>
        <w:contextualSpacing w:val="0"/>
        <w:jc w:val="both"/>
        <w:rPr>
          <w:rFonts w:ascii="Cambria" w:eastAsia="Calibri" w:hAnsi="Cambria" w:cs="Arial"/>
          <w:sz w:val="24"/>
          <w:szCs w:val="24"/>
        </w:rPr>
      </w:pPr>
      <w:r w:rsidRPr="00FD7953">
        <w:rPr>
          <w:rFonts w:ascii="Cambria" w:eastAsia="Calibri" w:hAnsi="Cambria" w:cs="Arial"/>
          <w:sz w:val="24"/>
          <w:szCs w:val="24"/>
        </w:rPr>
        <w:t>Declaración sobre la  adecuación del proceso de contratación de las actuaciones por parte de la entidad beneficiaria a la normativa aplicable en materia de contratos; la existencia de una contabilidad separada o diferenciada para todas las transacciones relacionadas; el cumplimiento de las normas nacionales y europeas sobre requisitos de igualdad de oportunidades y no discriminación aplicables a este tipo de actuaciones; el cumplimiento de las normas medioambientales, de calidad del aire, residuos y vertidos nacionales y europeas, y sobre desarrollo sostenible, incluidas en el Anexo I.</w:t>
      </w:r>
    </w:p>
    <w:p w:rsidR="00495E8F" w:rsidRPr="00FD7953" w:rsidRDefault="00495E8F" w:rsidP="00D97E9A">
      <w:pPr>
        <w:pStyle w:val="Prrafodelista"/>
        <w:numPr>
          <w:ilvl w:val="1"/>
          <w:numId w:val="7"/>
        </w:numPr>
        <w:autoSpaceDE w:val="0"/>
        <w:autoSpaceDN w:val="0"/>
        <w:adjustRightInd w:val="0"/>
        <w:spacing w:before="120" w:after="60"/>
        <w:ind w:left="851" w:hanging="425"/>
        <w:contextualSpacing w:val="0"/>
        <w:jc w:val="both"/>
        <w:rPr>
          <w:rFonts w:ascii="Cambria" w:eastAsia="Calibri" w:hAnsi="Cambria" w:cs="Arial"/>
          <w:sz w:val="24"/>
          <w:szCs w:val="24"/>
        </w:rPr>
      </w:pPr>
      <w:r w:rsidRPr="00FD7953">
        <w:rPr>
          <w:rFonts w:ascii="Cambria" w:eastAsia="Calibri" w:hAnsi="Cambria" w:cs="Arial"/>
          <w:sz w:val="24"/>
          <w:szCs w:val="24"/>
        </w:rPr>
        <w:t xml:space="preserve">Declaración de Ausencia de Conflicto de Interés </w:t>
      </w:r>
      <w:r w:rsidR="00D8241C" w:rsidRPr="00FD7953">
        <w:rPr>
          <w:rFonts w:ascii="Cambria" w:eastAsia="Calibri" w:hAnsi="Cambria" w:cs="Arial"/>
          <w:sz w:val="24"/>
          <w:szCs w:val="24"/>
        </w:rPr>
        <w:t>(DACI)</w:t>
      </w:r>
      <w:r w:rsidR="00D41EDB" w:rsidRPr="00FD7953">
        <w:rPr>
          <w:rFonts w:ascii="Cambria" w:eastAsia="Calibri" w:hAnsi="Cambria" w:cs="Arial"/>
          <w:sz w:val="24"/>
          <w:szCs w:val="24"/>
        </w:rPr>
        <w:t>,</w:t>
      </w:r>
      <w:r w:rsidR="00D8241C" w:rsidRPr="00FD7953">
        <w:rPr>
          <w:rFonts w:ascii="Cambria" w:eastAsia="Calibri" w:hAnsi="Cambria" w:cs="Arial"/>
          <w:sz w:val="24"/>
          <w:szCs w:val="24"/>
        </w:rPr>
        <w:t xml:space="preserve"> según modelo del Anexo </w:t>
      </w:r>
      <w:r w:rsidR="00A3342F" w:rsidRPr="00FD7953">
        <w:rPr>
          <w:rFonts w:ascii="Cambria" w:eastAsia="Calibri" w:hAnsi="Cambria" w:cs="Arial"/>
          <w:sz w:val="24"/>
          <w:szCs w:val="24"/>
        </w:rPr>
        <w:t>II</w:t>
      </w:r>
      <w:r w:rsidR="001303F4" w:rsidRPr="00FD7953">
        <w:rPr>
          <w:rFonts w:ascii="Cambria" w:eastAsia="Calibri" w:hAnsi="Cambria" w:cs="Arial"/>
          <w:sz w:val="24"/>
          <w:szCs w:val="24"/>
        </w:rPr>
        <w:t>.</w:t>
      </w:r>
    </w:p>
    <w:p w:rsidR="00D41EDB" w:rsidRPr="00FD7953" w:rsidRDefault="00D41EDB" w:rsidP="00D41EDB">
      <w:pPr>
        <w:pStyle w:val="Prrafodelista"/>
        <w:numPr>
          <w:ilvl w:val="1"/>
          <w:numId w:val="7"/>
        </w:numPr>
        <w:autoSpaceDE w:val="0"/>
        <w:autoSpaceDN w:val="0"/>
        <w:adjustRightInd w:val="0"/>
        <w:spacing w:before="120" w:after="120"/>
        <w:ind w:left="851" w:hanging="425"/>
        <w:contextualSpacing w:val="0"/>
        <w:jc w:val="both"/>
        <w:rPr>
          <w:rFonts w:ascii="Cambria" w:eastAsia="Calibri" w:hAnsi="Cambria" w:cs="Arial"/>
          <w:sz w:val="24"/>
          <w:szCs w:val="24"/>
        </w:rPr>
      </w:pPr>
      <w:r w:rsidRPr="00FD7953">
        <w:rPr>
          <w:rFonts w:ascii="Cambria" w:eastAsia="Calibri" w:hAnsi="Cambria" w:cs="Arial"/>
          <w:sz w:val="24"/>
          <w:szCs w:val="24"/>
        </w:rPr>
        <w:t xml:space="preserve">Declaración </w:t>
      </w:r>
      <w:r w:rsidR="001303F4" w:rsidRPr="00FD7953">
        <w:rPr>
          <w:rFonts w:ascii="Cambria" w:eastAsia="Calibri" w:hAnsi="Cambria" w:cs="Arial"/>
          <w:sz w:val="24"/>
          <w:szCs w:val="24"/>
        </w:rPr>
        <w:t xml:space="preserve">responsable </w:t>
      </w:r>
      <w:r w:rsidRPr="00FD7953">
        <w:rPr>
          <w:rFonts w:ascii="Cambria" w:eastAsia="Calibri" w:hAnsi="Cambria" w:cs="Arial"/>
          <w:sz w:val="24"/>
          <w:szCs w:val="24"/>
        </w:rPr>
        <w:t>de compromiso en relación con la ejecución de actuaciones del PRTR, según modelo del Anexo III.</w:t>
      </w:r>
    </w:p>
    <w:p w:rsidR="001303F4" w:rsidRPr="00FD7953" w:rsidRDefault="001303F4" w:rsidP="001303F4">
      <w:pPr>
        <w:pStyle w:val="Prrafodelista"/>
        <w:numPr>
          <w:ilvl w:val="1"/>
          <w:numId w:val="7"/>
        </w:numPr>
        <w:autoSpaceDE w:val="0"/>
        <w:autoSpaceDN w:val="0"/>
        <w:adjustRightInd w:val="0"/>
        <w:spacing w:before="120" w:after="120"/>
        <w:ind w:left="851" w:hanging="425"/>
        <w:contextualSpacing w:val="0"/>
        <w:jc w:val="both"/>
        <w:rPr>
          <w:rFonts w:ascii="Cambria" w:eastAsia="Calibri" w:hAnsi="Cambria" w:cs="Arial"/>
          <w:sz w:val="24"/>
          <w:szCs w:val="24"/>
        </w:rPr>
      </w:pPr>
      <w:r w:rsidRPr="00FD7953">
        <w:rPr>
          <w:rFonts w:ascii="Cambria" w:eastAsia="Calibri" w:hAnsi="Cambria" w:cs="Arial"/>
          <w:sz w:val="24"/>
          <w:szCs w:val="24"/>
        </w:rPr>
        <w:t>Declaración responsable de cesión y tratamiento de datos en relación con la ejecución de actuaciones del PRTR, comprometiéndose por escrito de conceder los derechos y los accesos necesarios para garantizar que la Comisión, la OLAF, el Tribunal de Cuentas Europeo, la Fiscalía Europea y las autoridades nacionales competentes ejerzan sus competencias, según modelo del Anexo IV.</w:t>
      </w:r>
    </w:p>
    <w:p w:rsidR="005D1FE9" w:rsidRPr="00FD7953" w:rsidRDefault="005D1FE9" w:rsidP="001303F4">
      <w:pPr>
        <w:pStyle w:val="Prrafodelista"/>
        <w:numPr>
          <w:ilvl w:val="1"/>
          <w:numId w:val="7"/>
        </w:numPr>
        <w:autoSpaceDE w:val="0"/>
        <w:autoSpaceDN w:val="0"/>
        <w:adjustRightInd w:val="0"/>
        <w:spacing w:before="120" w:after="120"/>
        <w:ind w:left="851" w:hanging="425"/>
        <w:contextualSpacing w:val="0"/>
        <w:jc w:val="both"/>
        <w:rPr>
          <w:rFonts w:ascii="Cambria" w:eastAsia="Calibri" w:hAnsi="Cambria" w:cs="Arial"/>
          <w:sz w:val="24"/>
          <w:szCs w:val="24"/>
        </w:rPr>
      </w:pPr>
      <w:r w:rsidRPr="00FD7953">
        <w:rPr>
          <w:rFonts w:ascii="Cambria" w:eastAsia="Calibri" w:hAnsi="Cambria" w:cs="Arial"/>
          <w:sz w:val="24"/>
          <w:szCs w:val="24"/>
        </w:rPr>
        <w:t>Declaración sobre las condiciones específicas de ejecución de la inversión C15.I2 del PRTR en virtud del Real Decreto 987/2021, de 16 de noviembre, según el modelo del Anexo V.</w:t>
      </w:r>
    </w:p>
    <w:p w:rsidR="001303F4" w:rsidRPr="00FD7953" w:rsidRDefault="001303F4" w:rsidP="005D1FE9">
      <w:pPr>
        <w:pStyle w:val="Prrafodelista"/>
        <w:numPr>
          <w:ilvl w:val="1"/>
          <w:numId w:val="7"/>
        </w:numPr>
        <w:autoSpaceDE w:val="0"/>
        <w:autoSpaceDN w:val="0"/>
        <w:adjustRightInd w:val="0"/>
        <w:spacing w:before="120" w:after="120"/>
        <w:ind w:left="851" w:hanging="425"/>
        <w:contextualSpacing w:val="0"/>
        <w:jc w:val="both"/>
        <w:rPr>
          <w:rFonts w:ascii="Cambria" w:eastAsia="Calibri" w:hAnsi="Cambria" w:cs="Arial"/>
          <w:sz w:val="24"/>
          <w:szCs w:val="24"/>
        </w:rPr>
      </w:pPr>
      <w:r w:rsidRPr="00FD7953">
        <w:rPr>
          <w:rFonts w:ascii="Cambria" w:eastAsia="Calibri" w:hAnsi="Cambria" w:cs="Arial"/>
          <w:sz w:val="24"/>
          <w:szCs w:val="24"/>
        </w:rPr>
        <w:t>Declaración de cumplimiento de cláusula de compromiso de lucha contra el fraude y canales de denuncia en relación con la ejecución de actuaciones del PRTR, según modelo del Anexo VI.</w:t>
      </w:r>
    </w:p>
    <w:p w:rsidR="00D41EDB" w:rsidRPr="00FD7953" w:rsidRDefault="001303F4" w:rsidP="005D1FE9">
      <w:pPr>
        <w:pStyle w:val="Prrafodelista"/>
        <w:numPr>
          <w:ilvl w:val="1"/>
          <w:numId w:val="7"/>
        </w:numPr>
        <w:autoSpaceDE w:val="0"/>
        <w:autoSpaceDN w:val="0"/>
        <w:adjustRightInd w:val="0"/>
        <w:spacing w:before="120" w:after="120"/>
        <w:ind w:left="851" w:hanging="425"/>
        <w:contextualSpacing w:val="0"/>
        <w:jc w:val="both"/>
        <w:rPr>
          <w:rFonts w:ascii="Cambria" w:eastAsia="Calibri" w:hAnsi="Cambria" w:cs="Arial"/>
          <w:sz w:val="24"/>
          <w:szCs w:val="24"/>
        </w:rPr>
      </w:pPr>
      <w:r w:rsidRPr="00FD7953">
        <w:rPr>
          <w:rFonts w:ascii="Cambria" w:eastAsia="Calibri" w:hAnsi="Cambria" w:cs="Arial"/>
          <w:sz w:val="24"/>
          <w:szCs w:val="24"/>
        </w:rPr>
        <w:t>Declaración responsable firmada por el representante legal de cumplimiento del principio de «no causar un perjuicio significativo al medio ambiente» (DNSH) según modelo del Anexo VII.</w:t>
      </w:r>
    </w:p>
    <w:p w:rsidR="00D8664A" w:rsidRPr="00FD7953" w:rsidRDefault="00803EBC" w:rsidP="00B0002B">
      <w:pPr>
        <w:pStyle w:val="Prrafodelista"/>
        <w:numPr>
          <w:ilvl w:val="1"/>
          <w:numId w:val="7"/>
        </w:numPr>
        <w:autoSpaceDE w:val="0"/>
        <w:autoSpaceDN w:val="0"/>
        <w:adjustRightInd w:val="0"/>
        <w:spacing w:before="120" w:after="120"/>
        <w:ind w:left="851" w:hanging="425"/>
        <w:contextualSpacing w:val="0"/>
        <w:jc w:val="both"/>
        <w:rPr>
          <w:rFonts w:ascii="Cambria" w:eastAsia="Calibri" w:hAnsi="Cambria" w:cs="Arial"/>
          <w:sz w:val="24"/>
          <w:szCs w:val="24"/>
        </w:rPr>
      </w:pPr>
      <w:r w:rsidRPr="00FD7953">
        <w:rPr>
          <w:rFonts w:ascii="Cambria" w:eastAsia="Calibri" w:hAnsi="Cambria" w:cs="Arial"/>
          <w:sz w:val="24"/>
          <w:szCs w:val="24"/>
        </w:rPr>
        <w:t>Los tres presupuestos</w:t>
      </w:r>
      <w:r w:rsidR="00564223" w:rsidRPr="00FD7953">
        <w:rPr>
          <w:rFonts w:ascii="Cambria" w:eastAsia="Calibri" w:hAnsi="Cambria" w:cs="Arial"/>
          <w:sz w:val="24"/>
          <w:szCs w:val="24"/>
        </w:rPr>
        <w:t>, en su caso,</w:t>
      </w:r>
      <w:r w:rsidRPr="00FD7953">
        <w:rPr>
          <w:rFonts w:ascii="Cambria" w:eastAsia="Calibri" w:hAnsi="Cambria" w:cs="Arial"/>
          <w:sz w:val="24"/>
          <w:szCs w:val="24"/>
        </w:rPr>
        <w:t xml:space="preserve"> de acuerdo con lo previsto en el artículo 32.3 de la Ley 10/2006, de 17 de julio, de Subvenciones de Cantabria.</w:t>
      </w:r>
    </w:p>
    <w:p w:rsidR="00D8664A" w:rsidRPr="00FD7953" w:rsidRDefault="00D8664A" w:rsidP="00D8664A">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5</w:t>
      </w:r>
      <w:r w:rsidR="00F17D6B" w:rsidRPr="00FD7953">
        <w:rPr>
          <w:rFonts w:ascii="Cambria" w:hAnsi="Cambria" w:cs="Arial"/>
          <w:sz w:val="24"/>
          <w:szCs w:val="24"/>
        </w:rPr>
        <w:t>.</w:t>
      </w:r>
      <w:r w:rsidRPr="00FD7953">
        <w:rPr>
          <w:rFonts w:ascii="Cambria" w:hAnsi="Cambria" w:cs="Arial"/>
          <w:sz w:val="24"/>
          <w:szCs w:val="24"/>
        </w:rPr>
        <w:t xml:space="preserve"> La presentación del modelo normalizado de solicitud conllevará la autorización de la entidad solicitante a la Dirección General de Transportes y Comunicaciones para recabar los certificados a emitir por la Agencia Estatal de la Administración Tributaria (A.E.A.T.), por la Agencia Cántabra de Administración Tributaria y por la Tesorería General de la Seguridad Social, que permitan comprobar si el solicitante está al corriente en el cumplimiento de sus obligaciones con estos organismos, a través de certificados telemáticos.</w:t>
      </w:r>
    </w:p>
    <w:p w:rsidR="00D8664A" w:rsidRPr="00FD7953" w:rsidRDefault="00D8664A" w:rsidP="00D8664A">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En el supuesto de que el solicitante </w:t>
      </w:r>
      <w:proofErr w:type="gramStart"/>
      <w:r w:rsidRPr="00FD7953">
        <w:rPr>
          <w:rFonts w:ascii="Cambria" w:hAnsi="Cambria" w:cs="Arial"/>
          <w:sz w:val="24"/>
          <w:szCs w:val="24"/>
        </w:rPr>
        <w:t>manifestara</w:t>
      </w:r>
      <w:proofErr w:type="gramEnd"/>
      <w:r w:rsidRPr="00FD7953">
        <w:rPr>
          <w:rFonts w:ascii="Cambria" w:hAnsi="Cambria" w:cs="Arial"/>
          <w:sz w:val="24"/>
          <w:szCs w:val="24"/>
        </w:rPr>
        <w:t xml:space="preserve"> expresamente que no otorga dicha autorización para recabar los certificados acreditativos deberá presentar</w:t>
      </w:r>
      <w:r w:rsidR="00F17D6B" w:rsidRPr="00FD7953">
        <w:rPr>
          <w:rFonts w:ascii="Cambria" w:hAnsi="Cambria" w:cs="Arial"/>
          <w:sz w:val="24"/>
          <w:szCs w:val="24"/>
        </w:rPr>
        <w:t xml:space="preserve"> </w:t>
      </w:r>
      <w:r w:rsidRPr="00FD7953">
        <w:rPr>
          <w:rFonts w:ascii="Cambria" w:hAnsi="Cambria" w:cs="Arial"/>
          <w:sz w:val="24"/>
          <w:szCs w:val="24"/>
        </w:rPr>
        <w:t>junto con su solicitud de subvención los oportunos certificados, o bien declaración responsable de estar al corriente de tales obligaciones suscrita por el interventor general o secretario-interventor del Ayuntamiento.</w:t>
      </w:r>
    </w:p>
    <w:p w:rsidR="00D8664A" w:rsidRPr="00FD7953" w:rsidRDefault="00D8664A" w:rsidP="00D8664A">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La presentación de esta declaración se hace sin perjuicio del control, por parte de los órganos gestores, del cumplimiento de las obligaciones</w:t>
      </w:r>
      <w:r w:rsidR="00B6367D" w:rsidRPr="00FD7953">
        <w:rPr>
          <w:rFonts w:ascii="Cambria" w:hAnsi="Cambria" w:cs="Arial"/>
          <w:sz w:val="24"/>
          <w:szCs w:val="24"/>
        </w:rPr>
        <w:t xml:space="preserve"> por la entidad solicitante. </w:t>
      </w:r>
      <w:r w:rsidRPr="00FD7953">
        <w:rPr>
          <w:rFonts w:ascii="Cambria" w:hAnsi="Cambria" w:cs="Arial"/>
          <w:sz w:val="24"/>
          <w:szCs w:val="24"/>
        </w:rPr>
        <w:t xml:space="preserve"> </w:t>
      </w:r>
    </w:p>
    <w:p w:rsidR="00803EBC" w:rsidRPr="00FD7953" w:rsidRDefault="008A5F16" w:rsidP="00226977">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6</w:t>
      </w:r>
      <w:r w:rsidR="00D8664A" w:rsidRPr="00FD7953">
        <w:rPr>
          <w:rFonts w:ascii="Cambria" w:hAnsi="Cambria" w:cs="Arial"/>
          <w:sz w:val="24"/>
          <w:szCs w:val="24"/>
        </w:rPr>
        <w:t>. La presentación de la solicitud implica el conocimiento y aceptación de las presentes b</w:t>
      </w:r>
      <w:r w:rsidRPr="00FD7953">
        <w:rPr>
          <w:rFonts w:ascii="Cambria" w:hAnsi="Cambria" w:cs="Arial"/>
          <w:sz w:val="24"/>
          <w:szCs w:val="24"/>
        </w:rPr>
        <w:t>ases reguladoras y convocatoria y del Real Decreto 987/2021, de 16 de noviembre, por el que se aprueba la concesión directa a las comunidades autónomas y a las ciudades de Ceuta y Melilla de ayudas para la ejecución de diversas acciones de refuerzo de conectividad en centros públicos de referencia, en el marco del Plan de Recuperación, Transformación y Resiliencia</w:t>
      </w:r>
      <w:r w:rsidR="00F17D6B" w:rsidRPr="00FD7953">
        <w:rPr>
          <w:rFonts w:ascii="Cambria" w:hAnsi="Cambria" w:cs="Arial"/>
          <w:sz w:val="24"/>
          <w:szCs w:val="24"/>
        </w:rPr>
        <w:t>.</w:t>
      </w:r>
    </w:p>
    <w:p w:rsidR="008A5F16" w:rsidRPr="00FD7953" w:rsidRDefault="005D28B9" w:rsidP="00F17D6B">
      <w:pPr>
        <w:autoSpaceDE w:val="0"/>
        <w:autoSpaceDN w:val="0"/>
        <w:adjustRightInd w:val="0"/>
        <w:spacing w:before="200"/>
        <w:jc w:val="both"/>
        <w:rPr>
          <w:rFonts w:ascii="Cambria" w:hAnsi="Cambria" w:cs="Arial"/>
          <w:b/>
          <w:sz w:val="24"/>
          <w:szCs w:val="24"/>
        </w:rPr>
      </w:pPr>
      <w:r w:rsidRPr="00FD7953">
        <w:rPr>
          <w:rFonts w:ascii="Cambria" w:hAnsi="Cambria" w:cs="Arial"/>
          <w:b/>
          <w:sz w:val="24"/>
          <w:szCs w:val="24"/>
        </w:rPr>
        <w:t>Undécimo</w:t>
      </w:r>
      <w:r w:rsidR="008A5F16" w:rsidRPr="00FD7953">
        <w:rPr>
          <w:rFonts w:ascii="Cambria" w:hAnsi="Cambria" w:cs="Arial"/>
          <w:b/>
          <w:sz w:val="24"/>
          <w:szCs w:val="24"/>
        </w:rPr>
        <w:t>. Instrucción y propuesta de resolución.</w:t>
      </w:r>
    </w:p>
    <w:p w:rsidR="008A5F16" w:rsidRPr="00FD7953" w:rsidRDefault="008A5F16" w:rsidP="008A5F16">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1. Corresponde a la Dirección General de Transportes y Comunicaciones</w:t>
      </w:r>
      <w:r w:rsidR="00047D9C" w:rsidRPr="00FD7953">
        <w:rPr>
          <w:rFonts w:ascii="Cambria" w:hAnsi="Cambria" w:cs="Arial"/>
          <w:sz w:val="24"/>
          <w:szCs w:val="24"/>
        </w:rPr>
        <w:t xml:space="preserve">, </w:t>
      </w:r>
      <w:r w:rsidR="00F923EE" w:rsidRPr="00FD7953">
        <w:rPr>
          <w:rFonts w:ascii="Cambria" w:hAnsi="Cambria" w:cs="Arial"/>
          <w:sz w:val="24"/>
          <w:szCs w:val="24"/>
        </w:rPr>
        <w:t>a través del Servicio de Telecomunicaciones,</w:t>
      </w:r>
      <w:r w:rsidRPr="00FD7953">
        <w:rPr>
          <w:rFonts w:ascii="Cambria" w:hAnsi="Cambria" w:cs="Arial"/>
          <w:sz w:val="24"/>
          <w:szCs w:val="24"/>
        </w:rPr>
        <w:t xml:space="preserve"> la ordenación e instrucción del procedimiento de concesión de las subvenciones reguladas en la presente orden.</w:t>
      </w:r>
    </w:p>
    <w:p w:rsidR="008A5F16" w:rsidRPr="00FD7953" w:rsidRDefault="008A5F16" w:rsidP="008A5F16">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2. </w:t>
      </w:r>
      <w:r w:rsidR="00F17D6B" w:rsidRPr="00FD7953">
        <w:rPr>
          <w:rFonts w:ascii="Cambria" w:hAnsi="Cambria" w:cs="Arial"/>
          <w:sz w:val="24"/>
          <w:szCs w:val="24"/>
        </w:rPr>
        <w:t xml:space="preserve"> </w:t>
      </w:r>
      <w:r w:rsidRPr="00FD7953">
        <w:rPr>
          <w:rFonts w:ascii="Cambria" w:hAnsi="Cambria" w:cs="Arial"/>
          <w:sz w:val="24"/>
          <w:szCs w:val="24"/>
        </w:rPr>
        <w:t>Si la solicitud de subvención no reúne los requisitos que se señalan en esta orden, la Dirección General de Transportes y Comunicaciones requerirá a la persona o entidad solicitante para que, en un plazo de diez días hábiles a contar desde el siguiente a la notificación del requerimiento, subsane la falta o aporte los documentos preceptivos, de acuerdo con lo previsto en el artículo 68 de la Ley 39/2015, de 1 de octubre, del Procedimiento Administrativo Común de las Administraciones Públicas. En el requerimiento se le advertirá expresamente que, en caso de no aportar la documentación solicitada, se le tendrá por desistido de su solicitud, previa resolución que deberá ser dictada al efecto, de conformidad con lo establecido en el artículo 23.5 de la Ley 10/2006, de Subvenciones de Cantabria y el artículo 68 de la Ley 39/2015, de 1 de octubre, del Procedimiento Administrativo Común de las Administraciones Públicas.</w:t>
      </w:r>
    </w:p>
    <w:p w:rsidR="008A5F16" w:rsidRPr="00FD7953" w:rsidRDefault="008A5F16" w:rsidP="008A5F16">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Asimismo, se podrá solicitar a los interesados que aporten cuantos datos y documentos sean necesarios para dictar la correspondiente resolución en cualquier momento del procedimiento.</w:t>
      </w:r>
    </w:p>
    <w:p w:rsidR="008A5F16" w:rsidRPr="00FD7953" w:rsidRDefault="008A5F16" w:rsidP="008A5F16">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3. Las solicitudes recibidas, una vez finalizado el correspondiente plazo de subsanación, serán evaluadas por el órgano instructor, mediante la sola comprobación de la concurrencia de los requisitos establecidos en esta Orden, y atendiendo a la prelación temporal de la solicitud, completa y conforme.</w:t>
      </w:r>
    </w:p>
    <w:p w:rsidR="008A5F16" w:rsidRPr="00FD7953" w:rsidRDefault="008A5F16" w:rsidP="008A5F16">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4.</w:t>
      </w:r>
      <w:r w:rsidRPr="00FD7953">
        <w:rPr>
          <w:rFonts w:ascii="Cambria" w:eastAsia="Calibri" w:hAnsi="Cambria" w:cs="Arial"/>
          <w:sz w:val="24"/>
          <w:szCs w:val="24"/>
        </w:rPr>
        <w:t xml:space="preserve">  </w:t>
      </w:r>
      <w:r w:rsidRPr="00FD7953">
        <w:rPr>
          <w:rFonts w:ascii="Cambria" w:hAnsi="Cambria" w:cs="Arial"/>
          <w:sz w:val="24"/>
          <w:szCs w:val="24"/>
        </w:rPr>
        <w:t>La propuesta de concesión se formulará al órgano concedente directamente por el órgano instructor.</w:t>
      </w:r>
    </w:p>
    <w:p w:rsidR="008A5F16" w:rsidRPr="00FD7953" w:rsidRDefault="005D28B9" w:rsidP="00F17D6B">
      <w:pPr>
        <w:autoSpaceDE w:val="0"/>
        <w:autoSpaceDN w:val="0"/>
        <w:adjustRightInd w:val="0"/>
        <w:spacing w:before="200"/>
        <w:jc w:val="both"/>
        <w:rPr>
          <w:rFonts w:ascii="Cambria" w:hAnsi="Cambria" w:cs="Arial"/>
          <w:b/>
          <w:sz w:val="24"/>
          <w:szCs w:val="24"/>
        </w:rPr>
      </w:pPr>
      <w:r w:rsidRPr="00FD7953">
        <w:rPr>
          <w:rFonts w:ascii="Cambria" w:hAnsi="Cambria" w:cs="Arial"/>
          <w:b/>
          <w:sz w:val="24"/>
          <w:szCs w:val="24"/>
        </w:rPr>
        <w:t>Duodécimo.</w:t>
      </w:r>
      <w:r w:rsidR="008A5F16" w:rsidRPr="00FD7953">
        <w:rPr>
          <w:rFonts w:ascii="Cambria" w:hAnsi="Cambria" w:cs="Arial"/>
          <w:b/>
          <w:sz w:val="24"/>
          <w:szCs w:val="24"/>
        </w:rPr>
        <w:t xml:space="preserve"> Resolución.</w:t>
      </w:r>
    </w:p>
    <w:p w:rsidR="008A5F16" w:rsidRPr="00FD7953" w:rsidRDefault="008A5F16" w:rsidP="008A5F16">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1. Corresponde al Consejero de Industria, Turismo, Innovación, Transporte y Comercio resolver el procedimiento de conformidad con lo establecido en el artículo 9 de la Ley 10/2006, de 17 de julio, de Subvenciones de Cantabria.</w:t>
      </w:r>
    </w:p>
    <w:p w:rsidR="008A5F16" w:rsidRPr="00FD7953" w:rsidRDefault="008A5F16" w:rsidP="008A5F16">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La resolución, que agota la vía administrativa, será susceptible de recurso potestativo de reposición en el plazo de un mes computado a partir del día siguiente a su notificación ante el mismo órgano que la hubiera dictado, o directamente recurso contencioso-administrativo, en el plazo de dos meses contados a partir del día siguiente a su notificación, ante la Sala de lo Contencioso-Administrativo del Tribunal Superior de Justicia de Cantabria. </w:t>
      </w:r>
    </w:p>
    <w:p w:rsidR="008A5F16" w:rsidRPr="00FD7953" w:rsidRDefault="008A5F16" w:rsidP="008A5F16">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2. La resolución será motivada y contendrá la relación de solicitantes a los que se concede la subvención, las inversiones, gastos o conceptos subvencionados y su cuantía, haciéndose constar, de manera expresa, la desestimación o la causa de no concesión, por desistimiento, renuncia al derecho o imposibilidad material sobrevenida, del resto de las solicitudes. </w:t>
      </w:r>
    </w:p>
    <w:p w:rsidR="008A5F16" w:rsidRPr="00FD7953" w:rsidRDefault="008A5F16" w:rsidP="008A5F16">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 3. La resolución será notificada individualmente a los beneficiarios a través de la sede electrónica de la Administración de la Comunidad Autónoma de Cantabria, en el plazo de diez días hábiles a partir de la fecha en que haya sido dictada.</w:t>
      </w:r>
    </w:p>
    <w:p w:rsidR="008A5F16" w:rsidRPr="00FD7953" w:rsidRDefault="008A5F16" w:rsidP="008A5F16">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4. El plazo máximo de resolución y notificación será de seis meses, contados a partir de la presentación de la solicitud, transcurrido el </w:t>
      </w:r>
      <w:proofErr w:type="gramStart"/>
      <w:r w:rsidRPr="00FD7953">
        <w:rPr>
          <w:rFonts w:ascii="Cambria" w:hAnsi="Cambria" w:cs="Arial"/>
          <w:sz w:val="24"/>
          <w:szCs w:val="24"/>
        </w:rPr>
        <w:t>cual</w:t>
      </w:r>
      <w:proofErr w:type="gramEnd"/>
      <w:r w:rsidRPr="00FD7953">
        <w:rPr>
          <w:rFonts w:ascii="Cambria" w:hAnsi="Cambria" w:cs="Arial"/>
          <w:sz w:val="24"/>
          <w:szCs w:val="24"/>
        </w:rPr>
        <w:t xml:space="preserve"> sin haberse dictado y notificado la resolución expresa a los interesados, se entenderá desestimada la solicitud, de conformidad con lo previsto en el artículo 25.5 de la Ley 10/2006, de 17 de julio, de Subvenciones de Cantabria. </w:t>
      </w:r>
    </w:p>
    <w:p w:rsidR="008A5F16" w:rsidRPr="00FD7953" w:rsidRDefault="008A5F16" w:rsidP="008A5F16">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5. Se procederá a la publicación de las subvenciones concedidas en el Boletín Oficial de Cantabria, con expresión de la convocatoria, el programa, el crédito presupuestario al que se imputen, beneficiario, cantidad y finalidad o finalidades de la subvención, en los términos previstos en el artículo 17 de la Ley 10/2006, de 17 de julio, de Subvenciones de Cantabria y en el artículo 30 del Real Decreto 887/2006, de 21 de julio, por el que se aprueba el Reglamento de la Ley 38/2003, de 17 de noviembre, General de Subvenciones. Las subvenciones que, por razón de su cuantía, no sean objeto de la publicación referida, serán expuestas, con expresión de la convocatoria, el crédito presupuestario al que se imputen, beneficiario e importe de la subvención, en el tablón de anuncios de la Dirección General de Transportes y Comunicaciones (calle Cádiz, nº 2, primera planta, de Santander).</w:t>
      </w:r>
    </w:p>
    <w:p w:rsidR="008A5F16" w:rsidRPr="00FD7953" w:rsidRDefault="008A5F16" w:rsidP="008A5F16">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6. Toda alteración de las condiciones tenidas en cuenta para la concesión de la subvención podrá dar lugar a la modificación de la resolución de concesión.</w:t>
      </w:r>
    </w:p>
    <w:p w:rsidR="00105EA4" w:rsidRPr="00FD7953" w:rsidRDefault="008A5F16" w:rsidP="008A5F16">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 7. De acuerdo con lo previsto en el artículo 62.1 del Real Decreto-ley 36/2020, de 30 de diciembre, y teniendo en cuenta que las ayudas previstas por ese real decreto se destinan a financiar actuaciones o situaciones concretas que no requieren de valoración comparativa con otras propuestas, se podrán dictar las resoluciones de concesión correspondientes por orden de presentación de solicitudes una vez realizadas las comprobaciones de concurrencia de la situación o actuación subvencionable y el cumplimiento del resto de requisitos exigidos, hasta el agotamiento del crédito presupuestario.</w:t>
      </w:r>
    </w:p>
    <w:p w:rsidR="008A5F16" w:rsidRPr="00FD7953" w:rsidRDefault="00953789" w:rsidP="00994721">
      <w:pPr>
        <w:autoSpaceDE w:val="0"/>
        <w:autoSpaceDN w:val="0"/>
        <w:adjustRightInd w:val="0"/>
        <w:spacing w:before="200"/>
        <w:jc w:val="both"/>
        <w:rPr>
          <w:rFonts w:ascii="Cambria" w:hAnsi="Cambria" w:cs="Arial"/>
          <w:b/>
          <w:sz w:val="24"/>
          <w:szCs w:val="24"/>
        </w:rPr>
      </w:pPr>
      <w:r w:rsidRPr="00FD7953">
        <w:rPr>
          <w:rFonts w:ascii="Cambria" w:hAnsi="Cambria" w:cs="Arial"/>
          <w:b/>
          <w:sz w:val="24"/>
          <w:szCs w:val="24"/>
        </w:rPr>
        <w:t>Decimotercero</w:t>
      </w:r>
      <w:r w:rsidR="008A5F16" w:rsidRPr="00FD7953">
        <w:rPr>
          <w:rFonts w:ascii="Cambria" w:hAnsi="Cambria" w:cs="Arial"/>
          <w:b/>
          <w:sz w:val="24"/>
          <w:szCs w:val="24"/>
        </w:rPr>
        <w:t>. Pago y justificación de la realización de las actuaciones subvencionables.</w:t>
      </w:r>
    </w:p>
    <w:p w:rsidR="00984FDC" w:rsidRPr="00FD7953" w:rsidRDefault="00984FDC" w:rsidP="00984FDC">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1. Una vez dictada la resolución de concesión de la ayuda y tras haberse acreditado por el beneficiario el cumplimiento de los requisitos exigidos para el pago, el órgano competente ordenará el pago anticipado de la subvención, sin necesidad de presentar garantías. </w:t>
      </w:r>
    </w:p>
    <w:p w:rsidR="00984FDC" w:rsidRPr="00FD7953" w:rsidRDefault="00984FDC" w:rsidP="00984FDC">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2. No podrá realizarse el pago de la subvención en tanto el beneficiario no se encuentre al corriente en el cumplimiento de sus obligaciones tributarias o de cualquier otro ingreso de derecho público con la Agencia Estatal de la Administración Tributaria, frente a la Seguridad Social, de sus obligaciones con la Administración de la Comunidad Autónoma de Cantabria o se haya dictado resolución de procedencia de reintegro, mientras no se satisfaga o se garantice la deuda de la manera prevista en la Ley 10/2006, de 17 de julio, de Subvenciones de Cantabria.</w:t>
      </w:r>
    </w:p>
    <w:p w:rsidR="00984FDC" w:rsidRPr="00FD7953" w:rsidRDefault="00984FDC" w:rsidP="00984FDC">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Asimismo, el pago de las ayudas está condicionado al compromiso por escrito de los beneficiarios de conceder los derechos y los accesos necesarios para garantizar que la Comisión, la OLAF, el Tribunal de Cuentas Europeo, la Fiscalía Europea y las autoridades nacionales competentes ejerzan sus competencias</w:t>
      </w:r>
      <w:r w:rsidR="00B055D0" w:rsidRPr="00FD7953">
        <w:rPr>
          <w:rFonts w:ascii="Cambria" w:hAnsi="Cambria" w:cs="Arial"/>
          <w:sz w:val="24"/>
          <w:szCs w:val="24"/>
        </w:rPr>
        <w:t>.</w:t>
      </w:r>
    </w:p>
    <w:p w:rsidR="00984FDC" w:rsidRPr="00FD7953" w:rsidRDefault="00984FDC" w:rsidP="00984FDC">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3. El interesado podrá presentar la renuncia a la subvención, siempre que esta renuncia esté motivada y no existan terceros interesados en la continuación del procedimiento ni un interés público que aconseje proseguirlo.</w:t>
      </w:r>
    </w:p>
    <w:p w:rsidR="00984FDC" w:rsidRPr="00FD7953" w:rsidRDefault="00984FDC" w:rsidP="00984FDC">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4. Los beneficiarios deberán justificar la realización de la inversión requerida para llevar a cabo la actuación objeto de teniendo en cuenta la fecha límite de 31 de diciembre de 2023 prevista en el artículo </w:t>
      </w:r>
      <w:r w:rsidR="00D97E9A" w:rsidRPr="00FD7953">
        <w:rPr>
          <w:rFonts w:ascii="Cambria" w:hAnsi="Cambria" w:cs="Arial"/>
          <w:sz w:val="24"/>
          <w:szCs w:val="24"/>
        </w:rPr>
        <w:t>1 del Real Decreto 987/2021, de 16 de noviembre</w:t>
      </w:r>
      <w:r w:rsidRPr="00FD7953">
        <w:rPr>
          <w:rFonts w:ascii="Cambria" w:hAnsi="Cambria" w:cs="Arial"/>
          <w:sz w:val="24"/>
          <w:szCs w:val="24"/>
        </w:rPr>
        <w:t xml:space="preserve">. Lo anterior de acuerdo con lo establecido en el capítulo IV, artículo 30 y sucesivos, de la Ley 38/2003, de 17 de noviembre, en el título II, capítulo II, del Reglamento aprobado por Real Decreto 887/2006, de 21 de julio, así como en la Orden HFP/1030/2021, de 29 de septiembre, por la que se configura el sistema de gestión del Plan de Recuperación, Transformación y Resiliencia. </w:t>
      </w:r>
    </w:p>
    <w:p w:rsidR="00984FDC" w:rsidRPr="00FD7953" w:rsidRDefault="00984FDC" w:rsidP="00984FDC">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Dicha justificación, se realizará a través de la presentación de la documentación justificativa de la realización final de la actuación, que comprenderá, al menos:</w:t>
      </w:r>
    </w:p>
    <w:p w:rsidR="00984FDC" w:rsidRPr="00FD7953" w:rsidRDefault="00984FDC" w:rsidP="00984FDC">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   - Relación certificada y copia de las facturas y de sus justificantes bancarios de pago, correspondientes a la actuación realizada y que respondan a los presupuestos aceptados por la destinataria última y presentados en la solicitud de ayuda. </w:t>
      </w:r>
    </w:p>
    <w:p w:rsidR="00564223" w:rsidRPr="00FD7953" w:rsidRDefault="00564223" w:rsidP="00564223">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   - Los tres presupuestos, en su caso, de acuerdo con lo previsto en el artículo 32.3 de la Ley 10/2006, de 17 de julio, de Subvenciones de Cantabria.</w:t>
      </w:r>
    </w:p>
    <w:p w:rsidR="004444CF" w:rsidRPr="00FD7953" w:rsidRDefault="004444CF" w:rsidP="004444CF">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   - Memoria Técnica de las actuaciones realizadas, que incluya, al menos, la fecha de puesta en servicio, áreas cubiertas y los parámetros de calidad de los servicios.</w:t>
      </w:r>
    </w:p>
    <w:p w:rsidR="00D14AB5" w:rsidRPr="00FD7953" w:rsidRDefault="004444CF" w:rsidP="00D14AB5">
      <w:pPr>
        <w:autoSpaceDE w:val="0"/>
        <w:autoSpaceDN w:val="0"/>
        <w:adjustRightInd w:val="0"/>
        <w:spacing w:before="120" w:after="60"/>
        <w:jc w:val="both"/>
        <w:rPr>
          <w:rFonts w:ascii="Cambria" w:eastAsia="Calibri" w:hAnsi="Cambria" w:cs="Arial"/>
          <w:strike/>
          <w:sz w:val="24"/>
          <w:szCs w:val="24"/>
        </w:rPr>
      </w:pPr>
      <w:r w:rsidRPr="00FD7953">
        <w:rPr>
          <w:rFonts w:ascii="Cambria" w:hAnsi="Cambria" w:cs="Arial"/>
          <w:sz w:val="24"/>
          <w:szCs w:val="24"/>
        </w:rPr>
        <w:t xml:space="preserve">   - Se deberán aportar fotografías e indicar el emplazamiento concreto de la infraestructura objeto de solicitud de subvención, indicando una referencia que permita su localización exacta (dirección exacta, coordenadas GPS, referencia catastral, etc.), además de todas las actividades de comunicación y divulgación del proyecto, incluida la web del beneficiario, en su caso, con las pruebas documentales que se estimen pertinentes (fotografías de los carteles informativos, pantallazos de páginas web, copia de folletos, artículos de prensa, </w:t>
      </w:r>
      <w:proofErr w:type="spellStart"/>
      <w:r w:rsidR="00D14AB5" w:rsidRPr="00FD7953">
        <w:rPr>
          <w:rFonts w:ascii="Cambria" w:hAnsi="Cambria" w:cs="Arial"/>
          <w:sz w:val="24"/>
          <w:szCs w:val="24"/>
        </w:rPr>
        <w:t>etc</w:t>
      </w:r>
      <w:proofErr w:type="spellEnd"/>
      <w:r w:rsidR="00D14AB5" w:rsidRPr="00FD7953">
        <w:rPr>
          <w:rFonts w:ascii="Cambria" w:hAnsi="Cambria" w:cs="Arial"/>
          <w:sz w:val="24"/>
          <w:szCs w:val="24"/>
        </w:rPr>
        <w:t>), en particular se incluirá reportaje fotográfico de las actuaciones realizadas, que incluya fotografías del antes y después de las actuaciones y, en su caso, de los equipos e instalaciones principales finales objeto de la ayuda, y donde se muestre el cartel publicitario de la actuación colocado en el inmueble, cuyo diseño y distribución será realizado a través de la página web de la Secretaría de Estado de Telecomunicaciones e Infraestructuras Digitales.</w:t>
      </w:r>
      <w:r w:rsidR="00D14AB5" w:rsidRPr="00FD7953">
        <w:rPr>
          <w:rFonts w:ascii="Cambria" w:eastAsia="Calibri" w:hAnsi="Cambria" w:cs="Arial"/>
          <w:strike/>
          <w:sz w:val="24"/>
          <w:szCs w:val="24"/>
        </w:rPr>
        <w:t xml:space="preserve"> </w:t>
      </w:r>
    </w:p>
    <w:p w:rsidR="00170597" w:rsidRPr="00FD7953" w:rsidRDefault="00170597" w:rsidP="00D14AB5">
      <w:pPr>
        <w:autoSpaceDE w:val="0"/>
        <w:autoSpaceDN w:val="0"/>
        <w:adjustRightInd w:val="0"/>
        <w:spacing w:before="120" w:after="60"/>
        <w:jc w:val="both"/>
        <w:rPr>
          <w:rFonts w:ascii="Cambria" w:hAnsi="Cambria" w:cs="Arial"/>
          <w:sz w:val="24"/>
          <w:szCs w:val="24"/>
        </w:rPr>
      </w:pPr>
      <w:r w:rsidRPr="00FD7953">
        <w:rPr>
          <w:rFonts w:ascii="Cambria" w:hAnsi="Cambria" w:cs="Arial"/>
          <w:sz w:val="24"/>
          <w:szCs w:val="24"/>
        </w:rPr>
        <w:t>- Se deberá aportar Declaración de Ausencia de Conflicto de Interés de las personas participantes en la gestión de los fondos y en la ejecución del proyecto, en particular los contratistas y subcontratista</w:t>
      </w:r>
      <w:r w:rsidR="00383E73" w:rsidRPr="00FD7953">
        <w:rPr>
          <w:rFonts w:ascii="Cambria" w:hAnsi="Cambria" w:cs="Arial"/>
          <w:sz w:val="24"/>
          <w:szCs w:val="24"/>
        </w:rPr>
        <w:t>s</w:t>
      </w:r>
      <w:r w:rsidRPr="00FD7953">
        <w:rPr>
          <w:rFonts w:ascii="Cambria" w:hAnsi="Cambria" w:cs="Arial"/>
          <w:sz w:val="24"/>
          <w:szCs w:val="24"/>
        </w:rPr>
        <w:t xml:space="preserve"> perceptores finales de los mismos</w:t>
      </w:r>
      <w:r w:rsidR="00487C4C" w:rsidRPr="00FD7953">
        <w:rPr>
          <w:rFonts w:ascii="Cambria" w:hAnsi="Cambria" w:cs="Arial"/>
          <w:sz w:val="24"/>
          <w:szCs w:val="24"/>
        </w:rPr>
        <w:t>, según modelos del Anexo II.</w:t>
      </w:r>
    </w:p>
    <w:p w:rsidR="00B055D0" w:rsidRPr="00FD7953" w:rsidRDefault="00B055D0" w:rsidP="00B055D0">
      <w:pPr>
        <w:autoSpaceDE w:val="0"/>
        <w:autoSpaceDN w:val="0"/>
        <w:adjustRightInd w:val="0"/>
        <w:spacing w:before="120" w:after="120"/>
        <w:jc w:val="both"/>
        <w:rPr>
          <w:rFonts w:ascii="Cambria" w:eastAsia="Calibri" w:hAnsi="Cambria" w:cs="Arial"/>
          <w:sz w:val="24"/>
          <w:szCs w:val="24"/>
        </w:rPr>
      </w:pPr>
      <w:r w:rsidRPr="00FD7953">
        <w:rPr>
          <w:rFonts w:ascii="Cambria" w:eastAsia="Calibri" w:hAnsi="Cambria" w:cs="Arial"/>
          <w:sz w:val="24"/>
          <w:szCs w:val="24"/>
        </w:rPr>
        <w:t>- Declaración responsable de compromiso en relación con la ejecución de actuaciones del PRTR, por parte de los contratistas y subcontratistas, según modelo del Anexo III.</w:t>
      </w:r>
    </w:p>
    <w:p w:rsidR="00B055D0" w:rsidRPr="00FD7953" w:rsidRDefault="00B055D0" w:rsidP="00B055D0">
      <w:pPr>
        <w:autoSpaceDE w:val="0"/>
        <w:autoSpaceDN w:val="0"/>
        <w:adjustRightInd w:val="0"/>
        <w:spacing w:before="120" w:after="120"/>
        <w:jc w:val="both"/>
        <w:rPr>
          <w:rFonts w:ascii="Cambria" w:eastAsia="Calibri" w:hAnsi="Cambria" w:cs="Arial"/>
          <w:sz w:val="24"/>
          <w:szCs w:val="24"/>
        </w:rPr>
      </w:pPr>
      <w:r w:rsidRPr="00FD7953">
        <w:rPr>
          <w:rFonts w:ascii="Cambria" w:eastAsia="Calibri" w:hAnsi="Cambria" w:cs="Arial"/>
          <w:sz w:val="24"/>
          <w:szCs w:val="24"/>
        </w:rPr>
        <w:t>- Declaración responsable de cesión y tratamiento de datos en relación con la ejecución de actuaciones del PRTR, comprometiéndose por escrito de conceder los derechos y los accesos necesarios para garantizar que la Comisión, la OLAF, el Tribunal de Cuentas Europeo, la Fiscalía Europea y las autoridades nacionales competentes ejerzan sus competencias, por parte de los contratistas y subcontratistas, según modelo del Anexo IV.</w:t>
      </w:r>
    </w:p>
    <w:p w:rsidR="00B055D0" w:rsidRPr="00FD7953" w:rsidRDefault="00B055D0" w:rsidP="00B055D0">
      <w:pPr>
        <w:autoSpaceDE w:val="0"/>
        <w:autoSpaceDN w:val="0"/>
        <w:adjustRightInd w:val="0"/>
        <w:spacing w:before="120" w:after="120"/>
        <w:jc w:val="both"/>
        <w:rPr>
          <w:rFonts w:ascii="Cambria" w:eastAsia="Calibri" w:hAnsi="Cambria" w:cs="Arial"/>
          <w:sz w:val="24"/>
          <w:szCs w:val="24"/>
        </w:rPr>
      </w:pPr>
      <w:r w:rsidRPr="00FD7953">
        <w:rPr>
          <w:rFonts w:ascii="Cambria" w:eastAsia="Calibri" w:hAnsi="Cambria" w:cs="Arial"/>
          <w:sz w:val="24"/>
          <w:szCs w:val="24"/>
        </w:rPr>
        <w:t>- Declaración sobre las condiciones específicas de ejecución de la inversión C15.I2 del PRTR en virtud del Real Decreto 987/2021, de 16 de noviembre, por parte de los contratistas y subcontratistas, según el modelo del Anexo V.</w:t>
      </w:r>
    </w:p>
    <w:p w:rsidR="00B055D0" w:rsidRPr="00FD7953" w:rsidRDefault="00B055D0" w:rsidP="00B055D0">
      <w:pPr>
        <w:autoSpaceDE w:val="0"/>
        <w:autoSpaceDN w:val="0"/>
        <w:adjustRightInd w:val="0"/>
        <w:spacing w:before="120" w:after="120"/>
        <w:jc w:val="both"/>
        <w:rPr>
          <w:rFonts w:ascii="Cambria" w:eastAsia="Calibri" w:hAnsi="Cambria" w:cs="Arial"/>
          <w:sz w:val="24"/>
          <w:szCs w:val="24"/>
        </w:rPr>
      </w:pPr>
      <w:r w:rsidRPr="00FD7953">
        <w:rPr>
          <w:rFonts w:ascii="Cambria" w:eastAsia="Calibri" w:hAnsi="Cambria" w:cs="Arial"/>
          <w:sz w:val="24"/>
          <w:szCs w:val="24"/>
        </w:rPr>
        <w:t>- Declaración de cumplimiento de cláusula de compromiso de lucha contra el fraude y canales de denuncia en relación con la ejecución de actuaciones del PRTR, por parte de los contratistas y subcontratistas, según modelo del Anexo VI.</w:t>
      </w:r>
    </w:p>
    <w:p w:rsidR="00B055D0" w:rsidRPr="00FD7953" w:rsidRDefault="00B055D0" w:rsidP="00B055D0">
      <w:pPr>
        <w:autoSpaceDE w:val="0"/>
        <w:autoSpaceDN w:val="0"/>
        <w:adjustRightInd w:val="0"/>
        <w:spacing w:before="120" w:after="120"/>
        <w:jc w:val="both"/>
        <w:rPr>
          <w:rFonts w:ascii="Cambria" w:eastAsia="Calibri" w:hAnsi="Cambria" w:cs="Arial"/>
          <w:sz w:val="24"/>
          <w:szCs w:val="24"/>
        </w:rPr>
      </w:pPr>
      <w:r w:rsidRPr="00FD7953">
        <w:rPr>
          <w:rFonts w:ascii="Cambria" w:eastAsia="Calibri" w:hAnsi="Cambria" w:cs="Arial"/>
          <w:sz w:val="24"/>
          <w:szCs w:val="24"/>
        </w:rPr>
        <w:t xml:space="preserve">- Declaración responsable firmada por el representante legal de cumplimiento del principio de «no causar un perjuicio significativo al medio ambiente» (DNSH) según modelo del Anexo VII, por parte de los contratistas y subcontratistas. </w:t>
      </w:r>
    </w:p>
    <w:p w:rsidR="00984FDC" w:rsidRPr="00FD7953" w:rsidRDefault="00984FDC" w:rsidP="00984FDC">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5. La documentación que se aporte para justificar la ejecución de la actuación debe ser coherente con la información aportada con el formulario de solicitud de la ayuda y documentos que se acompañen. </w:t>
      </w:r>
    </w:p>
    <w:p w:rsidR="00984FDC" w:rsidRPr="00FD7953" w:rsidRDefault="00984FDC" w:rsidP="00984FDC">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En la justificación se verificará que los fondos concedidos se han utilizado para los fines previstos y se han gestionado de conformidad a todas las normas aplicables y, en particular, a las normas relativas a la prevención de conflicto de interés, de fraude, de corrupción y de la doble financiación procedente del Mecanismo de Reconstrucción y Resiliencia. En particular, se atenderá a lo previsto en el anexo a la Decisión de la Comisión que aprueba los Acuerdos Operacionales (OA) entre la Comisión Europea y España conforme al Reglamento (UE) 2021/241 del Parlamento Europeo y del Consejo, de 12 de febrero de 2021. </w:t>
      </w:r>
    </w:p>
    <w:p w:rsidR="00984FDC" w:rsidRPr="00FD7953" w:rsidRDefault="00984FDC" w:rsidP="00984FDC">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En todo caso, en la justificación, se tendrá en cuenta lo establecido en artículo 63 del Real decreto Ley 36/2020, de 30 de diciembre, que recoge ciertas singularidades en la justificación de las subvenciones relacionadas con el uso de fondos europeos. </w:t>
      </w:r>
    </w:p>
    <w:p w:rsidR="008A5F16" w:rsidRPr="00FD7953" w:rsidRDefault="00953789" w:rsidP="00604B19">
      <w:pPr>
        <w:autoSpaceDE w:val="0"/>
        <w:autoSpaceDN w:val="0"/>
        <w:adjustRightInd w:val="0"/>
        <w:spacing w:before="200"/>
        <w:jc w:val="both"/>
        <w:rPr>
          <w:rFonts w:ascii="Cambria" w:eastAsia="Calibri" w:hAnsi="Cambria" w:cs="Arial"/>
          <w:b/>
          <w:sz w:val="24"/>
          <w:szCs w:val="24"/>
        </w:rPr>
      </w:pPr>
      <w:r w:rsidRPr="00FD7953">
        <w:rPr>
          <w:rFonts w:ascii="Cambria" w:eastAsia="Calibri" w:hAnsi="Cambria" w:cs="Arial"/>
          <w:b/>
          <w:sz w:val="24"/>
          <w:szCs w:val="24"/>
        </w:rPr>
        <w:t>Decimocuarto</w:t>
      </w:r>
      <w:r w:rsidR="008A5F16" w:rsidRPr="00FD7953">
        <w:rPr>
          <w:rFonts w:ascii="Cambria" w:eastAsia="Calibri" w:hAnsi="Cambria" w:cs="Arial"/>
          <w:b/>
          <w:sz w:val="24"/>
          <w:szCs w:val="24"/>
        </w:rPr>
        <w:t>.</w:t>
      </w:r>
      <w:r w:rsidR="008A5F16" w:rsidRPr="00FD7953">
        <w:rPr>
          <w:rFonts w:ascii="Cambria" w:eastAsia="Calibri" w:hAnsi="Cambria" w:cs="Arial"/>
          <w:sz w:val="24"/>
          <w:szCs w:val="24"/>
        </w:rPr>
        <w:t xml:space="preserve"> </w:t>
      </w:r>
      <w:r w:rsidR="008A5F16" w:rsidRPr="00FD7953">
        <w:rPr>
          <w:rFonts w:ascii="Cambria" w:eastAsia="Calibri" w:hAnsi="Cambria" w:cs="Arial"/>
          <w:b/>
          <w:sz w:val="24"/>
          <w:szCs w:val="24"/>
        </w:rPr>
        <w:t>Obligaciones de los beneficiarios, inspección y seguimiento.</w:t>
      </w:r>
    </w:p>
    <w:p w:rsidR="00105EA4" w:rsidRDefault="00604B19" w:rsidP="008A5F16">
      <w:pPr>
        <w:autoSpaceDE w:val="0"/>
        <w:autoSpaceDN w:val="0"/>
        <w:adjustRightInd w:val="0"/>
        <w:spacing w:before="120" w:after="120"/>
        <w:jc w:val="both"/>
        <w:rPr>
          <w:rFonts w:ascii="Cambria" w:eastAsia="Calibri" w:hAnsi="Cambria" w:cs="Arial"/>
          <w:sz w:val="24"/>
          <w:szCs w:val="24"/>
        </w:rPr>
      </w:pPr>
      <w:r w:rsidRPr="00FD7953">
        <w:rPr>
          <w:rFonts w:ascii="Cambria" w:eastAsia="Calibri" w:hAnsi="Cambria" w:cs="Arial"/>
          <w:sz w:val="24"/>
          <w:szCs w:val="24"/>
        </w:rPr>
        <w:t xml:space="preserve">1. </w:t>
      </w:r>
      <w:r w:rsidR="008A5F16" w:rsidRPr="00FD7953">
        <w:rPr>
          <w:rFonts w:ascii="Cambria" w:eastAsia="Calibri" w:hAnsi="Cambria" w:cs="Arial"/>
          <w:sz w:val="24"/>
          <w:szCs w:val="24"/>
        </w:rPr>
        <w:t>Los beneficiarios de las subvenciones previstas en la presente orden deberán cumplir las obligaciones señaladas con carácter general en el artículo 13 de la Ley 10/2006, de 17 de julio, de Subvenciones de Cantabria y utilizar la subvención otorgada para los fines solicitados, así como las obligaciones en materia de transparencia establecidas por la Ley de Cantabria 1/2018, de 21 de marzo, de Transparencia de la Actividad Pública.</w:t>
      </w:r>
    </w:p>
    <w:p w:rsidR="00F12753" w:rsidRPr="00FD7953" w:rsidRDefault="00E339E9" w:rsidP="008A5F16">
      <w:pPr>
        <w:autoSpaceDE w:val="0"/>
        <w:autoSpaceDN w:val="0"/>
        <w:adjustRightInd w:val="0"/>
        <w:spacing w:before="120" w:after="120"/>
        <w:jc w:val="both"/>
        <w:rPr>
          <w:rFonts w:ascii="Cambria" w:eastAsia="Calibri" w:hAnsi="Cambria" w:cs="Arial"/>
          <w:sz w:val="24"/>
          <w:szCs w:val="24"/>
        </w:rPr>
      </w:pPr>
      <w:r w:rsidRPr="00FD7953">
        <w:rPr>
          <w:rFonts w:ascii="Cambria" w:eastAsia="Calibri" w:hAnsi="Cambria" w:cs="Arial"/>
          <w:sz w:val="24"/>
          <w:szCs w:val="24"/>
        </w:rPr>
        <w:t xml:space="preserve">2.  </w:t>
      </w:r>
      <w:r w:rsidR="008A5F16" w:rsidRPr="00FD7953">
        <w:rPr>
          <w:rFonts w:ascii="Cambria" w:eastAsia="Calibri" w:hAnsi="Cambria" w:cs="Arial"/>
          <w:sz w:val="24"/>
          <w:szCs w:val="24"/>
        </w:rPr>
        <w:t>Además, en particular, estarán sujetos a las que a continuación se relacionan:</w:t>
      </w:r>
    </w:p>
    <w:p w:rsidR="008A5F16" w:rsidRPr="00FD7953" w:rsidRDefault="008A5F16" w:rsidP="00F12753">
      <w:pPr>
        <w:pStyle w:val="Prrafodelista"/>
        <w:numPr>
          <w:ilvl w:val="0"/>
          <w:numId w:val="14"/>
        </w:numPr>
        <w:autoSpaceDE w:val="0"/>
        <w:autoSpaceDN w:val="0"/>
        <w:adjustRightInd w:val="0"/>
        <w:spacing w:before="120" w:after="120"/>
        <w:ind w:left="426" w:hanging="284"/>
        <w:jc w:val="both"/>
        <w:rPr>
          <w:rFonts w:ascii="Cambria" w:eastAsia="Calibri" w:hAnsi="Cambria" w:cs="Arial"/>
          <w:sz w:val="24"/>
          <w:szCs w:val="24"/>
        </w:rPr>
      </w:pPr>
      <w:r w:rsidRPr="00FD7953">
        <w:rPr>
          <w:rFonts w:ascii="Cambria" w:eastAsia="Calibri" w:hAnsi="Cambria" w:cs="Arial"/>
          <w:sz w:val="24"/>
          <w:szCs w:val="24"/>
        </w:rPr>
        <w:t>Los beneficiarios estarán obligados a la utilización de la subvención para los fines solicitados y a facilitar cuantos datos se consideren necesarios a efectos de las inspecciones que puedan realizar los servicios de la Consejería.</w:t>
      </w:r>
    </w:p>
    <w:p w:rsidR="00F12753" w:rsidRPr="00FD7953" w:rsidRDefault="008A5F16" w:rsidP="00824F6E">
      <w:pPr>
        <w:autoSpaceDE w:val="0"/>
        <w:autoSpaceDN w:val="0"/>
        <w:adjustRightInd w:val="0"/>
        <w:spacing w:before="120" w:after="120"/>
        <w:ind w:left="426"/>
        <w:jc w:val="both"/>
        <w:rPr>
          <w:rFonts w:ascii="Cambria" w:eastAsia="Calibri" w:hAnsi="Cambria" w:cs="Arial"/>
          <w:sz w:val="24"/>
          <w:szCs w:val="24"/>
        </w:rPr>
      </w:pPr>
      <w:r w:rsidRPr="00FD7953">
        <w:rPr>
          <w:rFonts w:ascii="Cambria" w:eastAsia="Calibri" w:hAnsi="Cambria" w:cs="Arial"/>
          <w:sz w:val="24"/>
          <w:szCs w:val="24"/>
        </w:rPr>
        <w:t>Asimismo, deberán comunicar a la Dirección General de Transportes y Comunicaciones cualquier eventualidad que surja en el desarrollo de la actividad subvencionada, en el momento en que aquélla se produzca.</w:t>
      </w:r>
    </w:p>
    <w:p w:rsidR="00F12753" w:rsidRPr="008B3F85" w:rsidRDefault="008A5F16" w:rsidP="00F12753">
      <w:pPr>
        <w:pStyle w:val="Prrafodelista"/>
        <w:numPr>
          <w:ilvl w:val="0"/>
          <w:numId w:val="14"/>
        </w:numPr>
        <w:autoSpaceDE w:val="0"/>
        <w:autoSpaceDN w:val="0"/>
        <w:adjustRightInd w:val="0"/>
        <w:spacing w:after="60"/>
        <w:ind w:left="426" w:hanging="284"/>
        <w:contextualSpacing w:val="0"/>
        <w:jc w:val="both"/>
        <w:rPr>
          <w:rFonts w:ascii="Cambria" w:eastAsia="Calibri" w:hAnsi="Cambria" w:cs="Arial"/>
          <w:sz w:val="24"/>
          <w:szCs w:val="24"/>
        </w:rPr>
      </w:pPr>
      <w:r w:rsidRPr="00FD7953">
        <w:rPr>
          <w:rFonts w:ascii="Cambria" w:eastAsia="Calibri" w:hAnsi="Cambria" w:cs="Arial"/>
          <w:sz w:val="24"/>
          <w:szCs w:val="24"/>
        </w:rPr>
        <w:t xml:space="preserve">Estarán también obligados a facilitar cuanta información relacionada con la subvención les sea requerida por la Intervención General de la Comunidad Autónoma de Cantabria, el Tribunal de Cuentas u otros órganos competentes, y a someterse a las actuaciones de </w:t>
      </w:r>
      <w:r w:rsidRPr="008B3F85">
        <w:rPr>
          <w:rFonts w:ascii="Cambria" w:eastAsia="Calibri" w:hAnsi="Cambria" w:cs="Arial"/>
          <w:sz w:val="24"/>
          <w:szCs w:val="24"/>
        </w:rPr>
        <w:t xml:space="preserve">control financiero que corresponden a esa Intervención y al Tribunal de Cuentas, </w:t>
      </w:r>
      <w:r w:rsidR="00EB20E4" w:rsidRPr="008B3F85">
        <w:rPr>
          <w:rFonts w:ascii="Cambria" w:eastAsia="Calibri" w:hAnsi="Cambria" w:cs="Arial"/>
          <w:sz w:val="24"/>
          <w:szCs w:val="24"/>
        </w:rPr>
        <w:t xml:space="preserve">especialmente en lo relacionado con el cumplimiento de hitos y objetivos, </w:t>
      </w:r>
      <w:r w:rsidRPr="008B3F85">
        <w:rPr>
          <w:rFonts w:ascii="Cambria" w:eastAsia="Calibri" w:hAnsi="Cambria" w:cs="Arial"/>
          <w:sz w:val="24"/>
          <w:szCs w:val="24"/>
        </w:rPr>
        <w:t>sin perjuicio de lo establecido en la normativa en materia de protección de datos.</w:t>
      </w:r>
    </w:p>
    <w:p w:rsidR="00F12753" w:rsidRPr="00FD7953" w:rsidRDefault="008A5F16" w:rsidP="00F12753">
      <w:pPr>
        <w:pStyle w:val="Prrafodelista"/>
        <w:numPr>
          <w:ilvl w:val="0"/>
          <w:numId w:val="14"/>
        </w:numPr>
        <w:autoSpaceDE w:val="0"/>
        <w:autoSpaceDN w:val="0"/>
        <w:adjustRightInd w:val="0"/>
        <w:spacing w:after="60"/>
        <w:ind w:left="426" w:hanging="284"/>
        <w:contextualSpacing w:val="0"/>
        <w:jc w:val="both"/>
        <w:rPr>
          <w:rFonts w:ascii="Cambria" w:eastAsia="Calibri" w:hAnsi="Cambria" w:cs="Arial"/>
          <w:sz w:val="24"/>
          <w:szCs w:val="24"/>
        </w:rPr>
      </w:pPr>
      <w:r w:rsidRPr="00FD7953">
        <w:rPr>
          <w:rFonts w:ascii="Cambria" w:eastAsia="Calibri" w:hAnsi="Cambria" w:cs="Arial"/>
          <w:sz w:val="24"/>
          <w:szCs w:val="24"/>
        </w:rPr>
        <w:t>Deberán comunicar, igualmente, a la Dirección General de Transportes y Comunicaciones la obtención de otras ayudas, ingresos o recursos para la misma finalidad, procedentes de cualesquiera otras Administraciones o entes, públicos o privados, nacionales o internacionales.</w:t>
      </w:r>
    </w:p>
    <w:p w:rsidR="00F12753" w:rsidRPr="00FD7953" w:rsidRDefault="00543C38" w:rsidP="00F12753">
      <w:pPr>
        <w:pStyle w:val="Prrafodelista"/>
        <w:numPr>
          <w:ilvl w:val="0"/>
          <w:numId w:val="14"/>
        </w:numPr>
        <w:autoSpaceDE w:val="0"/>
        <w:autoSpaceDN w:val="0"/>
        <w:adjustRightInd w:val="0"/>
        <w:spacing w:after="60"/>
        <w:ind w:left="426" w:hanging="284"/>
        <w:contextualSpacing w:val="0"/>
        <w:jc w:val="both"/>
        <w:rPr>
          <w:rFonts w:ascii="Cambria" w:eastAsia="Calibri" w:hAnsi="Cambria" w:cs="Arial"/>
          <w:sz w:val="24"/>
          <w:szCs w:val="24"/>
        </w:rPr>
      </w:pPr>
      <w:r w:rsidRPr="00FD7953">
        <w:rPr>
          <w:rFonts w:ascii="Cambria" w:eastAsia="Calibri" w:hAnsi="Cambria" w:cs="Arial"/>
          <w:sz w:val="24"/>
          <w:szCs w:val="24"/>
        </w:rPr>
        <w:t xml:space="preserve">Deberán crear todo el empleo necesario para la prestación de la actividad objeto de la subvención, que se realizará con personal contratado y afiliado a la Seguridad Social en el territorio nacional. </w:t>
      </w:r>
    </w:p>
    <w:p w:rsidR="00F12753" w:rsidRPr="00FD7953" w:rsidRDefault="00543C38" w:rsidP="00F12753">
      <w:pPr>
        <w:pStyle w:val="Prrafodelista"/>
        <w:numPr>
          <w:ilvl w:val="0"/>
          <w:numId w:val="14"/>
        </w:numPr>
        <w:autoSpaceDE w:val="0"/>
        <w:autoSpaceDN w:val="0"/>
        <w:adjustRightInd w:val="0"/>
        <w:spacing w:after="60"/>
        <w:ind w:left="426" w:hanging="284"/>
        <w:contextualSpacing w:val="0"/>
        <w:jc w:val="both"/>
        <w:rPr>
          <w:rFonts w:ascii="Cambria" w:eastAsia="Calibri" w:hAnsi="Cambria" w:cs="Arial"/>
          <w:sz w:val="24"/>
          <w:szCs w:val="24"/>
        </w:rPr>
      </w:pPr>
      <w:r w:rsidRPr="00FD7953">
        <w:rPr>
          <w:rFonts w:ascii="Cambria" w:eastAsia="Calibri" w:hAnsi="Cambria" w:cs="Arial"/>
          <w:sz w:val="24"/>
          <w:szCs w:val="24"/>
        </w:rPr>
        <w:t>Deberán contribuir a los objetivos de autonomía estratégica de la Unión Europea, así como garantizar la seguridad de la cadena de suministro teniendo en cuenta el contexto internacional y la disponibilidad de cualquier componente o subsistema tecnológico sensible que pueda formar parte de la solución, mediante la adquisición de equipos, componentes, integraciones de sistemas y software asociado a proveedores ubicados en la Unión Europea.</w:t>
      </w:r>
    </w:p>
    <w:p w:rsidR="00F12753" w:rsidRPr="00FD7953" w:rsidRDefault="00543C38" w:rsidP="00F12753">
      <w:pPr>
        <w:pStyle w:val="Prrafodelista"/>
        <w:numPr>
          <w:ilvl w:val="0"/>
          <w:numId w:val="14"/>
        </w:numPr>
        <w:autoSpaceDE w:val="0"/>
        <w:autoSpaceDN w:val="0"/>
        <w:adjustRightInd w:val="0"/>
        <w:spacing w:after="60"/>
        <w:ind w:left="426" w:hanging="284"/>
        <w:contextualSpacing w:val="0"/>
        <w:jc w:val="both"/>
        <w:rPr>
          <w:rFonts w:ascii="Cambria" w:eastAsia="Calibri" w:hAnsi="Cambria" w:cs="Arial"/>
          <w:sz w:val="24"/>
          <w:szCs w:val="24"/>
        </w:rPr>
      </w:pPr>
      <w:r w:rsidRPr="00FD7953">
        <w:rPr>
          <w:rFonts w:ascii="Cambria" w:eastAsia="Calibri" w:hAnsi="Cambria" w:cs="Arial"/>
          <w:sz w:val="24"/>
          <w:szCs w:val="24"/>
        </w:rPr>
        <w:t>Los beneficiarios deberán poner especial atención en el cumplimiento de la normativa relativa a la prevención de riesgos laborales y el respeto de los principios de igualdad y no discriminación.</w:t>
      </w:r>
    </w:p>
    <w:p w:rsidR="00623551" w:rsidRPr="00FD7953" w:rsidRDefault="00543C38" w:rsidP="00623551">
      <w:pPr>
        <w:pStyle w:val="Prrafodelista"/>
        <w:numPr>
          <w:ilvl w:val="0"/>
          <w:numId w:val="14"/>
        </w:numPr>
        <w:autoSpaceDE w:val="0"/>
        <w:autoSpaceDN w:val="0"/>
        <w:adjustRightInd w:val="0"/>
        <w:spacing w:after="60"/>
        <w:ind w:left="426" w:hanging="284"/>
        <w:contextualSpacing w:val="0"/>
        <w:jc w:val="both"/>
        <w:rPr>
          <w:rFonts w:ascii="Cambria" w:eastAsia="Calibri" w:hAnsi="Cambria" w:cs="Arial"/>
          <w:sz w:val="24"/>
          <w:szCs w:val="24"/>
        </w:rPr>
      </w:pPr>
      <w:r w:rsidRPr="00FD7953">
        <w:rPr>
          <w:rFonts w:ascii="Cambria" w:eastAsia="Calibri" w:hAnsi="Cambria" w:cs="Arial"/>
          <w:sz w:val="24"/>
          <w:szCs w:val="24"/>
        </w:rPr>
        <w:t>Deberán presentar informes de seguimiento sobre el avance técnico y económico del proyecto, con el calendario y contenido que se especifique en la resolución de concesión. Asimismo, deberán facilitar cuanta información adicional sobre el desarrollo del proyecto le sea expresamente solicitada por el órgano encargado del seguimiento de las ayudas.</w:t>
      </w:r>
    </w:p>
    <w:p w:rsidR="00623551" w:rsidRPr="00FD7953" w:rsidRDefault="00DE3BAF" w:rsidP="00623551">
      <w:pPr>
        <w:pStyle w:val="Prrafodelista"/>
        <w:numPr>
          <w:ilvl w:val="0"/>
          <w:numId w:val="14"/>
        </w:numPr>
        <w:autoSpaceDE w:val="0"/>
        <w:autoSpaceDN w:val="0"/>
        <w:adjustRightInd w:val="0"/>
        <w:spacing w:after="60"/>
        <w:ind w:left="426" w:hanging="284"/>
        <w:contextualSpacing w:val="0"/>
        <w:jc w:val="both"/>
        <w:rPr>
          <w:rFonts w:ascii="Cambria" w:eastAsia="Calibri" w:hAnsi="Cambria" w:cs="Arial"/>
          <w:sz w:val="24"/>
          <w:szCs w:val="24"/>
        </w:rPr>
      </w:pPr>
      <w:r w:rsidRPr="00FD7953">
        <w:rPr>
          <w:rFonts w:ascii="Cambria" w:eastAsia="Calibri" w:hAnsi="Cambria" w:cs="Arial"/>
          <w:sz w:val="24"/>
          <w:szCs w:val="24"/>
        </w:rPr>
        <w:t>Deberán cumplir lo especificado en el artículo 6 y en e</w:t>
      </w:r>
      <w:r w:rsidR="009001C4" w:rsidRPr="00FD7953">
        <w:rPr>
          <w:rFonts w:ascii="Cambria" w:eastAsia="Calibri" w:hAnsi="Cambria" w:cs="Arial"/>
          <w:sz w:val="24"/>
          <w:szCs w:val="24"/>
        </w:rPr>
        <w:t xml:space="preserve">l anexo II </w:t>
      </w:r>
      <w:r w:rsidRPr="00FD7953">
        <w:rPr>
          <w:rFonts w:ascii="Cambria" w:eastAsia="Calibri" w:hAnsi="Cambria" w:cs="Arial"/>
          <w:sz w:val="24"/>
          <w:szCs w:val="24"/>
        </w:rPr>
        <w:t xml:space="preserve">del Real Decreto 987/2021, de 16 de noviembre, en atención a la observancia del Plan de </w:t>
      </w:r>
      <w:r w:rsidR="009001C4" w:rsidRPr="00FD7953">
        <w:rPr>
          <w:rFonts w:ascii="Cambria" w:eastAsia="Calibri" w:hAnsi="Cambria" w:cs="Arial"/>
          <w:sz w:val="24"/>
          <w:szCs w:val="24"/>
        </w:rPr>
        <w:t>Recuperación</w:t>
      </w:r>
      <w:r w:rsidRPr="00FD7953">
        <w:rPr>
          <w:rFonts w:ascii="Cambria" w:eastAsia="Calibri" w:hAnsi="Cambria" w:cs="Arial"/>
          <w:sz w:val="24"/>
          <w:szCs w:val="24"/>
        </w:rPr>
        <w:t xml:space="preserve">, </w:t>
      </w:r>
      <w:r w:rsidR="009001C4" w:rsidRPr="00FD7953">
        <w:rPr>
          <w:rFonts w:ascii="Cambria" w:eastAsia="Calibri" w:hAnsi="Cambria" w:cs="Arial"/>
          <w:sz w:val="24"/>
          <w:szCs w:val="24"/>
        </w:rPr>
        <w:t>Transformación</w:t>
      </w:r>
      <w:r w:rsidRPr="00FD7953">
        <w:rPr>
          <w:rFonts w:ascii="Cambria" w:eastAsia="Calibri" w:hAnsi="Cambria" w:cs="Arial"/>
          <w:sz w:val="24"/>
          <w:szCs w:val="24"/>
        </w:rPr>
        <w:t xml:space="preserve"> y Resiliencia y otros criterios</w:t>
      </w:r>
      <w:r w:rsidR="00623551" w:rsidRPr="00FD7953">
        <w:rPr>
          <w:rFonts w:ascii="Cambria" w:eastAsia="Calibri" w:hAnsi="Cambria" w:cs="Arial"/>
          <w:sz w:val="24"/>
          <w:szCs w:val="24"/>
        </w:rPr>
        <w:t>.</w:t>
      </w:r>
    </w:p>
    <w:p w:rsidR="00623551" w:rsidRPr="00FD7953" w:rsidRDefault="00623551" w:rsidP="00623551">
      <w:pPr>
        <w:pStyle w:val="Prrafodelista"/>
        <w:numPr>
          <w:ilvl w:val="0"/>
          <w:numId w:val="14"/>
        </w:numPr>
        <w:autoSpaceDE w:val="0"/>
        <w:autoSpaceDN w:val="0"/>
        <w:adjustRightInd w:val="0"/>
        <w:spacing w:after="60"/>
        <w:ind w:left="426" w:hanging="284"/>
        <w:contextualSpacing w:val="0"/>
        <w:jc w:val="both"/>
        <w:rPr>
          <w:rFonts w:ascii="Cambria" w:eastAsia="Calibri" w:hAnsi="Cambria" w:cs="Arial"/>
          <w:sz w:val="24"/>
          <w:szCs w:val="24"/>
        </w:rPr>
      </w:pPr>
      <w:r w:rsidRPr="00FD7953">
        <w:rPr>
          <w:rFonts w:ascii="Cambria" w:eastAsia="Calibri" w:hAnsi="Cambria" w:cs="Arial"/>
          <w:sz w:val="24"/>
          <w:szCs w:val="24"/>
        </w:rPr>
        <w:t>Garantizarán el respeto al principio de DNSH y la metodología de seguimiento para la acción por el clima (coeficiente climático), conforme a lo previsto en el PRTR, en el Reglamento (UE) 2021/241 del Parlamento Europeo y del Consejo, de 12 de febrero de 2021, y su normativa de desarrollo, en particular la Comunicación de la Comisión Guía técnica sobre la aplicación del principio de DNSH en virtud del Reglamento relativo al Mecanismo de Recuperación y Resiliencia, así como con lo requerido en la Decisión de Ejecución del Consejo relativa a la aprobación de la evaluación del Plan de Recuperación, Transformación y Resiliencia de España.</w:t>
      </w:r>
    </w:p>
    <w:p w:rsidR="00623551" w:rsidRPr="00FD7953" w:rsidRDefault="00623551" w:rsidP="00623551">
      <w:pPr>
        <w:pStyle w:val="Prrafodelista"/>
        <w:numPr>
          <w:ilvl w:val="0"/>
          <w:numId w:val="14"/>
        </w:numPr>
        <w:autoSpaceDE w:val="0"/>
        <w:autoSpaceDN w:val="0"/>
        <w:adjustRightInd w:val="0"/>
        <w:spacing w:after="60"/>
        <w:ind w:left="426" w:hanging="284"/>
        <w:contextualSpacing w:val="0"/>
        <w:jc w:val="both"/>
        <w:rPr>
          <w:rFonts w:ascii="Cambria" w:eastAsia="Calibri" w:hAnsi="Cambria" w:cs="Arial"/>
          <w:sz w:val="24"/>
          <w:szCs w:val="24"/>
        </w:rPr>
      </w:pPr>
      <w:r w:rsidRPr="00FD7953">
        <w:rPr>
          <w:rFonts w:ascii="Cambria" w:eastAsia="Calibri" w:hAnsi="Cambria" w:cs="Arial"/>
          <w:sz w:val="24"/>
          <w:szCs w:val="24"/>
        </w:rPr>
        <w:t>Asegurarán la regularidad del gasto subyacente, garantizando el pleno respeto a la normativa reguladora de las ayudas de Estado y el cumplimiento de la normativa europea y nacional aplicable, en particular, la de contratos. A lo largo del proceso adoptarán medidas eficaces y proporcionadas relativas a evitar fraude, corrupción, conflicto de intereses o doble financiación.</w:t>
      </w:r>
    </w:p>
    <w:p w:rsidR="00623551" w:rsidRPr="00FD7953" w:rsidRDefault="00623551" w:rsidP="00623551">
      <w:pPr>
        <w:pStyle w:val="Prrafodelista"/>
        <w:numPr>
          <w:ilvl w:val="0"/>
          <w:numId w:val="14"/>
        </w:numPr>
        <w:autoSpaceDE w:val="0"/>
        <w:autoSpaceDN w:val="0"/>
        <w:adjustRightInd w:val="0"/>
        <w:spacing w:after="60"/>
        <w:ind w:left="426" w:hanging="284"/>
        <w:contextualSpacing w:val="0"/>
        <w:jc w:val="both"/>
        <w:rPr>
          <w:rFonts w:ascii="Cambria" w:eastAsia="Calibri" w:hAnsi="Cambria" w:cs="Arial"/>
          <w:sz w:val="24"/>
          <w:szCs w:val="24"/>
        </w:rPr>
      </w:pPr>
      <w:r w:rsidRPr="00FD7953">
        <w:rPr>
          <w:rFonts w:ascii="Cambria" w:eastAsia="Calibri" w:hAnsi="Cambria" w:cs="Arial"/>
          <w:sz w:val="24"/>
          <w:szCs w:val="24"/>
        </w:rPr>
        <w:t>Asumirán la formación y mantenimiento de una adecuada pista de auditoría de las actuaciones realizadas en el marco de esta subvención, y suministrarán la información y documentación de soporte precisa para que las autoridades competentes puedan comprobar el efectivo cumplimiento de las obligaciones de la entidad beneficiaria. Tal suministro se realizará en los términos, formato y condiciones que se establezcan de conformidad con la normativa nacional y de la Unión Europea. En particular, deberán suministrar toda la información que sea precisa en los sistemas de información y seguimiento del Mecanismo de Recuperación y Resiliencia.</w:t>
      </w:r>
    </w:p>
    <w:p w:rsidR="00623551" w:rsidRPr="00FD7953" w:rsidRDefault="00623551" w:rsidP="00623551">
      <w:pPr>
        <w:pStyle w:val="Prrafodelista"/>
        <w:numPr>
          <w:ilvl w:val="0"/>
          <w:numId w:val="14"/>
        </w:numPr>
        <w:autoSpaceDE w:val="0"/>
        <w:autoSpaceDN w:val="0"/>
        <w:adjustRightInd w:val="0"/>
        <w:spacing w:after="60"/>
        <w:ind w:left="426" w:hanging="284"/>
        <w:contextualSpacing w:val="0"/>
        <w:jc w:val="both"/>
        <w:rPr>
          <w:rFonts w:ascii="Cambria" w:eastAsia="Calibri" w:hAnsi="Cambria" w:cs="Arial"/>
          <w:sz w:val="24"/>
          <w:szCs w:val="24"/>
        </w:rPr>
      </w:pPr>
      <w:r w:rsidRPr="00FD7953">
        <w:rPr>
          <w:rFonts w:ascii="Cambria" w:eastAsia="Calibri" w:hAnsi="Cambria" w:cs="Arial"/>
          <w:sz w:val="24"/>
          <w:szCs w:val="24"/>
        </w:rPr>
        <w:t xml:space="preserve">Custodiarán y conservarán la documentación de la actividad financiada por el Mecanismo de Recuperación y Resiliencia de conformidad con el artículo 132 del Reglamento (UE, </w:t>
      </w:r>
      <w:proofErr w:type="spellStart"/>
      <w:r w:rsidRPr="00FD7953">
        <w:rPr>
          <w:rFonts w:ascii="Cambria" w:eastAsia="Calibri" w:hAnsi="Cambria" w:cs="Arial"/>
          <w:sz w:val="24"/>
          <w:szCs w:val="24"/>
        </w:rPr>
        <w:t>Euratom</w:t>
      </w:r>
      <w:proofErr w:type="spellEnd"/>
      <w:r w:rsidRPr="00FD7953">
        <w:rPr>
          <w:rFonts w:ascii="Cambria" w:eastAsia="Calibri" w:hAnsi="Cambria" w:cs="Arial"/>
          <w:sz w:val="24"/>
          <w:szCs w:val="24"/>
        </w:rPr>
        <w:t>) 2018/1046 del Parlamento Europeo y del Consejo, de 18 de julio de 2018, sobre las normas financieras aplicables al presupuesto general de la Unión.</w:t>
      </w:r>
    </w:p>
    <w:p w:rsidR="00623551" w:rsidRPr="00FD7953" w:rsidRDefault="00623551" w:rsidP="00623551">
      <w:pPr>
        <w:pStyle w:val="Prrafodelista"/>
        <w:numPr>
          <w:ilvl w:val="0"/>
          <w:numId w:val="14"/>
        </w:numPr>
        <w:autoSpaceDE w:val="0"/>
        <w:autoSpaceDN w:val="0"/>
        <w:adjustRightInd w:val="0"/>
        <w:spacing w:after="60"/>
        <w:ind w:left="426" w:hanging="284"/>
        <w:contextualSpacing w:val="0"/>
        <w:jc w:val="both"/>
        <w:rPr>
          <w:rFonts w:ascii="Cambria" w:eastAsia="Calibri" w:hAnsi="Cambria" w:cs="Arial"/>
          <w:sz w:val="24"/>
          <w:szCs w:val="24"/>
        </w:rPr>
      </w:pPr>
      <w:r w:rsidRPr="00FD7953">
        <w:rPr>
          <w:rFonts w:ascii="Cambria" w:eastAsia="Calibri" w:hAnsi="Cambria" w:cs="Arial"/>
          <w:sz w:val="24"/>
          <w:szCs w:val="24"/>
        </w:rPr>
        <w:t>Garantizarán que la actuación financiada cumpla las condiciones de durabilidad que se pudieran determinar en el marco del Mecanismo de Recuperación y Resiliencia o, en su defecto, las que se prevén en el artículo 31 de la Ley 38/2003, de 17 de noviembre.</w:t>
      </w:r>
    </w:p>
    <w:p w:rsidR="00623551" w:rsidRPr="00FD7953" w:rsidRDefault="00623551" w:rsidP="00623551">
      <w:pPr>
        <w:pStyle w:val="Prrafodelista"/>
        <w:numPr>
          <w:ilvl w:val="0"/>
          <w:numId w:val="14"/>
        </w:numPr>
        <w:autoSpaceDE w:val="0"/>
        <w:autoSpaceDN w:val="0"/>
        <w:adjustRightInd w:val="0"/>
        <w:spacing w:after="60"/>
        <w:ind w:left="426" w:hanging="284"/>
        <w:contextualSpacing w:val="0"/>
        <w:jc w:val="both"/>
        <w:rPr>
          <w:rFonts w:ascii="Cambria" w:eastAsia="Calibri" w:hAnsi="Cambria" w:cs="Arial"/>
          <w:sz w:val="24"/>
          <w:szCs w:val="24"/>
        </w:rPr>
      </w:pPr>
      <w:r w:rsidRPr="00FD7953">
        <w:rPr>
          <w:rFonts w:ascii="Cambria" w:eastAsia="Calibri" w:hAnsi="Cambria" w:cs="Arial"/>
          <w:sz w:val="24"/>
          <w:szCs w:val="24"/>
        </w:rPr>
        <w:t>Cumplirán con las obligaciones de las entidades ejecutoras en materia de información y de sistema informático establecidas en el artículo 3 de la Orden HFP/1030/2021, de 29 de septiembre, así como en la Orden HFP/1031/2021, de 29 de septiembre.</w:t>
      </w:r>
    </w:p>
    <w:p w:rsidR="00623551" w:rsidRDefault="00623551" w:rsidP="00623551">
      <w:pPr>
        <w:pStyle w:val="Prrafodelista"/>
        <w:numPr>
          <w:ilvl w:val="0"/>
          <w:numId w:val="14"/>
        </w:numPr>
        <w:autoSpaceDE w:val="0"/>
        <w:autoSpaceDN w:val="0"/>
        <w:adjustRightInd w:val="0"/>
        <w:spacing w:after="60"/>
        <w:ind w:left="426" w:hanging="284"/>
        <w:contextualSpacing w:val="0"/>
        <w:jc w:val="both"/>
        <w:rPr>
          <w:rFonts w:ascii="Cambria" w:eastAsia="Calibri" w:hAnsi="Cambria" w:cs="Arial"/>
          <w:sz w:val="24"/>
          <w:szCs w:val="24"/>
        </w:rPr>
      </w:pPr>
      <w:r w:rsidRPr="00FD7953">
        <w:rPr>
          <w:rFonts w:ascii="Cambria" w:eastAsia="Calibri" w:hAnsi="Cambria" w:cs="Arial"/>
          <w:sz w:val="24"/>
          <w:szCs w:val="24"/>
        </w:rPr>
        <w:t>Llevarán a cabo las actuaciones dirigidas a la identificación de los perceptores finales de los fondos y a las obligaciones que estos tienen aparejadas en relación con la ejecución de fondos procedentes del MRR, según establece el artículo 2.2.f) de la Orden HFP/1030/2021, de 29 de septiembre y la Resolución 1/2022, de 12 de abril, de la Secretaría General de Fondos Europeos</w:t>
      </w:r>
    </w:p>
    <w:p w:rsidR="002C3A7B" w:rsidRPr="008B3F85" w:rsidRDefault="002C3A7B" w:rsidP="00623551">
      <w:pPr>
        <w:pStyle w:val="Prrafodelista"/>
        <w:numPr>
          <w:ilvl w:val="0"/>
          <w:numId w:val="14"/>
        </w:numPr>
        <w:autoSpaceDE w:val="0"/>
        <w:autoSpaceDN w:val="0"/>
        <w:adjustRightInd w:val="0"/>
        <w:spacing w:after="60"/>
        <w:ind w:left="426" w:hanging="284"/>
        <w:contextualSpacing w:val="0"/>
        <w:jc w:val="both"/>
        <w:rPr>
          <w:rFonts w:ascii="Cambria" w:eastAsia="Calibri" w:hAnsi="Cambria" w:cs="Arial"/>
          <w:sz w:val="24"/>
          <w:szCs w:val="24"/>
        </w:rPr>
      </w:pPr>
      <w:r w:rsidRPr="008B3F85">
        <w:rPr>
          <w:rFonts w:ascii="Cambria" w:eastAsia="Calibri" w:hAnsi="Cambria" w:cs="Arial"/>
          <w:sz w:val="24"/>
          <w:szCs w:val="24"/>
        </w:rPr>
        <w:t>Deberán registrar los contratos financiados con estas subvenciones en la Plataforma de Contratación del Sector Público, conforme establece artículo 3 del RD Ley 36/2020</w:t>
      </w:r>
      <w:r w:rsidR="008B3F85">
        <w:rPr>
          <w:rFonts w:ascii="Cambria" w:eastAsia="Calibri" w:hAnsi="Cambria" w:cs="Arial"/>
          <w:sz w:val="24"/>
          <w:szCs w:val="24"/>
        </w:rPr>
        <w:t>,</w:t>
      </w:r>
      <w:r w:rsidRPr="008B3F85">
        <w:rPr>
          <w:rFonts w:ascii="Cambria" w:eastAsia="Calibri" w:hAnsi="Cambria" w:cs="Arial"/>
          <w:sz w:val="24"/>
          <w:szCs w:val="24"/>
        </w:rPr>
        <w:t xml:space="preserve"> de 30 de diciembre</w:t>
      </w:r>
      <w:r w:rsidR="008B3F85">
        <w:rPr>
          <w:rFonts w:ascii="Cambria" w:eastAsia="Calibri" w:hAnsi="Cambria" w:cs="Arial"/>
          <w:sz w:val="24"/>
          <w:szCs w:val="24"/>
        </w:rPr>
        <w:t>,</w:t>
      </w:r>
      <w:r w:rsidRPr="008B3F85">
        <w:rPr>
          <w:rFonts w:ascii="Cambria" w:eastAsia="Calibri" w:hAnsi="Cambria" w:cs="Arial"/>
          <w:sz w:val="24"/>
          <w:szCs w:val="24"/>
        </w:rPr>
        <w:t xml:space="preserve"> de medidas urgentes para la modernización de la Administración Pública y para la ejecución del Plan de Recuperación, Transformación y Resiliencia.</w:t>
      </w:r>
    </w:p>
    <w:p w:rsidR="008A5F16" w:rsidRPr="00FD7953" w:rsidRDefault="002473AD" w:rsidP="00E339E9">
      <w:pPr>
        <w:autoSpaceDE w:val="0"/>
        <w:autoSpaceDN w:val="0"/>
        <w:adjustRightInd w:val="0"/>
        <w:spacing w:before="200"/>
        <w:jc w:val="both"/>
        <w:rPr>
          <w:rFonts w:ascii="Cambria" w:hAnsi="Cambria" w:cs="Arial"/>
          <w:b/>
          <w:sz w:val="24"/>
          <w:szCs w:val="24"/>
        </w:rPr>
      </w:pPr>
      <w:r w:rsidRPr="00FD7953">
        <w:rPr>
          <w:rFonts w:ascii="Cambria" w:hAnsi="Cambria" w:cs="Arial"/>
          <w:b/>
          <w:sz w:val="24"/>
          <w:szCs w:val="24"/>
        </w:rPr>
        <w:t>Decimoquinto</w:t>
      </w:r>
      <w:r w:rsidR="008A5F16" w:rsidRPr="00FD7953">
        <w:rPr>
          <w:rFonts w:ascii="Cambria" w:hAnsi="Cambria" w:cs="Arial"/>
          <w:b/>
          <w:sz w:val="24"/>
          <w:szCs w:val="24"/>
        </w:rPr>
        <w:t>. Publicidad.</w:t>
      </w:r>
    </w:p>
    <w:p w:rsidR="008A5F16" w:rsidRPr="00FD7953" w:rsidRDefault="00E339E9" w:rsidP="008A5F16">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1. </w:t>
      </w:r>
      <w:r w:rsidR="008A5F16" w:rsidRPr="00FD7953">
        <w:rPr>
          <w:rFonts w:ascii="Cambria" w:hAnsi="Cambria" w:cs="Arial"/>
          <w:sz w:val="24"/>
          <w:szCs w:val="24"/>
        </w:rPr>
        <w:t>La publicidad de las ayudas concedidas se llevará a cabo según lo dispuesto en el artículo 18 de la Ley 38/2003, de 17 de noviembre, mediante su publicación en la Base de Datos Nacional de Subvenciones, de conformidad con lo dispuesto en el Real Decreto 130/2019, de 8 de marzo, por el que se regula la Base de Datos Nacional de Subvenciones y la publicidad de las subvenciones y demás ayudas públicas.</w:t>
      </w:r>
    </w:p>
    <w:p w:rsidR="00F67734" w:rsidRPr="00FD7953" w:rsidRDefault="00E339E9" w:rsidP="00F67734">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2. </w:t>
      </w:r>
      <w:r w:rsidR="00F67734" w:rsidRPr="00FD7953">
        <w:rPr>
          <w:rFonts w:ascii="Cambria" w:hAnsi="Cambria" w:cs="Arial"/>
          <w:sz w:val="24"/>
          <w:szCs w:val="24"/>
        </w:rPr>
        <w:t xml:space="preserve">Toda referencia a la actuación objeto de las ayudas reguladas por las presentes bases, en  publicaciones, material </w:t>
      </w:r>
      <w:proofErr w:type="spellStart"/>
      <w:r w:rsidR="00F67734" w:rsidRPr="00FD7953">
        <w:rPr>
          <w:rFonts w:ascii="Cambria" w:hAnsi="Cambria" w:cs="Arial"/>
          <w:sz w:val="24"/>
          <w:szCs w:val="24"/>
        </w:rPr>
        <w:t>inventariable</w:t>
      </w:r>
      <w:proofErr w:type="spellEnd"/>
      <w:r w:rsidR="00F67734" w:rsidRPr="00FD7953">
        <w:rPr>
          <w:rFonts w:ascii="Cambria" w:hAnsi="Cambria" w:cs="Arial"/>
          <w:sz w:val="24"/>
          <w:szCs w:val="24"/>
        </w:rPr>
        <w:t xml:space="preserve">, actividades de difusión, páginas web y otros resultados,  y en general, en cualesquiera medios de difusión, deberá cumplir con los requisitos que figuren en los Manuales de Marca y de comunicación para gestores y beneficiarios de los Fondos  del PRTR, los cuales están disponibles en la Web de la Secretaría General de Fondos Europeos  del Ministerio de Hacienda y Función Pública </w:t>
      </w:r>
      <w:hyperlink r:id="rId13" w:history="1">
        <w:r w:rsidR="00F67734" w:rsidRPr="00FD7953">
          <w:rPr>
            <w:rStyle w:val="Hipervnculo"/>
            <w:rFonts w:ascii="Cambria" w:hAnsi="Cambria" w:cs="Arial"/>
            <w:sz w:val="24"/>
            <w:szCs w:val="24"/>
          </w:rPr>
          <w:t>www.fondoseuropeos.hacienda.gob.es</w:t>
        </w:r>
      </w:hyperlink>
      <w:r w:rsidR="00F67734" w:rsidRPr="00FD7953">
        <w:rPr>
          <w:rFonts w:ascii="Cambria" w:hAnsi="Cambria" w:cs="Arial"/>
          <w:sz w:val="24"/>
          <w:szCs w:val="24"/>
        </w:rPr>
        <w:t>. Deberán  figurar los logos del Ministerio de Asuntos Económicos y Transformación Digital como entidad financiadora, y el presente Programa UNICO ‒ Servicios Públicos, en el marco del Plan de Recuperación, Transformación y Resiliencia, y el Mecanismo de Recuperación y Resiliencia, todo ello conforme a lo que se establezca al respecto, en particular lo establecido en el artículo 34.2 del Reglamento (UE) 2021/24, y en los términos previstos en el artículo 18.4 de la Ley 38/2003, de 17 de noviembre, y en el artículo 31 de su Reglamento, aprobado por Real Decreto 887/2006, de 21 de julio.</w:t>
      </w:r>
    </w:p>
    <w:p w:rsidR="008A5F16" w:rsidRPr="00FD7953" w:rsidRDefault="00E339E9" w:rsidP="008A5F16">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 xml:space="preserve">3. </w:t>
      </w:r>
      <w:r w:rsidR="008A5F16" w:rsidRPr="00FD7953">
        <w:rPr>
          <w:rFonts w:ascii="Cambria" w:hAnsi="Cambria" w:cs="Arial"/>
          <w:sz w:val="24"/>
          <w:szCs w:val="24"/>
        </w:rPr>
        <w:t xml:space="preserve">De acuerdo con lo anterior, y de conformidad con lo previsto en el artículo 9 de la Orden HFP/1030/2021, de 29 de septiembre, por la que se configura el sistema de gestión del Plan de Recuperación, Transformación y Resiliencia, deberá exhibirse de forma correcta y destacada el emblema de la UE con una declaración de financiación adecuada que diga «financiado por la Unión Europea - </w:t>
      </w:r>
      <w:proofErr w:type="spellStart"/>
      <w:r w:rsidR="008A5F16" w:rsidRPr="00FD7953">
        <w:rPr>
          <w:rFonts w:ascii="Cambria" w:hAnsi="Cambria" w:cs="Arial"/>
          <w:sz w:val="24"/>
          <w:szCs w:val="24"/>
        </w:rPr>
        <w:t>NextGenerationEU</w:t>
      </w:r>
      <w:proofErr w:type="spellEnd"/>
      <w:r w:rsidR="008A5F16" w:rsidRPr="00FD7953">
        <w:rPr>
          <w:rFonts w:ascii="Cambria" w:hAnsi="Cambria" w:cs="Arial"/>
          <w:sz w:val="24"/>
          <w:szCs w:val="24"/>
        </w:rPr>
        <w:t>», junto al logotipo del PRTR, disponible en el link</w:t>
      </w:r>
      <w:r w:rsidRPr="00FD7953">
        <w:rPr>
          <w:rFonts w:ascii="Cambria" w:hAnsi="Cambria" w:cs="Arial"/>
          <w:sz w:val="24"/>
          <w:szCs w:val="24"/>
        </w:rPr>
        <w:t>:</w:t>
      </w:r>
      <w:r w:rsidR="008A5F16" w:rsidRPr="00FD7953">
        <w:rPr>
          <w:rFonts w:ascii="Cambria" w:hAnsi="Cambria" w:cs="Arial"/>
          <w:sz w:val="24"/>
          <w:szCs w:val="24"/>
        </w:rPr>
        <w:t xml:space="preserve"> </w:t>
      </w:r>
      <w:hyperlink r:id="rId14" w:history="1">
        <w:r w:rsidRPr="00FD7953">
          <w:rPr>
            <w:rStyle w:val="Hipervnculo"/>
            <w:rFonts w:ascii="Cambria" w:hAnsi="Cambria" w:cs="Arial"/>
            <w:sz w:val="24"/>
            <w:szCs w:val="24"/>
          </w:rPr>
          <w:t>https://planderecuperacion.gob.es/identidad-visual</w:t>
        </w:r>
      </w:hyperlink>
      <w:r w:rsidRPr="00FD7953">
        <w:rPr>
          <w:rFonts w:ascii="Cambria" w:hAnsi="Cambria" w:cs="Arial"/>
          <w:sz w:val="24"/>
          <w:szCs w:val="24"/>
        </w:rPr>
        <w:t xml:space="preserve"> </w:t>
      </w:r>
    </w:p>
    <w:p w:rsidR="008A5F16" w:rsidRPr="00FD7953" w:rsidRDefault="008A5F16" w:rsidP="008A5F16">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Además, las instalaciones correspondientes a los ámbitos materiales de actuación objeto de ayudas deberán estar señalizadas de acuerdo con lo que se indique en el Manual a que hace referencia el apartado anterior.</w:t>
      </w:r>
    </w:p>
    <w:p w:rsidR="00AD2BC8" w:rsidRPr="00FD7953" w:rsidRDefault="00D97F2E" w:rsidP="00AD2BC8">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4</w:t>
      </w:r>
      <w:r w:rsidR="00AD2BC8" w:rsidRPr="00FD7953">
        <w:rPr>
          <w:rFonts w:ascii="Cambria" w:hAnsi="Cambria" w:cs="Arial"/>
          <w:sz w:val="24"/>
          <w:szCs w:val="24"/>
        </w:rPr>
        <w:t xml:space="preserve">. En cualquier tipo de contrato o encargo relacionado con la ejecución de la actuación, incluida la subcontratación, las entidades beneficiarias deberán hacer constar «Plan de Recuperación, Transformación y Resiliencia-Financiado por la Unión </w:t>
      </w:r>
      <w:proofErr w:type="spellStart"/>
      <w:r w:rsidR="00AD2BC8" w:rsidRPr="00FD7953">
        <w:rPr>
          <w:rFonts w:ascii="Cambria" w:hAnsi="Cambria" w:cs="Arial"/>
          <w:sz w:val="24"/>
          <w:szCs w:val="24"/>
        </w:rPr>
        <w:t>EuropeaNextGenerationEU</w:t>
      </w:r>
      <w:proofErr w:type="spellEnd"/>
      <w:r w:rsidR="00AD2BC8" w:rsidRPr="00FD7953">
        <w:rPr>
          <w:rFonts w:ascii="Cambria" w:hAnsi="Cambria" w:cs="Arial"/>
          <w:sz w:val="24"/>
          <w:szCs w:val="24"/>
        </w:rPr>
        <w:t>», Mecanismo de Recuperación y Resiliencia, establecido por el Reglamento (UE) 2021/241 del Parlamento Europeo y del Consejo, de 12 de febrero de 2021, así como la referencia al Componente 15, Inversión 2, del PRTR. Tal mención también deberá ser incluida en todos los documentos que sustenten la contratación de los bienes y/o servicios a prestar.</w:t>
      </w:r>
    </w:p>
    <w:p w:rsidR="00AD2BC8" w:rsidRPr="00FD7953" w:rsidRDefault="00D97F2E" w:rsidP="00AD2BC8">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5</w:t>
      </w:r>
      <w:r w:rsidR="00AD2BC8" w:rsidRPr="00FD7953">
        <w:rPr>
          <w:rFonts w:ascii="Cambria" w:hAnsi="Cambria" w:cs="Arial"/>
          <w:sz w:val="24"/>
          <w:szCs w:val="24"/>
        </w:rPr>
        <w:t>. A efectos de auditoría y control y según lo establecido en el artículo 22 del Reglamento (UE) 2021/241 del Parlamento Europeo y del Consejo, de 12 de febrero de 2021, los datos de los perceptores finales de estas ayudas serán públicos.</w:t>
      </w:r>
    </w:p>
    <w:p w:rsidR="008A5F16" w:rsidRPr="00FD7953" w:rsidRDefault="002473AD" w:rsidP="00E339E9">
      <w:pPr>
        <w:autoSpaceDE w:val="0"/>
        <w:autoSpaceDN w:val="0"/>
        <w:adjustRightInd w:val="0"/>
        <w:spacing w:before="200"/>
        <w:jc w:val="both"/>
        <w:rPr>
          <w:rFonts w:ascii="Cambria" w:hAnsi="Cambria" w:cs="Arial"/>
          <w:b/>
          <w:sz w:val="24"/>
          <w:szCs w:val="24"/>
        </w:rPr>
      </w:pPr>
      <w:r w:rsidRPr="00FD7953">
        <w:rPr>
          <w:rFonts w:ascii="Cambria" w:hAnsi="Cambria" w:cs="Arial"/>
          <w:b/>
          <w:sz w:val="24"/>
          <w:szCs w:val="24"/>
        </w:rPr>
        <w:t>Decimosexto</w:t>
      </w:r>
      <w:r w:rsidR="008A5F16" w:rsidRPr="00FD7953">
        <w:rPr>
          <w:rFonts w:ascii="Cambria" w:hAnsi="Cambria" w:cs="Arial"/>
          <w:b/>
          <w:sz w:val="24"/>
          <w:szCs w:val="24"/>
        </w:rPr>
        <w:t>. Incumplimientos: régimen de revocación y reintegro.</w:t>
      </w:r>
    </w:p>
    <w:p w:rsidR="008A5F16" w:rsidRPr="0060424A" w:rsidRDefault="00B07FBD" w:rsidP="0060424A">
      <w:pPr>
        <w:autoSpaceDE w:val="0"/>
        <w:autoSpaceDN w:val="0"/>
        <w:adjustRightInd w:val="0"/>
        <w:spacing w:before="120" w:after="120"/>
        <w:jc w:val="both"/>
        <w:rPr>
          <w:rFonts w:ascii="Cambria" w:hAnsi="Cambria" w:cs="Arial"/>
          <w:sz w:val="24"/>
          <w:szCs w:val="24"/>
        </w:rPr>
      </w:pPr>
      <w:r>
        <w:rPr>
          <w:rFonts w:ascii="Cambria" w:hAnsi="Cambria" w:cs="Arial"/>
          <w:sz w:val="24"/>
          <w:szCs w:val="24"/>
        </w:rPr>
        <w:t xml:space="preserve">1. </w:t>
      </w:r>
      <w:r w:rsidR="008A5F16" w:rsidRPr="0060424A">
        <w:rPr>
          <w:rFonts w:ascii="Cambria" w:hAnsi="Cambria" w:cs="Arial"/>
          <w:sz w:val="24"/>
          <w:szCs w:val="24"/>
        </w:rPr>
        <w:t xml:space="preserve">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tipificadas en el artículo 38 de la Ley 10/2006, de 17 de julio, de Subvenciones de Cantabria y las demás previstas por las leyes. El procedimiento de reintegro se ajustará a lo establecido en el capítulo II del título II de dicha Ley. </w:t>
      </w:r>
    </w:p>
    <w:p w:rsidR="0078060F" w:rsidRPr="008B3F85" w:rsidRDefault="00346F96" w:rsidP="00346F96">
      <w:pPr>
        <w:autoSpaceDE w:val="0"/>
        <w:autoSpaceDN w:val="0"/>
        <w:adjustRightInd w:val="0"/>
        <w:spacing w:before="120" w:after="120"/>
        <w:jc w:val="both"/>
        <w:rPr>
          <w:rFonts w:ascii="Cambria" w:hAnsi="Cambria" w:cs="Arial"/>
          <w:sz w:val="24"/>
          <w:szCs w:val="24"/>
        </w:rPr>
      </w:pPr>
      <w:bookmarkStart w:id="6" w:name="_Hlk129774493"/>
      <w:r w:rsidRPr="008B3F85">
        <w:rPr>
          <w:rFonts w:ascii="Cambria" w:hAnsi="Cambria" w:cs="Arial"/>
          <w:sz w:val="24"/>
          <w:szCs w:val="24"/>
        </w:rPr>
        <w:t xml:space="preserve">2. </w:t>
      </w:r>
      <w:r w:rsidR="0078060F" w:rsidRPr="008B3F85">
        <w:rPr>
          <w:rFonts w:ascii="Cambria" w:hAnsi="Cambria" w:cs="Arial"/>
          <w:sz w:val="24"/>
          <w:szCs w:val="24"/>
        </w:rPr>
        <w:t>En el caso de que la inversión y los gastos comprometidos</w:t>
      </w:r>
      <w:r w:rsidR="0058398E" w:rsidRPr="008B3F85">
        <w:rPr>
          <w:rFonts w:ascii="Cambria" w:hAnsi="Cambria" w:cs="Arial"/>
          <w:sz w:val="24"/>
          <w:szCs w:val="24"/>
        </w:rPr>
        <w:t xml:space="preserve"> en la solicitud objeto de concesión fueran s</w:t>
      </w:r>
      <w:r w:rsidR="0078060F" w:rsidRPr="008B3F85">
        <w:rPr>
          <w:rFonts w:ascii="Cambria" w:hAnsi="Cambria" w:cs="Arial"/>
          <w:sz w:val="24"/>
          <w:szCs w:val="24"/>
        </w:rPr>
        <w:t>uper</w:t>
      </w:r>
      <w:r w:rsidR="0058398E" w:rsidRPr="008B3F85">
        <w:rPr>
          <w:rFonts w:ascii="Cambria" w:hAnsi="Cambria" w:cs="Arial"/>
          <w:sz w:val="24"/>
          <w:szCs w:val="24"/>
        </w:rPr>
        <w:t xml:space="preserve">iores </w:t>
      </w:r>
      <w:r w:rsidR="00752254" w:rsidRPr="008B3F85">
        <w:rPr>
          <w:rFonts w:ascii="Cambria" w:hAnsi="Cambria" w:cs="Arial"/>
          <w:sz w:val="24"/>
          <w:szCs w:val="24"/>
        </w:rPr>
        <w:t xml:space="preserve">o iguales </w:t>
      </w:r>
      <w:r w:rsidR="0058398E" w:rsidRPr="008B3F85">
        <w:rPr>
          <w:rFonts w:ascii="Cambria" w:hAnsi="Cambria" w:cs="Arial"/>
          <w:sz w:val="24"/>
          <w:szCs w:val="24"/>
        </w:rPr>
        <w:t>a</w:t>
      </w:r>
      <w:r w:rsidR="0078060F" w:rsidRPr="008B3F85">
        <w:rPr>
          <w:rFonts w:ascii="Cambria" w:hAnsi="Cambria" w:cs="Arial"/>
          <w:sz w:val="24"/>
          <w:szCs w:val="24"/>
        </w:rPr>
        <w:t xml:space="preserve"> la subvención máxima, si en la justificación </w:t>
      </w:r>
      <w:r w:rsidR="0058398E" w:rsidRPr="008B3F85">
        <w:rPr>
          <w:rFonts w:ascii="Cambria" w:hAnsi="Cambria" w:cs="Arial"/>
          <w:sz w:val="24"/>
          <w:szCs w:val="24"/>
        </w:rPr>
        <w:t xml:space="preserve">de las actuaciones realizadas </w:t>
      </w:r>
      <w:r w:rsidR="0078060F" w:rsidRPr="008B3F85">
        <w:rPr>
          <w:rFonts w:ascii="Cambria" w:hAnsi="Cambria" w:cs="Arial"/>
          <w:sz w:val="24"/>
          <w:szCs w:val="24"/>
        </w:rPr>
        <w:t xml:space="preserve">se acredita el cumplimiento de los hitos y objetivos con una inversión </w:t>
      </w:r>
      <w:r w:rsidR="0058398E" w:rsidRPr="008B3F85">
        <w:rPr>
          <w:rFonts w:ascii="Cambria" w:hAnsi="Cambria" w:cs="Arial"/>
          <w:sz w:val="24"/>
          <w:szCs w:val="24"/>
        </w:rPr>
        <w:t xml:space="preserve">y gastos </w:t>
      </w:r>
      <w:r w:rsidR="0078060F" w:rsidRPr="008B3F85">
        <w:rPr>
          <w:rFonts w:ascii="Cambria" w:hAnsi="Cambria" w:cs="Arial"/>
          <w:sz w:val="24"/>
          <w:szCs w:val="24"/>
        </w:rPr>
        <w:t xml:space="preserve">inferior </w:t>
      </w:r>
      <w:r w:rsidR="0058398E" w:rsidRPr="008B3F85">
        <w:rPr>
          <w:rFonts w:ascii="Cambria" w:hAnsi="Cambria" w:cs="Arial"/>
          <w:sz w:val="24"/>
          <w:szCs w:val="24"/>
        </w:rPr>
        <w:t xml:space="preserve">a </w:t>
      </w:r>
      <w:r w:rsidR="0078060F" w:rsidRPr="008B3F85">
        <w:rPr>
          <w:rFonts w:ascii="Cambria" w:hAnsi="Cambria" w:cs="Arial"/>
          <w:sz w:val="24"/>
          <w:szCs w:val="24"/>
        </w:rPr>
        <w:t>l</w:t>
      </w:r>
      <w:r w:rsidR="0060424A" w:rsidRPr="008B3F85">
        <w:rPr>
          <w:rFonts w:ascii="Cambria" w:hAnsi="Cambria" w:cs="Arial"/>
          <w:sz w:val="24"/>
          <w:szCs w:val="24"/>
        </w:rPr>
        <w:t>os</w:t>
      </w:r>
      <w:r w:rsidR="0078060F" w:rsidRPr="008B3F85">
        <w:rPr>
          <w:rFonts w:ascii="Cambria" w:hAnsi="Cambria" w:cs="Arial"/>
          <w:sz w:val="24"/>
          <w:szCs w:val="24"/>
        </w:rPr>
        <w:t xml:space="preserve"> comprometid</w:t>
      </w:r>
      <w:r w:rsidR="0060424A" w:rsidRPr="008B3F85">
        <w:rPr>
          <w:rFonts w:ascii="Cambria" w:hAnsi="Cambria" w:cs="Arial"/>
          <w:sz w:val="24"/>
          <w:szCs w:val="24"/>
        </w:rPr>
        <w:t>os</w:t>
      </w:r>
      <w:r w:rsidR="0078060F" w:rsidRPr="008B3F85">
        <w:rPr>
          <w:rFonts w:ascii="Cambria" w:hAnsi="Cambria" w:cs="Arial"/>
          <w:sz w:val="24"/>
          <w:szCs w:val="24"/>
        </w:rPr>
        <w:t xml:space="preserve">, no </w:t>
      </w:r>
      <w:r w:rsidR="0060424A" w:rsidRPr="008B3F85">
        <w:rPr>
          <w:rFonts w:ascii="Cambria" w:hAnsi="Cambria" w:cs="Arial"/>
          <w:sz w:val="24"/>
          <w:szCs w:val="24"/>
        </w:rPr>
        <w:t>será objeto de</w:t>
      </w:r>
      <w:r w:rsidR="0078060F" w:rsidRPr="008B3F85">
        <w:rPr>
          <w:rFonts w:ascii="Cambria" w:hAnsi="Cambria" w:cs="Arial"/>
          <w:sz w:val="24"/>
          <w:szCs w:val="24"/>
        </w:rPr>
        <w:t xml:space="preserve"> reintegro</w:t>
      </w:r>
      <w:r w:rsidR="0060424A" w:rsidRPr="008B3F85">
        <w:rPr>
          <w:rFonts w:ascii="Cambria" w:hAnsi="Cambria" w:cs="Arial"/>
          <w:sz w:val="24"/>
          <w:szCs w:val="24"/>
        </w:rPr>
        <w:t xml:space="preserve">, </w:t>
      </w:r>
      <w:r w:rsidR="0078060F" w:rsidRPr="008B3F85">
        <w:rPr>
          <w:rFonts w:ascii="Cambria" w:hAnsi="Cambria" w:cs="Arial"/>
          <w:sz w:val="24"/>
          <w:szCs w:val="24"/>
        </w:rPr>
        <w:t xml:space="preserve"> excepto en el caso de que la justificación alcance un importe inferior a la subvención máxima, en cuyo caso, procederá el reintegro de la diferencia entre la subvención concedida y la cantidad finalmente justificada.</w:t>
      </w:r>
    </w:p>
    <w:p w:rsidR="0060424A" w:rsidRDefault="0060424A" w:rsidP="0060424A">
      <w:pPr>
        <w:autoSpaceDE w:val="0"/>
        <w:autoSpaceDN w:val="0"/>
        <w:adjustRightInd w:val="0"/>
        <w:spacing w:before="120" w:after="120"/>
        <w:jc w:val="both"/>
        <w:rPr>
          <w:rFonts w:ascii="Cambria" w:hAnsi="Cambria" w:cs="Arial"/>
          <w:sz w:val="24"/>
          <w:szCs w:val="24"/>
        </w:rPr>
      </w:pPr>
      <w:r w:rsidRPr="008B3F85">
        <w:rPr>
          <w:rFonts w:ascii="Cambria" w:hAnsi="Cambria" w:cs="Arial"/>
          <w:sz w:val="24"/>
          <w:szCs w:val="24"/>
        </w:rPr>
        <w:t xml:space="preserve">Asimismo, en el caso de que la inversión y los gastos comprometidos en la solicitud objeto de concesión fueran inferiores a la subvención máxima, si en la justificación de las actuaciones realizadas se acredita </w:t>
      </w:r>
      <w:r w:rsidR="00752254" w:rsidRPr="008B3F85">
        <w:rPr>
          <w:rFonts w:ascii="Cambria" w:hAnsi="Cambria" w:cs="Arial"/>
          <w:sz w:val="24"/>
          <w:szCs w:val="24"/>
        </w:rPr>
        <w:t xml:space="preserve">el cumplimiento de los hitos y objetivos con </w:t>
      </w:r>
      <w:r w:rsidRPr="008B3F85">
        <w:rPr>
          <w:rFonts w:ascii="Cambria" w:hAnsi="Cambria" w:cs="Arial"/>
          <w:sz w:val="24"/>
          <w:szCs w:val="24"/>
        </w:rPr>
        <w:t>una inversión y gastos inferior a los comprometidos, procederá el reintegro de la diferencia entre la subvención concedida y la cantidad finalmente justificada.</w:t>
      </w:r>
    </w:p>
    <w:bookmarkEnd w:id="6"/>
    <w:p w:rsidR="00222CDE" w:rsidRPr="00346F96" w:rsidRDefault="00346F96" w:rsidP="00346F96">
      <w:pPr>
        <w:autoSpaceDE w:val="0"/>
        <w:autoSpaceDN w:val="0"/>
        <w:adjustRightInd w:val="0"/>
        <w:spacing w:before="120" w:after="120"/>
        <w:jc w:val="both"/>
        <w:rPr>
          <w:rFonts w:ascii="Cambria" w:hAnsi="Cambria" w:cs="Arial"/>
          <w:sz w:val="24"/>
          <w:szCs w:val="24"/>
        </w:rPr>
      </w:pPr>
      <w:r>
        <w:rPr>
          <w:rFonts w:ascii="Cambria" w:hAnsi="Cambria" w:cs="Arial"/>
          <w:sz w:val="24"/>
          <w:szCs w:val="24"/>
        </w:rPr>
        <w:t xml:space="preserve">3. </w:t>
      </w:r>
      <w:r w:rsidR="00222CDE" w:rsidRPr="00346F96">
        <w:rPr>
          <w:rFonts w:ascii="Cambria" w:hAnsi="Cambria" w:cs="Arial"/>
          <w:sz w:val="24"/>
          <w:szCs w:val="24"/>
        </w:rPr>
        <w:t xml:space="preserve">Los criterios de graduación de </w:t>
      </w:r>
      <w:r w:rsidR="00E7118E" w:rsidRPr="00346F96">
        <w:rPr>
          <w:rFonts w:ascii="Cambria" w:hAnsi="Cambria" w:cs="Arial"/>
          <w:sz w:val="24"/>
          <w:szCs w:val="24"/>
        </w:rPr>
        <w:t xml:space="preserve">los </w:t>
      </w:r>
      <w:r w:rsidR="00222CDE" w:rsidRPr="00346F96">
        <w:rPr>
          <w:rFonts w:ascii="Cambria" w:hAnsi="Cambria" w:cs="Arial"/>
          <w:sz w:val="24"/>
          <w:szCs w:val="24"/>
        </w:rPr>
        <w:t>incumplimientos serán los siguientes:</w:t>
      </w:r>
    </w:p>
    <w:p w:rsidR="00E7118E" w:rsidRPr="00FD7953" w:rsidRDefault="00E7118E" w:rsidP="00E7118E">
      <w:pPr>
        <w:pStyle w:val="Prrafodelista"/>
        <w:autoSpaceDE w:val="0"/>
        <w:autoSpaceDN w:val="0"/>
        <w:adjustRightInd w:val="0"/>
        <w:spacing w:before="120" w:after="120"/>
        <w:ind w:left="284"/>
        <w:jc w:val="both"/>
        <w:rPr>
          <w:rFonts w:ascii="Cambria" w:hAnsi="Cambria" w:cs="Arial"/>
          <w:sz w:val="24"/>
          <w:szCs w:val="24"/>
        </w:rPr>
      </w:pPr>
    </w:p>
    <w:p w:rsidR="00222CDE" w:rsidRPr="00FD7953" w:rsidRDefault="00222CDE" w:rsidP="00222CDE">
      <w:pPr>
        <w:pStyle w:val="Prrafodelista"/>
        <w:autoSpaceDE w:val="0"/>
        <w:autoSpaceDN w:val="0"/>
        <w:adjustRightInd w:val="0"/>
        <w:spacing w:before="120" w:after="120"/>
        <w:ind w:left="0" w:firstLine="567"/>
        <w:jc w:val="both"/>
        <w:rPr>
          <w:rFonts w:ascii="Cambria" w:hAnsi="Cambria" w:cs="Arial"/>
          <w:sz w:val="24"/>
          <w:szCs w:val="24"/>
        </w:rPr>
      </w:pPr>
      <w:r w:rsidRPr="00FD7953">
        <w:rPr>
          <w:rFonts w:ascii="Cambria" w:hAnsi="Cambria" w:cs="Arial"/>
          <w:sz w:val="24"/>
          <w:szCs w:val="24"/>
        </w:rPr>
        <w:t>a)</w:t>
      </w:r>
      <w:r w:rsidR="00AD2BC8" w:rsidRPr="00FD7953">
        <w:rPr>
          <w:rFonts w:ascii="Cambria" w:hAnsi="Cambria" w:cs="Arial"/>
          <w:sz w:val="24"/>
          <w:szCs w:val="24"/>
        </w:rPr>
        <w:t xml:space="preserve"> </w:t>
      </w:r>
      <w:r w:rsidRPr="00FD7953">
        <w:rPr>
          <w:rFonts w:ascii="Cambria" w:hAnsi="Cambria" w:cs="Arial"/>
          <w:sz w:val="24"/>
          <w:szCs w:val="24"/>
        </w:rPr>
        <w:t>El incumplimiento total y manifiesto del objetivo para el que se concedió la ayuda, o cualquier otra irregularidad que presente carácter sistémico o afecte a elementos esenciales del proyecto financiado, será causa de reintegro total de la ayuda.</w:t>
      </w:r>
    </w:p>
    <w:p w:rsidR="00222CDE" w:rsidRPr="00FD7953" w:rsidRDefault="00222CDE" w:rsidP="00222CDE">
      <w:pPr>
        <w:pStyle w:val="Prrafodelista"/>
        <w:autoSpaceDE w:val="0"/>
        <w:autoSpaceDN w:val="0"/>
        <w:adjustRightInd w:val="0"/>
        <w:spacing w:before="120" w:after="120"/>
        <w:ind w:left="0" w:firstLine="567"/>
        <w:jc w:val="both"/>
        <w:rPr>
          <w:rFonts w:ascii="Cambria" w:hAnsi="Cambria" w:cs="Arial"/>
          <w:sz w:val="24"/>
          <w:szCs w:val="24"/>
        </w:rPr>
      </w:pPr>
      <w:r w:rsidRPr="00FD7953">
        <w:rPr>
          <w:rFonts w:ascii="Cambria" w:hAnsi="Cambria" w:cs="Arial"/>
          <w:sz w:val="24"/>
          <w:szCs w:val="24"/>
        </w:rPr>
        <w:t>b)</w:t>
      </w:r>
      <w:r w:rsidR="00AD2BC8" w:rsidRPr="00FD7953">
        <w:rPr>
          <w:rFonts w:ascii="Cambria" w:hAnsi="Cambria"/>
          <w:sz w:val="24"/>
          <w:szCs w:val="24"/>
        </w:rPr>
        <w:t xml:space="preserve"> </w:t>
      </w:r>
      <w:r w:rsidRPr="00FD7953">
        <w:rPr>
          <w:rFonts w:ascii="Cambria" w:hAnsi="Cambria" w:cs="Arial"/>
          <w:sz w:val="24"/>
          <w:szCs w:val="24"/>
        </w:rPr>
        <w:t>El incumplimiento parcial del objetivo o que afecte a actividades concretas, o cualquier otra irregularidad que únicamente afecte a elementos no esenciales del proyecto, conllevará la devolución de aquella parte de la ayuda destinada a los mismos.</w:t>
      </w:r>
    </w:p>
    <w:p w:rsidR="00E7118E" w:rsidRPr="00FD7953" w:rsidRDefault="00E7118E" w:rsidP="00222CDE">
      <w:pPr>
        <w:pStyle w:val="Prrafodelista"/>
        <w:autoSpaceDE w:val="0"/>
        <w:autoSpaceDN w:val="0"/>
        <w:adjustRightInd w:val="0"/>
        <w:spacing w:before="120" w:after="120"/>
        <w:ind w:left="0" w:firstLine="567"/>
        <w:jc w:val="both"/>
        <w:rPr>
          <w:rFonts w:ascii="Cambria" w:hAnsi="Cambria" w:cs="Arial"/>
          <w:sz w:val="24"/>
          <w:szCs w:val="24"/>
        </w:rPr>
      </w:pPr>
    </w:p>
    <w:p w:rsidR="00E7118E" w:rsidRPr="00346F96" w:rsidRDefault="00346F96" w:rsidP="00346F96">
      <w:pPr>
        <w:autoSpaceDE w:val="0"/>
        <w:autoSpaceDN w:val="0"/>
        <w:adjustRightInd w:val="0"/>
        <w:spacing w:before="120" w:after="120"/>
        <w:jc w:val="both"/>
        <w:rPr>
          <w:rFonts w:ascii="Cambria" w:hAnsi="Cambria" w:cs="Arial"/>
          <w:sz w:val="24"/>
          <w:szCs w:val="24"/>
        </w:rPr>
      </w:pPr>
      <w:r>
        <w:rPr>
          <w:rFonts w:ascii="Cambria" w:hAnsi="Cambria" w:cs="Arial"/>
          <w:sz w:val="24"/>
          <w:szCs w:val="24"/>
        </w:rPr>
        <w:t xml:space="preserve">4. </w:t>
      </w:r>
      <w:r w:rsidR="00E135A9" w:rsidRPr="00346F96">
        <w:rPr>
          <w:rFonts w:ascii="Cambria" w:hAnsi="Cambria" w:cs="Arial"/>
          <w:sz w:val="24"/>
          <w:szCs w:val="24"/>
        </w:rPr>
        <w:t>A efectos de lo establecido en el artículo 37.1.i) de la Ley 38/2003, de 17 de noviembre, se considerarán también causas de reintegro las siguientes:</w:t>
      </w:r>
    </w:p>
    <w:p w:rsidR="00222CDE" w:rsidRPr="00FD7953" w:rsidRDefault="00222CDE" w:rsidP="00222CDE">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a)</w:t>
      </w:r>
      <w:r w:rsidR="00AD2BC8" w:rsidRPr="00FD7953">
        <w:rPr>
          <w:rFonts w:ascii="Cambria" w:hAnsi="Cambria" w:cs="Arial"/>
          <w:sz w:val="24"/>
          <w:szCs w:val="24"/>
        </w:rPr>
        <w:t xml:space="preserve"> </w:t>
      </w:r>
      <w:r w:rsidRPr="00FD7953">
        <w:rPr>
          <w:rFonts w:ascii="Cambria" w:hAnsi="Cambria" w:cs="Arial"/>
          <w:sz w:val="24"/>
          <w:szCs w:val="24"/>
        </w:rPr>
        <w:t xml:space="preserve">Se procederá al reintegro total de la ayuda si se constata, durante las actuaciones de comprobación, que los objetivos, productos, servicios o gastos justificados no se corresponden con lo establecido en esta </w:t>
      </w:r>
      <w:r w:rsidR="00E135A9" w:rsidRPr="00FD7953">
        <w:rPr>
          <w:rFonts w:ascii="Cambria" w:hAnsi="Cambria" w:cs="Arial"/>
          <w:sz w:val="24"/>
          <w:szCs w:val="24"/>
        </w:rPr>
        <w:t>o</w:t>
      </w:r>
      <w:r w:rsidRPr="00FD7953">
        <w:rPr>
          <w:rFonts w:ascii="Cambria" w:hAnsi="Cambria" w:cs="Arial"/>
          <w:sz w:val="24"/>
          <w:szCs w:val="24"/>
        </w:rPr>
        <w:t>rden, lo que evidenciaría la no aplicación de la ayuda a los fines para los que fue concedida.</w:t>
      </w:r>
    </w:p>
    <w:p w:rsidR="00222CDE" w:rsidRPr="00FD7953" w:rsidRDefault="00222CDE" w:rsidP="00222CDE">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b)</w:t>
      </w:r>
      <w:r w:rsidR="00AD2BC8" w:rsidRPr="00FD7953">
        <w:rPr>
          <w:rFonts w:ascii="Cambria" w:hAnsi="Cambria" w:cs="Arial"/>
          <w:sz w:val="24"/>
          <w:szCs w:val="24"/>
        </w:rPr>
        <w:t xml:space="preserve"> </w:t>
      </w:r>
      <w:r w:rsidRPr="00FD7953">
        <w:rPr>
          <w:rFonts w:ascii="Cambria" w:hAnsi="Cambria" w:cs="Arial"/>
          <w:sz w:val="24"/>
          <w:szCs w:val="24"/>
        </w:rPr>
        <w:t>La falta de presentación de la documentación justificativa.</w:t>
      </w:r>
    </w:p>
    <w:p w:rsidR="00222CDE" w:rsidRPr="00346F96" w:rsidRDefault="00346F96" w:rsidP="00346F96">
      <w:pPr>
        <w:autoSpaceDE w:val="0"/>
        <w:autoSpaceDN w:val="0"/>
        <w:adjustRightInd w:val="0"/>
        <w:spacing w:before="120" w:after="120"/>
        <w:jc w:val="both"/>
        <w:rPr>
          <w:rFonts w:ascii="Cambria" w:hAnsi="Cambria" w:cs="Arial"/>
          <w:sz w:val="24"/>
          <w:szCs w:val="24"/>
        </w:rPr>
      </w:pPr>
      <w:r>
        <w:rPr>
          <w:rFonts w:ascii="Cambria" w:hAnsi="Cambria" w:cs="Arial"/>
          <w:sz w:val="24"/>
          <w:szCs w:val="24"/>
        </w:rPr>
        <w:t xml:space="preserve">5. </w:t>
      </w:r>
      <w:r w:rsidR="00222CDE" w:rsidRPr="00346F96">
        <w:rPr>
          <w:rFonts w:ascii="Cambria" w:hAnsi="Cambria" w:cs="Arial"/>
          <w:sz w:val="24"/>
          <w:szCs w:val="24"/>
        </w:rPr>
        <w:t>A efectos de lo establecido en la Orden HFP/1030/2021, de 29 de septiembre, por la que se configura el sistema de gestión del Plan de Recuperación, Transformación y Resiliencia, se considerarán también causas de reintegro las siguientes:</w:t>
      </w:r>
    </w:p>
    <w:p w:rsidR="00222CDE" w:rsidRPr="00FD7953" w:rsidRDefault="00222CDE" w:rsidP="00222CDE">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a)</w:t>
      </w:r>
      <w:r w:rsidR="00AD2BC8" w:rsidRPr="00FD7953">
        <w:rPr>
          <w:rFonts w:ascii="Cambria" w:hAnsi="Cambria" w:cs="Arial"/>
          <w:sz w:val="24"/>
          <w:szCs w:val="24"/>
        </w:rPr>
        <w:t xml:space="preserve"> </w:t>
      </w:r>
      <w:r w:rsidRPr="00FD7953">
        <w:rPr>
          <w:rFonts w:ascii="Cambria" w:hAnsi="Cambria" w:cs="Arial"/>
          <w:sz w:val="24"/>
          <w:szCs w:val="24"/>
        </w:rPr>
        <w:t>El incumplimiento del principio de DNSH.</w:t>
      </w:r>
    </w:p>
    <w:p w:rsidR="00222CDE" w:rsidRPr="00FD7953" w:rsidRDefault="00222CDE" w:rsidP="00222CDE">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b)</w:t>
      </w:r>
      <w:r w:rsidR="00AD2BC8" w:rsidRPr="00FD7953">
        <w:rPr>
          <w:rFonts w:ascii="Cambria" w:hAnsi="Cambria" w:cs="Arial"/>
          <w:sz w:val="24"/>
          <w:szCs w:val="24"/>
        </w:rPr>
        <w:t xml:space="preserve"> </w:t>
      </w:r>
      <w:r w:rsidRPr="00FD7953">
        <w:rPr>
          <w:rFonts w:ascii="Cambria" w:hAnsi="Cambria" w:cs="Arial"/>
          <w:sz w:val="24"/>
          <w:szCs w:val="24"/>
        </w:rPr>
        <w:t>El incumplimiento de las obligaciones de información y publicidad.</w:t>
      </w:r>
    </w:p>
    <w:p w:rsidR="00222CDE" w:rsidRPr="00FD7953" w:rsidRDefault="00222CDE" w:rsidP="00222CDE">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c)</w:t>
      </w:r>
      <w:r w:rsidR="00AD2BC8" w:rsidRPr="00FD7953">
        <w:rPr>
          <w:rFonts w:ascii="Cambria" w:hAnsi="Cambria" w:cs="Arial"/>
          <w:sz w:val="24"/>
          <w:szCs w:val="24"/>
        </w:rPr>
        <w:t xml:space="preserve"> </w:t>
      </w:r>
      <w:r w:rsidRPr="00FD7953">
        <w:rPr>
          <w:rFonts w:ascii="Cambria" w:hAnsi="Cambria" w:cs="Arial"/>
          <w:sz w:val="24"/>
          <w:szCs w:val="24"/>
        </w:rPr>
        <w:t>El incumplimiento de las obligaciones en materia de etiquetado digital.</w:t>
      </w:r>
    </w:p>
    <w:p w:rsidR="00222CDE" w:rsidRPr="00FD7953" w:rsidRDefault="00222CDE" w:rsidP="00222CDE">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d)</w:t>
      </w:r>
      <w:r w:rsidR="00AD2BC8" w:rsidRPr="00FD7953">
        <w:rPr>
          <w:rFonts w:ascii="Cambria" w:hAnsi="Cambria" w:cs="Arial"/>
          <w:sz w:val="24"/>
          <w:szCs w:val="24"/>
        </w:rPr>
        <w:t xml:space="preserve"> </w:t>
      </w:r>
      <w:r w:rsidRPr="00FD7953">
        <w:rPr>
          <w:rFonts w:ascii="Cambria" w:hAnsi="Cambria" w:cs="Arial"/>
          <w:sz w:val="24"/>
          <w:szCs w:val="24"/>
        </w:rPr>
        <w:t>El incumplimiento de cualquiera de las obligaciones establecidas en la citada Orden.</w:t>
      </w:r>
    </w:p>
    <w:p w:rsidR="008A5F16" w:rsidRPr="00346F96" w:rsidRDefault="00346F96" w:rsidP="00346F96">
      <w:pPr>
        <w:autoSpaceDE w:val="0"/>
        <w:autoSpaceDN w:val="0"/>
        <w:adjustRightInd w:val="0"/>
        <w:spacing w:before="120" w:after="120"/>
        <w:jc w:val="both"/>
        <w:rPr>
          <w:rFonts w:ascii="Cambria" w:hAnsi="Cambria" w:cs="Arial"/>
          <w:sz w:val="24"/>
          <w:szCs w:val="24"/>
        </w:rPr>
      </w:pPr>
      <w:r>
        <w:rPr>
          <w:rFonts w:ascii="Cambria" w:hAnsi="Cambria" w:cs="Arial"/>
          <w:sz w:val="24"/>
          <w:szCs w:val="24"/>
        </w:rPr>
        <w:t xml:space="preserve">6. </w:t>
      </w:r>
      <w:r w:rsidR="008A5F16" w:rsidRPr="00346F96">
        <w:rPr>
          <w:rFonts w:ascii="Cambria" w:hAnsi="Cambria" w:cs="Arial"/>
          <w:sz w:val="24"/>
          <w:szCs w:val="24"/>
        </w:rPr>
        <w:t xml:space="preserve">En caso de que se haya efectuado el pago, el beneficiario podrá devolver de forma voluntaria los fondos recibidos, sin el previo requerimiento de la Administración, para lo cual deberá solicitar el documento de ingreso modelo 046 a la Dirección General de Transportes y Comunicaciones y remitir posteriormente a la misma el justificante de haber efectuado el ingreso. </w:t>
      </w:r>
    </w:p>
    <w:p w:rsidR="008A5F16" w:rsidRPr="00FD7953" w:rsidRDefault="008A5F16" w:rsidP="008A5F16">
      <w:pPr>
        <w:spacing w:before="120" w:after="120"/>
        <w:jc w:val="both"/>
        <w:rPr>
          <w:rFonts w:ascii="Cambria" w:hAnsi="Cambria" w:cs="Arial"/>
          <w:sz w:val="24"/>
          <w:szCs w:val="24"/>
        </w:rPr>
      </w:pPr>
      <w:r w:rsidRPr="00FD7953">
        <w:rPr>
          <w:rFonts w:ascii="Cambria" w:hAnsi="Cambria" w:cs="Arial"/>
          <w:sz w:val="24"/>
          <w:szCs w:val="24"/>
        </w:rPr>
        <w:t>Cuando se produzca la devolución voluntaria se tramitará el correspondiente expediente de revocación, sin dar lugar a la apertura de expediente sancionador, y la Administración calculará los intereses de demora de acuerdo con lo previsto en el artículo 38 de la Ley 38/2003, de 17 de noviembre, General de Subvenciones, y hasta el momento en que se produjo la devolución efectiva por parte de la entidad.</w:t>
      </w:r>
    </w:p>
    <w:p w:rsidR="008A5F16" w:rsidRPr="00FD7953" w:rsidRDefault="002473AD" w:rsidP="00E339E9">
      <w:pPr>
        <w:autoSpaceDE w:val="0"/>
        <w:autoSpaceDN w:val="0"/>
        <w:adjustRightInd w:val="0"/>
        <w:spacing w:before="200"/>
        <w:jc w:val="both"/>
        <w:rPr>
          <w:rFonts w:ascii="Cambria" w:hAnsi="Cambria" w:cs="Arial"/>
          <w:b/>
          <w:sz w:val="24"/>
          <w:szCs w:val="24"/>
        </w:rPr>
      </w:pPr>
      <w:r w:rsidRPr="00FD7953">
        <w:rPr>
          <w:rFonts w:ascii="Cambria" w:hAnsi="Cambria" w:cs="Arial"/>
          <w:b/>
          <w:sz w:val="24"/>
          <w:szCs w:val="24"/>
        </w:rPr>
        <w:t>Decimoséptimo</w:t>
      </w:r>
      <w:r w:rsidR="008A5F16" w:rsidRPr="00FD7953">
        <w:rPr>
          <w:rFonts w:ascii="Cambria" w:hAnsi="Cambria" w:cs="Arial"/>
          <w:b/>
          <w:sz w:val="24"/>
          <w:szCs w:val="24"/>
        </w:rPr>
        <w:t>. Responsabilidad y régimen sancionador.</w:t>
      </w:r>
    </w:p>
    <w:p w:rsidR="008A5F16" w:rsidRPr="00FD7953" w:rsidRDefault="008A5F16" w:rsidP="008A5F16">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Los beneficiarios de las subvenciones reguladas por la presente orden quedarán sometidos al régimen jurídico que sobre infracciones y sanciones administrativas en materia de subvenciones se establece en el título IV de la Ley 10/2006, de 17 de julio, de Subvenciones de Cantabria.</w:t>
      </w:r>
    </w:p>
    <w:p w:rsidR="008A5F16" w:rsidRPr="00FD7953" w:rsidRDefault="002473AD" w:rsidP="00E339E9">
      <w:pPr>
        <w:autoSpaceDE w:val="0"/>
        <w:autoSpaceDN w:val="0"/>
        <w:adjustRightInd w:val="0"/>
        <w:spacing w:before="200"/>
        <w:jc w:val="both"/>
        <w:rPr>
          <w:rFonts w:ascii="Cambria" w:hAnsi="Cambria" w:cs="Arial"/>
          <w:b/>
          <w:sz w:val="24"/>
          <w:szCs w:val="24"/>
        </w:rPr>
      </w:pPr>
      <w:r w:rsidRPr="00FD7953">
        <w:rPr>
          <w:rFonts w:ascii="Cambria" w:hAnsi="Cambria" w:cs="Arial"/>
          <w:b/>
          <w:sz w:val="24"/>
          <w:szCs w:val="24"/>
        </w:rPr>
        <w:t>Decimoctavo</w:t>
      </w:r>
      <w:r w:rsidR="008A5F16" w:rsidRPr="00FD7953">
        <w:rPr>
          <w:rFonts w:ascii="Cambria" w:hAnsi="Cambria" w:cs="Arial"/>
          <w:b/>
          <w:sz w:val="24"/>
          <w:szCs w:val="24"/>
        </w:rPr>
        <w:t>. Recursos.</w:t>
      </w:r>
    </w:p>
    <w:p w:rsidR="008A5F16" w:rsidRPr="00FD7953" w:rsidRDefault="008A5F16" w:rsidP="008A5F16">
      <w:pPr>
        <w:autoSpaceDE w:val="0"/>
        <w:autoSpaceDN w:val="0"/>
        <w:adjustRightInd w:val="0"/>
        <w:spacing w:before="120" w:after="120"/>
        <w:jc w:val="both"/>
        <w:rPr>
          <w:rFonts w:ascii="Cambria" w:hAnsi="Cambria" w:cs="Arial"/>
          <w:sz w:val="24"/>
          <w:szCs w:val="24"/>
        </w:rPr>
      </w:pPr>
      <w:r w:rsidRPr="00FD7953">
        <w:rPr>
          <w:rFonts w:ascii="Cambria" w:hAnsi="Cambria" w:cs="Arial"/>
          <w:sz w:val="24"/>
          <w:szCs w:val="24"/>
        </w:rPr>
        <w:t>Contra la presente orden, que agota la vía administrativa, podrá recurrirse potestativamente en reposición ante el mismo órgano que la hubiera dictado en el plazo de un mes a contar desde el día siguiente a la publicación de su extracto en el Boletín Oficial de Cantabria o ser impugnada directamente ante la Sala de lo Contencioso-Administrativo del Tribunal Superior de Justicia de Cantabria en el plazo de dos meses a contar desde el día siguiente a la publicación de su extracto en el Boletín Oficial de Cantabria.</w:t>
      </w:r>
    </w:p>
    <w:p w:rsidR="00346F96" w:rsidRDefault="002473AD" w:rsidP="00346F96">
      <w:pPr>
        <w:autoSpaceDE w:val="0"/>
        <w:autoSpaceDN w:val="0"/>
        <w:adjustRightInd w:val="0"/>
        <w:spacing w:before="200"/>
        <w:jc w:val="both"/>
        <w:rPr>
          <w:rFonts w:ascii="Cambria" w:hAnsi="Cambria" w:cs="Arial"/>
          <w:b/>
          <w:sz w:val="24"/>
          <w:szCs w:val="24"/>
        </w:rPr>
      </w:pPr>
      <w:r w:rsidRPr="00FD7953">
        <w:rPr>
          <w:rFonts w:ascii="Cambria" w:hAnsi="Cambria" w:cs="Arial"/>
          <w:b/>
          <w:sz w:val="24"/>
          <w:szCs w:val="24"/>
        </w:rPr>
        <w:t>Decimonoveno</w:t>
      </w:r>
      <w:r w:rsidR="008A5F16" w:rsidRPr="00FD7953">
        <w:rPr>
          <w:rFonts w:ascii="Cambria" w:hAnsi="Cambria" w:cs="Arial"/>
          <w:b/>
          <w:sz w:val="24"/>
          <w:szCs w:val="24"/>
        </w:rPr>
        <w:t>. Efectos.</w:t>
      </w:r>
    </w:p>
    <w:p w:rsidR="001C02C6" w:rsidRDefault="008A5F16" w:rsidP="00346F96">
      <w:pPr>
        <w:autoSpaceDE w:val="0"/>
        <w:autoSpaceDN w:val="0"/>
        <w:adjustRightInd w:val="0"/>
        <w:spacing w:before="200"/>
        <w:jc w:val="both"/>
        <w:rPr>
          <w:rFonts w:ascii="Cambria" w:hAnsi="Cambria" w:cs="Arial"/>
          <w:sz w:val="24"/>
          <w:szCs w:val="24"/>
        </w:rPr>
      </w:pPr>
      <w:r w:rsidRPr="00FD7953">
        <w:rPr>
          <w:rFonts w:ascii="Cambria" w:hAnsi="Cambria" w:cs="Arial"/>
          <w:sz w:val="24"/>
          <w:szCs w:val="24"/>
        </w:rPr>
        <w:t>Esta orden desplegará sus efectos el día siguiente a la publicación de su extracto en el Boletín Oficial de Cantabria.</w:t>
      </w:r>
    </w:p>
    <w:p w:rsidR="00346F96" w:rsidRPr="00346F96" w:rsidRDefault="00346F96" w:rsidP="00346F96">
      <w:pPr>
        <w:autoSpaceDE w:val="0"/>
        <w:autoSpaceDN w:val="0"/>
        <w:adjustRightInd w:val="0"/>
        <w:spacing w:before="200"/>
        <w:jc w:val="both"/>
        <w:rPr>
          <w:rFonts w:ascii="Cambria" w:hAnsi="Cambria" w:cs="Arial"/>
          <w:b/>
          <w:sz w:val="24"/>
          <w:szCs w:val="24"/>
        </w:rPr>
      </w:pPr>
    </w:p>
    <w:p w:rsidR="008A5F16" w:rsidRDefault="008A5F16" w:rsidP="008A5F16">
      <w:pPr>
        <w:pStyle w:val="NormalWeb"/>
        <w:spacing w:before="120" w:beforeAutospacing="0" w:after="120" w:afterAutospacing="0" w:line="276" w:lineRule="auto"/>
        <w:ind w:left="240"/>
        <w:jc w:val="center"/>
        <w:rPr>
          <w:rFonts w:ascii="Cambria" w:hAnsi="Cambria" w:cs="Arial"/>
          <w:sz w:val="24"/>
          <w:szCs w:val="24"/>
        </w:rPr>
      </w:pPr>
      <w:r w:rsidRPr="00FD7953">
        <w:rPr>
          <w:rFonts w:ascii="Cambria" w:hAnsi="Cambria" w:cs="Arial"/>
          <w:sz w:val="24"/>
          <w:szCs w:val="24"/>
        </w:rPr>
        <w:t>El consejero de Industria, Turismo, Innovación, Transporte y Comercio,</w:t>
      </w:r>
    </w:p>
    <w:p w:rsidR="00D415F6" w:rsidRDefault="00D415F6" w:rsidP="008A5F16">
      <w:pPr>
        <w:pStyle w:val="NormalWeb"/>
        <w:spacing w:before="120" w:beforeAutospacing="0" w:after="120" w:afterAutospacing="0" w:line="276" w:lineRule="auto"/>
        <w:ind w:left="240"/>
        <w:jc w:val="center"/>
        <w:rPr>
          <w:rFonts w:ascii="Cambria" w:hAnsi="Cambria" w:cs="Arial"/>
          <w:sz w:val="24"/>
          <w:szCs w:val="24"/>
        </w:rPr>
      </w:pPr>
    </w:p>
    <w:p w:rsidR="00D415F6" w:rsidRPr="00FD7953" w:rsidRDefault="00D415F6" w:rsidP="008A5F16">
      <w:pPr>
        <w:pStyle w:val="NormalWeb"/>
        <w:spacing w:before="120" w:beforeAutospacing="0" w:after="120" w:afterAutospacing="0" w:line="276" w:lineRule="auto"/>
        <w:ind w:left="240"/>
        <w:jc w:val="center"/>
        <w:rPr>
          <w:rFonts w:ascii="Cambria" w:hAnsi="Cambria" w:cs="Arial"/>
          <w:sz w:val="24"/>
          <w:szCs w:val="24"/>
        </w:rPr>
      </w:pPr>
    </w:p>
    <w:p w:rsidR="0073380D" w:rsidRPr="00E67A67" w:rsidRDefault="008A5F16" w:rsidP="0039350F">
      <w:pPr>
        <w:pStyle w:val="NormalWeb"/>
        <w:spacing w:before="120" w:beforeAutospacing="0" w:after="120" w:afterAutospacing="0" w:line="276" w:lineRule="auto"/>
        <w:ind w:left="240"/>
        <w:jc w:val="center"/>
        <w:rPr>
          <w:rFonts w:ascii="Cambria" w:hAnsi="Cambria" w:cstheme="minorHAnsi"/>
          <w:sz w:val="24"/>
          <w:szCs w:val="24"/>
        </w:rPr>
      </w:pPr>
      <w:r w:rsidRPr="00FD7953">
        <w:rPr>
          <w:rFonts w:ascii="Cambria" w:hAnsi="Cambria" w:cs="Arial"/>
          <w:sz w:val="24"/>
          <w:szCs w:val="24"/>
        </w:rPr>
        <w:t>Francisco Javier López Marcano</w:t>
      </w:r>
    </w:p>
    <w:sectPr w:rsidR="0073380D" w:rsidRPr="00E67A67" w:rsidSect="00C102F4">
      <w:headerReference w:type="even" r:id="rId15"/>
      <w:headerReference w:type="default" r:id="rId16"/>
      <w:footerReference w:type="even" r:id="rId17"/>
      <w:footerReference w:type="default" r:id="rId18"/>
      <w:headerReference w:type="first" r:id="rId19"/>
      <w:footerReference w:type="first" r:id="rId20"/>
      <w:pgSz w:w="11906" w:h="16838"/>
      <w:pgMar w:top="180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71F0" w:rsidRDefault="00EB71F0" w:rsidP="005009F3">
      <w:pPr>
        <w:spacing w:after="0" w:line="240" w:lineRule="auto"/>
      </w:pPr>
      <w:r>
        <w:separator/>
      </w:r>
    </w:p>
  </w:endnote>
  <w:endnote w:type="continuationSeparator" w:id="0">
    <w:p w:rsidR="00EB71F0" w:rsidRDefault="00EB71F0" w:rsidP="00500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205" w:rsidRDefault="00EA020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205" w:rsidRDefault="00EA020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205" w:rsidRDefault="00EA020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71F0" w:rsidRDefault="00EB71F0" w:rsidP="005009F3">
      <w:pPr>
        <w:spacing w:after="0" w:line="240" w:lineRule="auto"/>
      </w:pPr>
      <w:r>
        <w:separator/>
      </w:r>
    </w:p>
  </w:footnote>
  <w:footnote w:type="continuationSeparator" w:id="0">
    <w:p w:rsidR="00EB71F0" w:rsidRDefault="00EB71F0" w:rsidP="005009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205" w:rsidRDefault="00EA020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672" w:type="pct"/>
      <w:jc w:val="center"/>
      <w:tblLayout w:type="fixed"/>
      <w:tblLook w:val="04A0" w:firstRow="1" w:lastRow="0" w:firstColumn="1" w:lastColumn="0" w:noHBand="0" w:noVBand="1"/>
    </w:tblPr>
    <w:tblGrid>
      <w:gridCol w:w="2423"/>
      <w:gridCol w:w="2782"/>
      <w:gridCol w:w="2570"/>
      <w:gridCol w:w="1872"/>
    </w:tblGrid>
    <w:tr w:rsidR="00EA0205" w:rsidTr="005F24C5">
      <w:trPr>
        <w:trHeight w:val="525"/>
        <w:jc w:val="center"/>
      </w:trPr>
      <w:tc>
        <w:tcPr>
          <w:tcW w:w="1256" w:type="pct"/>
          <w:shd w:val="clear" w:color="auto" w:fill="auto"/>
          <w:vAlign w:val="center"/>
        </w:tcPr>
        <w:p w:rsidR="00EA0205" w:rsidRDefault="00EA0205" w:rsidP="00EA0205">
          <w:pPr>
            <w:pStyle w:val="Encabezado"/>
            <w:spacing w:before="60" w:after="60"/>
            <w:jc w:val="center"/>
          </w:pPr>
          <w:r>
            <w:rPr>
              <w:noProof/>
              <w:lang w:eastAsia="es-ES"/>
            </w:rPr>
            <w:drawing>
              <wp:inline distT="0" distB="0" distL="0" distR="0" wp14:anchorId="200D2E86" wp14:editId="34BE887F">
                <wp:extent cx="1377950" cy="412750"/>
                <wp:effectExtent l="0" t="0" r="0" b="6350"/>
                <wp:docPr id="59" name="Imagen 59" descr="Interfaz de usuario gráfica, Aplicación, Team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Aplicación, Team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7950" cy="412750"/>
                        </a:xfrm>
                        <a:prstGeom prst="rect">
                          <a:avLst/>
                        </a:prstGeom>
                        <a:noFill/>
                        <a:ln>
                          <a:noFill/>
                        </a:ln>
                      </pic:spPr>
                    </pic:pic>
                  </a:graphicData>
                </a:graphic>
              </wp:inline>
            </w:drawing>
          </w:r>
        </w:p>
      </w:tc>
      <w:tc>
        <w:tcPr>
          <w:tcW w:w="1442" w:type="pct"/>
          <w:shd w:val="clear" w:color="auto" w:fill="auto"/>
          <w:vAlign w:val="center"/>
        </w:tcPr>
        <w:p w:rsidR="00EA0205" w:rsidRDefault="00EA0205" w:rsidP="00EA0205">
          <w:pPr>
            <w:pStyle w:val="Encabezado"/>
            <w:spacing w:before="60" w:after="60"/>
            <w:jc w:val="center"/>
          </w:pPr>
          <w:r>
            <w:rPr>
              <w:noProof/>
              <w:lang w:eastAsia="es-ES"/>
            </w:rPr>
            <w:drawing>
              <wp:inline distT="0" distB="0" distL="0" distR="0" wp14:anchorId="0C87445C" wp14:editId="3C563731">
                <wp:extent cx="1600200" cy="390525"/>
                <wp:effectExtent l="0" t="0" r="0" b="9525"/>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600200" cy="390525"/>
                        </a:xfrm>
                        <a:prstGeom prst="rect">
                          <a:avLst/>
                        </a:prstGeom>
                        <a:noFill/>
                        <a:ln>
                          <a:noFill/>
                        </a:ln>
                      </pic:spPr>
                    </pic:pic>
                  </a:graphicData>
                </a:graphic>
              </wp:inline>
            </w:drawing>
          </w:r>
        </w:p>
      </w:tc>
      <w:tc>
        <w:tcPr>
          <w:tcW w:w="1332" w:type="pct"/>
          <w:shd w:val="clear" w:color="auto" w:fill="auto"/>
          <w:vAlign w:val="center"/>
        </w:tcPr>
        <w:p w:rsidR="00EA0205" w:rsidRDefault="00EA0205" w:rsidP="00EA0205">
          <w:pPr>
            <w:pStyle w:val="Encabezado"/>
            <w:spacing w:before="60" w:after="60"/>
            <w:jc w:val="center"/>
          </w:pPr>
          <w:r>
            <w:rPr>
              <w:noProof/>
              <w:lang w:eastAsia="es-ES"/>
            </w:rPr>
            <w:drawing>
              <wp:inline distT="0" distB="0" distL="0" distR="0" wp14:anchorId="52902E5D" wp14:editId="004F7E48">
                <wp:extent cx="1514781" cy="323850"/>
                <wp:effectExtent l="0" t="0" r="9525" b="0"/>
                <wp:docPr id="61" name="Imagen 6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Texto, Aplicación&#10;&#10;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l="2979" t="32173" r="3012" b="32202"/>
                        <a:stretch>
                          <a:fillRect/>
                        </a:stretch>
                      </pic:blipFill>
                      <pic:spPr bwMode="auto">
                        <a:xfrm>
                          <a:off x="0" y="0"/>
                          <a:ext cx="1525456" cy="326132"/>
                        </a:xfrm>
                        <a:prstGeom prst="rect">
                          <a:avLst/>
                        </a:prstGeom>
                        <a:noFill/>
                        <a:ln>
                          <a:noFill/>
                        </a:ln>
                      </pic:spPr>
                    </pic:pic>
                  </a:graphicData>
                </a:graphic>
              </wp:inline>
            </w:drawing>
          </w:r>
        </w:p>
      </w:tc>
      <w:tc>
        <w:tcPr>
          <w:tcW w:w="970" w:type="pct"/>
          <w:shd w:val="clear" w:color="auto" w:fill="auto"/>
          <w:vAlign w:val="center"/>
        </w:tcPr>
        <w:p w:rsidR="00EA0205" w:rsidRDefault="00EA0205" w:rsidP="00EA0205">
          <w:pPr>
            <w:pStyle w:val="Encabezado"/>
            <w:spacing w:before="60" w:after="60"/>
            <w:jc w:val="center"/>
          </w:pPr>
          <w:r>
            <w:rPr>
              <w:noProof/>
              <w:lang w:eastAsia="es-ES"/>
            </w:rPr>
            <w:drawing>
              <wp:inline distT="0" distB="0" distL="0" distR="0" wp14:anchorId="04AC3121" wp14:editId="5CE56F78">
                <wp:extent cx="1019763" cy="304800"/>
                <wp:effectExtent l="0" t="0" r="0" b="0"/>
                <wp:docPr id="62" name="Imagen 6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Texto&#10;&#10;Descripción generada automáticamente"/>
                        <pic:cNvPicPr/>
                      </pic:nvPicPr>
                      <pic:blipFill>
                        <a:blip r:embed="rId5"/>
                        <a:stretch>
                          <a:fillRect/>
                        </a:stretch>
                      </pic:blipFill>
                      <pic:spPr>
                        <a:xfrm>
                          <a:off x="0" y="0"/>
                          <a:ext cx="1075741" cy="321532"/>
                        </a:xfrm>
                        <a:prstGeom prst="rect">
                          <a:avLst/>
                        </a:prstGeom>
                      </pic:spPr>
                    </pic:pic>
                  </a:graphicData>
                </a:graphic>
              </wp:inline>
            </w:drawing>
          </w:r>
        </w:p>
      </w:tc>
    </w:tr>
    <w:tr w:rsidR="00EA0205" w:rsidTr="005F24C5">
      <w:trPr>
        <w:trHeight w:val="525"/>
        <w:jc w:val="center"/>
      </w:trPr>
      <w:tc>
        <w:tcPr>
          <w:tcW w:w="5000" w:type="pct"/>
          <w:gridSpan w:val="4"/>
          <w:shd w:val="clear" w:color="auto" w:fill="auto"/>
          <w:vAlign w:val="center"/>
        </w:tcPr>
        <w:p w:rsidR="00EA0205" w:rsidRDefault="00EA0205" w:rsidP="00EA0205">
          <w:pPr>
            <w:pStyle w:val="Encabezado"/>
            <w:spacing w:before="60" w:after="60"/>
            <w:jc w:val="center"/>
          </w:pPr>
          <w:r>
            <w:rPr>
              <w:noProof/>
              <w:lang w:eastAsia="es-ES"/>
            </w:rPr>
            <w:drawing>
              <wp:inline distT="0" distB="0" distL="0" distR="0" wp14:anchorId="68F22472" wp14:editId="2C6D18E9">
                <wp:extent cx="2114550" cy="516835"/>
                <wp:effectExtent l="0" t="0" r="0" b="0"/>
                <wp:docPr id="63" name="Imagen 63" descr="Diagra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Diagrama&#10;&#10;Descripción generada automáticamente con confianza media"/>
                        <pic:cNvPicPr>
                          <a:picLocks noChangeAspect="1" noChangeArrowheads="1"/>
                        </pic:cNvPicPr>
                      </pic:nvPicPr>
                      <pic:blipFill>
                        <a:blip r:embed="rId6">
                          <a:extLst>
                            <a:ext uri="{28A0092B-C50C-407E-A947-70E740481C1C}">
                              <a14:useLocalDpi xmlns:a14="http://schemas.microsoft.com/office/drawing/2010/main" val="0"/>
                            </a:ext>
                          </a:extLst>
                        </a:blip>
                        <a:srcRect l="20216" t="55025" r="45094" b="8139"/>
                        <a:stretch>
                          <a:fillRect/>
                        </a:stretch>
                      </pic:blipFill>
                      <pic:spPr bwMode="auto">
                        <a:xfrm>
                          <a:off x="0" y="0"/>
                          <a:ext cx="2119232" cy="517979"/>
                        </a:xfrm>
                        <a:prstGeom prst="rect">
                          <a:avLst/>
                        </a:prstGeom>
                        <a:noFill/>
                        <a:ln>
                          <a:noFill/>
                        </a:ln>
                      </pic:spPr>
                    </pic:pic>
                  </a:graphicData>
                </a:graphic>
              </wp:inline>
            </w:drawing>
          </w:r>
        </w:p>
      </w:tc>
    </w:tr>
  </w:tbl>
  <w:p w:rsidR="003634F7" w:rsidRDefault="0095438D">
    <w:pPr>
      <w:pStyle w:val="Encabezado"/>
    </w:pPr>
    <w:r>
      <w:rPr>
        <w:rFonts w:ascii="Arial" w:hAnsi="Arial" w:cs="Arial"/>
        <w:b/>
        <w:noProof/>
        <w:sz w:val="14"/>
        <w:szCs w:val="14"/>
        <w:lang w:eastAsia="es-ES"/>
      </w:rPr>
      <mc:AlternateContent>
        <mc:Choice Requires="wps">
          <w:drawing>
            <wp:anchor distT="0" distB="0" distL="114300" distR="114300" simplePos="0" relativeHeight="251668480" behindDoc="0" locked="0" layoutInCell="1" allowOverlap="1" wp14:anchorId="706160E8" wp14:editId="62CFA24F">
              <wp:simplePos x="0" y="0"/>
              <wp:positionH relativeFrom="margin">
                <wp:posOffset>4482465</wp:posOffset>
              </wp:positionH>
              <wp:positionV relativeFrom="paragraph">
                <wp:posOffset>-171450</wp:posOffset>
              </wp:positionV>
              <wp:extent cx="1725930" cy="672861"/>
              <wp:effectExtent l="0" t="0" r="762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5930" cy="672861"/>
                      </a:xfrm>
                      <a:prstGeom prst="rect">
                        <a:avLst/>
                      </a:prstGeom>
                      <a:solidFill>
                        <a:srgbClr val="FFFFFF"/>
                      </a:solidFill>
                      <a:ln>
                        <a:noFill/>
                      </a:ln>
                      <a:extLst>
                        <a:ext uri="{91240B29-F687-4F45-9708-019B960494DF}">
                          <a14:hiddenLine xmlns:a14="http://schemas.microsoft.com/office/drawing/2010/main" w="9525">
                            <a:solidFill>
                              <a:srgbClr val="00CCFF"/>
                            </a:solidFill>
                            <a:miter lim="800000"/>
                            <a:headEnd/>
                            <a:tailEnd/>
                          </a14:hiddenLine>
                        </a:ext>
                      </a:extLst>
                    </wps:spPr>
                    <wps:txbx>
                      <w:txbxContent>
                        <w:p w:rsidR="003634F7" w:rsidRPr="00F23358" w:rsidRDefault="003634F7" w:rsidP="003634F7"/>
                      </w:txbxContent>
                    </wps:txbx>
                    <wps:bodyPr rot="0" vert="horz" wrap="square" lIns="91440" tIns="144000" rIns="0" bIns="90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6160E8" id="_x0000_t202" coordsize="21600,21600" o:spt="202" path="m,l,21600r21600,l21600,xe">
              <v:stroke joinstyle="miter"/>
              <v:path gradientshapeok="t" o:connecttype="rect"/>
            </v:shapetype>
            <v:shape id="Cuadro de texto 3" o:spid="_x0000_s1026" type="#_x0000_t202" style="position:absolute;margin-left:352.95pt;margin-top:-13.5pt;width:135.9pt;height:53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" stroked="f" strokecolor="#0cf">
              <v:textbox inset=",4mm,0,2.5mm">
                <w:txbxContent>
                  <w:p w:rsidR="003634F7" w:rsidRPr="00F23358" w:rsidRDefault="003634F7" w:rsidP="003634F7"/>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205" w:rsidRDefault="00EA020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4989"/>
    <w:multiLevelType w:val="hybridMultilevel"/>
    <w:tmpl w:val="A088F5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A861D4"/>
    <w:multiLevelType w:val="hybridMultilevel"/>
    <w:tmpl w:val="8A041C66"/>
    <w:lvl w:ilvl="0" w:tplc="EC1E0426">
      <w:start w:val="1"/>
      <w:numFmt w:val="lowerLetter"/>
      <w:lvlText w:val="%1)"/>
      <w:lvlJc w:val="left"/>
      <w:pPr>
        <w:ind w:left="1584" w:hanging="378"/>
      </w:pPr>
      <w:rPr>
        <w:rFonts w:ascii="Arial" w:eastAsia="Arial" w:hAnsi="Arial" w:cs="Arial" w:hint="default"/>
        <w:spacing w:val="-25"/>
        <w:w w:val="100"/>
        <w:sz w:val="20"/>
        <w:szCs w:val="20"/>
        <w:lang w:val="es-ES" w:eastAsia="es-ES" w:bidi="es-ES"/>
      </w:rPr>
    </w:lvl>
    <w:lvl w:ilvl="1" w:tplc="A112A3CA">
      <w:numFmt w:val="bullet"/>
      <w:lvlText w:val="•"/>
      <w:lvlJc w:val="left"/>
      <w:pPr>
        <w:ind w:left="2532" w:hanging="378"/>
      </w:pPr>
      <w:rPr>
        <w:rFonts w:hint="default"/>
        <w:lang w:val="es-ES" w:eastAsia="es-ES" w:bidi="es-ES"/>
      </w:rPr>
    </w:lvl>
    <w:lvl w:ilvl="2" w:tplc="FD869B1A">
      <w:numFmt w:val="bullet"/>
      <w:lvlText w:val="•"/>
      <w:lvlJc w:val="left"/>
      <w:pPr>
        <w:ind w:left="3485" w:hanging="378"/>
      </w:pPr>
      <w:rPr>
        <w:rFonts w:hint="default"/>
        <w:lang w:val="es-ES" w:eastAsia="es-ES" w:bidi="es-ES"/>
      </w:rPr>
    </w:lvl>
    <w:lvl w:ilvl="3" w:tplc="DBF850E6">
      <w:numFmt w:val="bullet"/>
      <w:lvlText w:val="•"/>
      <w:lvlJc w:val="left"/>
      <w:pPr>
        <w:ind w:left="4437" w:hanging="378"/>
      </w:pPr>
      <w:rPr>
        <w:rFonts w:hint="default"/>
        <w:lang w:val="es-ES" w:eastAsia="es-ES" w:bidi="es-ES"/>
      </w:rPr>
    </w:lvl>
    <w:lvl w:ilvl="4" w:tplc="DD7C721E">
      <w:numFmt w:val="bullet"/>
      <w:lvlText w:val="•"/>
      <w:lvlJc w:val="left"/>
      <w:pPr>
        <w:ind w:left="5390" w:hanging="378"/>
      </w:pPr>
      <w:rPr>
        <w:rFonts w:hint="default"/>
        <w:lang w:val="es-ES" w:eastAsia="es-ES" w:bidi="es-ES"/>
      </w:rPr>
    </w:lvl>
    <w:lvl w:ilvl="5" w:tplc="8244FF70">
      <w:numFmt w:val="bullet"/>
      <w:lvlText w:val="•"/>
      <w:lvlJc w:val="left"/>
      <w:pPr>
        <w:ind w:left="6342" w:hanging="378"/>
      </w:pPr>
      <w:rPr>
        <w:rFonts w:hint="default"/>
        <w:lang w:val="es-ES" w:eastAsia="es-ES" w:bidi="es-ES"/>
      </w:rPr>
    </w:lvl>
    <w:lvl w:ilvl="6" w:tplc="3A426B7E">
      <w:numFmt w:val="bullet"/>
      <w:lvlText w:val="•"/>
      <w:lvlJc w:val="left"/>
      <w:pPr>
        <w:ind w:left="7295" w:hanging="378"/>
      </w:pPr>
      <w:rPr>
        <w:rFonts w:hint="default"/>
        <w:lang w:val="es-ES" w:eastAsia="es-ES" w:bidi="es-ES"/>
      </w:rPr>
    </w:lvl>
    <w:lvl w:ilvl="7" w:tplc="6332D350">
      <w:numFmt w:val="bullet"/>
      <w:lvlText w:val="•"/>
      <w:lvlJc w:val="left"/>
      <w:pPr>
        <w:ind w:left="8247" w:hanging="378"/>
      </w:pPr>
      <w:rPr>
        <w:rFonts w:hint="default"/>
        <w:lang w:val="es-ES" w:eastAsia="es-ES" w:bidi="es-ES"/>
      </w:rPr>
    </w:lvl>
    <w:lvl w:ilvl="8" w:tplc="59A6CE98">
      <w:numFmt w:val="bullet"/>
      <w:lvlText w:val="•"/>
      <w:lvlJc w:val="left"/>
      <w:pPr>
        <w:ind w:left="9200" w:hanging="378"/>
      </w:pPr>
      <w:rPr>
        <w:rFonts w:hint="default"/>
        <w:lang w:val="es-ES" w:eastAsia="es-ES" w:bidi="es-ES"/>
      </w:rPr>
    </w:lvl>
  </w:abstractNum>
  <w:abstractNum w:abstractNumId="2" w15:restartNumberingAfterBreak="0">
    <w:nsid w:val="147323E2"/>
    <w:multiLevelType w:val="hybridMultilevel"/>
    <w:tmpl w:val="7E6C75AC"/>
    <w:lvl w:ilvl="0" w:tplc="EE526FE0">
      <w:start w:val="1"/>
      <w:numFmt w:val="decimal"/>
      <w:lvlText w:val="%1."/>
      <w:lvlJc w:val="left"/>
      <w:pPr>
        <w:ind w:left="525" w:hanging="360"/>
      </w:pPr>
      <w:rPr>
        <w:rFonts w:hint="default"/>
      </w:rPr>
    </w:lvl>
    <w:lvl w:ilvl="1" w:tplc="0C0A0019" w:tentative="1">
      <w:start w:val="1"/>
      <w:numFmt w:val="lowerLetter"/>
      <w:lvlText w:val="%2."/>
      <w:lvlJc w:val="left"/>
      <w:pPr>
        <w:ind w:left="1245" w:hanging="360"/>
      </w:pPr>
    </w:lvl>
    <w:lvl w:ilvl="2" w:tplc="0C0A001B" w:tentative="1">
      <w:start w:val="1"/>
      <w:numFmt w:val="lowerRoman"/>
      <w:lvlText w:val="%3."/>
      <w:lvlJc w:val="right"/>
      <w:pPr>
        <w:ind w:left="1965" w:hanging="180"/>
      </w:pPr>
    </w:lvl>
    <w:lvl w:ilvl="3" w:tplc="0C0A000F" w:tentative="1">
      <w:start w:val="1"/>
      <w:numFmt w:val="decimal"/>
      <w:lvlText w:val="%4."/>
      <w:lvlJc w:val="left"/>
      <w:pPr>
        <w:ind w:left="2685" w:hanging="360"/>
      </w:pPr>
    </w:lvl>
    <w:lvl w:ilvl="4" w:tplc="0C0A0019" w:tentative="1">
      <w:start w:val="1"/>
      <w:numFmt w:val="lowerLetter"/>
      <w:lvlText w:val="%5."/>
      <w:lvlJc w:val="left"/>
      <w:pPr>
        <w:ind w:left="3405" w:hanging="360"/>
      </w:pPr>
    </w:lvl>
    <w:lvl w:ilvl="5" w:tplc="0C0A001B" w:tentative="1">
      <w:start w:val="1"/>
      <w:numFmt w:val="lowerRoman"/>
      <w:lvlText w:val="%6."/>
      <w:lvlJc w:val="right"/>
      <w:pPr>
        <w:ind w:left="4125" w:hanging="180"/>
      </w:pPr>
    </w:lvl>
    <w:lvl w:ilvl="6" w:tplc="0C0A000F" w:tentative="1">
      <w:start w:val="1"/>
      <w:numFmt w:val="decimal"/>
      <w:lvlText w:val="%7."/>
      <w:lvlJc w:val="left"/>
      <w:pPr>
        <w:ind w:left="4845" w:hanging="360"/>
      </w:pPr>
    </w:lvl>
    <w:lvl w:ilvl="7" w:tplc="0C0A0019" w:tentative="1">
      <w:start w:val="1"/>
      <w:numFmt w:val="lowerLetter"/>
      <w:lvlText w:val="%8."/>
      <w:lvlJc w:val="left"/>
      <w:pPr>
        <w:ind w:left="5565" w:hanging="360"/>
      </w:pPr>
    </w:lvl>
    <w:lvl w:ilvl="8" w:tplc="0C0A001B" w:tentative="1">
      <w:start w:val="1"/>
      <w:numFmt w:val="lowerRoman"/>
      <w:lvlText w:val="%9."/>
      <w:lvlJc w:val="right"/>
      <w:pPr>
        <w:ind w:left="6285" w:hanging="180"/>
      </w:pPr>
    </w:lvl>
  </w:abstractNum>
  <w:abstractNum w:abstractNumId="3" w15:restartNumberingAfterBreak="0">
    <w:nsid w:val="184304E3"/>
    <w:multiLevelType w:val="hybridMultilevel"/>
    <w:tmpl w:val="2DB00F9A"/>
    <w:lvl w:ilvl="0" w:tplc="E020B80C">
      <w:start w:val="1"/>
      <w:numFmt w:val="decimal"/>
      <w:lvlText w:val="%1."/>
      <w:lvlJc w:val="left"/>
      <w:pPr>
        <w:ind w:left="1584" w:hanging="367"/>
      </w:pPr>
      <w:rPr>
        <w:rFonts w:ascii="Arial" w:eastAsia="Arial" w:hAnsi="Arial" w:cs="Arial" w:hint="default"/>
        <w:spacing w:val="-23"/>
        <w:w w:val="100"/>
        <w:sz w:val="20"/>
        <w:szCs w:val="20"/>
        <w:lang w:val="es-ES" w:eastAsia="es-ES" w:bidi="es-ES"/>
      </w:rPr>
    </w:lvl>
    <w:lvl w:ilvl="1" w:tplc="19E8424A">
      <w:numFmt w:val="bullet"/>
      <w:lvlText w:val="•"/>
      <w:lvlJc w:val="left"/>
      <w:pPr>
        <w:ind w:left="2532" w:hanging="367"/>
      </w:pPr>
      <w:rPr>
        <w:rFonts w:hint="default"/>
        <w:lang w:val="es-ES" w:eastAsia="es-ES" w:bidi="es-ES"/>
      </w:rPr>
    </w:lvl>
    <w:lvl w:ilvl="2" w:tplc="9FF29552">
      <w:numFmt w:val="bullet"/>
      <w:lvlText w:val="•"/>
      <w:lvlJc w:val="left"/>
      <w:pPr>
        <w:ind w:left="3485" w:hanging="367"/>
      </w:pPr>
      <w:rPr>
        <w:rFonts w:hint="default"/>
        <w:lang w:val="es-ES" w:eastAsia="es-ES" w:bidi="es-ES"/>
      </w:rPr>
    </w:lvl>
    <w:lvl w:ilvl="3" w:tplc="EB1EA538">
      <w:numFmt w:val="bullet"/>
      <w:lvlText w:val="•"/>
      <w:lvlJc w:val="left"/>
      <w:pPr>
        <w:ind w:left="4437" w:hanging="367"/>
      </w:pPr>
      <w:rPr>
        <w:rFonts w:hint="default"/>
        <w:lang w:val="es-ES" w:eastAsia="es-ES" w:bidi="es-ES"/>
      </w:rPr>
    </w:lvl>
    <w:lvl w:ilvl="4" w:tplc="BE6CCE58">
      <w:numFmt w:val="bullet"/>
      <w:lvlText w:val="•"/>
      <w:lvlJc w:val="left"/>
      <w:pPr>
        <w:ind w:left="5390" w:hanging="367"/>
      </w:pPr>
      <w:rPr>
        <w:rFonts w:hint="default"/>
        <w:lang w:val="es-ES" w:eastAsia="es-ES" w:bidi="es-ES"/>
      </w:rPr>
    </w:lvl>
    <w:lvl w:ilvl="5" w:tplc="C38EAD02">
      <w:numFmt w:val="bullet"/>
      <w:lvlText w:val="•"/>
      <w:lvlJc w:val="left"/>
      <w:pPr>
        <w:ind w:left="6342" w:hanging="367"/>
      </w:pPr>
      <w:rPr>
        <w:rFonts w:hint="default"/>
        <w:lang w:val="es-ES" w:eastAsia="es-ES" w:bidi="es-ES"/>
      </w:rPr>
    </w:lvl>
    <w:lvl w:ilvl="6" w:tplc="DB92050C">
      <w:numFmt w:val="bullet"/>
      <w:lvlText w:val="•"/>
      <w:lvlJc w:val="left"/>
      <w:pPr>
        <w:ind w:left="7295" w:hanging="367"/>
      </w:pPr>
      <w:rPr>
        <w:rFonts w:hint="default"/>
        <w:lang w:val="es-ES" w:eastAsia="es-ES" w:bidi="es-ES"/>
      </w:rPr>
    </w:lvl>
    <w:lvl w:ilvl="7" w:tplc="0B589258">
      <w:numFmt w:val="bullet"/>
      <w:lvlText w:val="•"/>
      <w:lvlJc w:val="left"/>
      <w:pPr>
        <w:ind w:left="8247" w:hanging="367"/>
      </w:pPr>
      <w:rPr>
        <w:rFonts w:hint="default"/>
        <w:lang w:val="es-ES" w:eastAsia="es-ES" w:bidi="es-ES"/>
      </w:rPr>
    </w:lvl>
    <w:lvl w:ilvl="8" w:tplc="C09C99BE">
      <w:numFmt w:val="bullet"/>
      <w:lvlText w:val="•"/>
      <w:lvlJc w:val="left"/>
      <w:pPr>
        <w:ind w:left="9200" w:hanging="367"/>
      </w:pPr>
      <w:rPr>
        <w:rFonts w:hint="default"/>
        <w:lang w:val="es-ES" w:eastAsia="es-ES" w:bidi="es-ES"/>
      </w:rPr>
    </w:lvl>
  </w:abstractNum>
  <w:abstractNum w:abstractNumId="4" w15:restartNumberingAfterBreak="0">
    <w:nsid w:val="1E6716F0"/>
    <w:multiLevelType w:val="hybridMultilevel"/>
    <w:tmpl w:val="3D401BD8"/>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25F56518"/>
    <w:multiLevelType w:val="hybridMultilevel"/>
    <w:tmpl w:val="27A2E52A"/>
    <w:lvl w:ilvl="0" w:tplc="C8EA3824">
      <w:start w:val="4"/>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6" w15:restartNumberingAfterBreak="0">
    <w:nsid w:val="299E4B79"/>
    <w:multiLevelType w:val="hybridMultilevel"/>
    <w:tmpl w:val="31482696"/>
    <w:lvl w:ilvl="0" w:tplc="CFBAB2B4">
      <w:start w:val="1"/>
      <w:numFmt w:val="lowerLetter"/>
      <w:lvlText w:val="%1)"/>
      <w:lvlJc w:val="left"/>
      <w:pPr>
        <w:ind w:left="1584" w:hanging="378"/>
      </w:pPr>
      <w:rPr>
        <w:rFonts w:ascii="Arial" w:eastAsia="Arial" w:hAnsi="Arial" w:cs="Arial" w:hint="default"/>
        <w:spacing w:val="-23"/>
        <w:w w:val="100"/>
        <w:sz w:val="20"/>
        <w:szCs w:val="20"/>
        <w:lang w:val="es-ES" w:eastAsia="es-ES" w:bidi="es-ES"/>
      </w:rPr>
    </w:lvl>
    <w:lvl w:ilvl="1" w:tplc="4DCE6726">
      <w:numFmt w:val="bullet"/>
      <w:lvlText w:val="•"/>
      <w:lvlJc w:val="left"/>
      <w:pPr>
        <w:ind w:left="2532" w:hanging="378"/>
      </w:pPr>
      <w:rPr>
        <w:rFonts w:hint="default"/>
        <w:lang w:val="es-ES" w:eastAsia="es-ES" w:bidi="es-ES"/>
      </w:rPr>
    </w:lvl>
    <w:lvl w:ilvl="2" w:tplc="785251DC">
      <w:numFmt w:val="bullet"/>
      <w:lvlText w:val="•"/>
      <w:lvlJc w:val="left"/>
      <w:pPr>
        <w:ind w:left="3485" w:hanging="378"/>
      </w:pPr>
      <w:rPr>
        <w:rFonts w:hint="default"/>
        <w:lang w:val="es-ES" w:eastAsia="es-ES" w:bidi="es-ES"/>
      </w:rPr>
    </w:lvl>
    <w:lvl w:ilvl="3" w:tplc="D5E08A90">
      <w:numFmt w:val="bullet"/>
      <w:lvlText w:val="•"/>
      <w:lvlJc w:val="left"/>
      <w:pPr>
        <w:ind w:left="4437" w:hanging="378"/>
      </w:pPr>
      <w:rPr>
        <w:rFonts w:hint="default"/>
        <w:lang w:val="es-ES" w:eastAsia="es-ES" w:bidi="es-ES"/>
      </w:rPr>
    </w:lvl>
    <w:lvl w:ilvl="4" w:tplc="5E3A4B14">
      <w:numFmt w:val="bullet"/>
      <w:lvlText w:val="•"/>
      <w:lvlJc w:val="left"/>
      <w:pPr>
        <w:ind w:left="5390" w:hanging="378"/>
      </w:pPr>
      <w:rPr>
        <w:rFonts w:hint="default"/>
        <w:lang w:val="es-ES" w:eastAsia="es-ES" w:bidi="es-ES"/>
      </w:rPr>
    </w:lvl>
    <w:lvl w:ilvl="5" w:tplc="949E0582">
      <w:numFmt w:val="bullet"/>
      <w:lvlText w:val="•"/>
      <w:lvlJc w:val="left"/>
      <w:pPr>
        <w:ind w:left="6342" w:hanging="378"/>
      </w:pPr>
      <w:rPr>
        <w:rFonts w:hint="default"/>
        <w:lang w:val="es-ES" w:eastAsia="es-ES" w:bidi="es-ES"/>
      </w:rPr>
    </w:lvl>
    <w:lvl w:ilvl="6" w:tplc="C2B89A38">
      <w:numFmt w:val="bullet"/>
      <w:lvlText w:val="•"/>
      <w:lvlJc w:val="left"/>
      <w:pPr>
        <w:ind w:left="7295" w:hanging="378"/>
      </w:pPr>
      <w:rPr>
        <w:rFonts w:hint="default"/>
        <w:lang w:val="es-ES" w:eastAsia="es-ES" w:bidi="es-ES"/>
      </w:rPr>
    </w:lvl>
    <w:lvl w:ilvl="7" w:tplc="D8DC1A40">
      <w:numFmt w:val="bullet"/>
      <w:lvlText w:val="•"/>
      <w:lvlJc w:val="left"/>
      <w:pPr>
        <w:ind w:left="8247" w:hanging="378"/>
      </w:pPr>
      <w:rPr>
        <w:rFonts w:hint="default"/>
        <w:lang w:val="es-ES" w:eastAsia="es-ES" w:bidi="es-ES"/>
      </w:rPr>
    </w:lvl>
    <w:lvl w:ilvl="8" w:tplc="5F0A73A6">
      <w:numFmt w:val="bullet"/>
      <w:lvlText w:val="•"/>
      <w:lvlJc w:val="left"/>
      <w:pPr>
        <w:ind w:left="9200" w:hanging="378"/>
      </w:pPr>
      <w:rPr>
        <w:rFonts w:hint="default"/>
        <w:lang w:val="es-ES" w:eastAsia="es-ES" w:bidi="es-ES"/>
      </w:rPr>
    </w:lvl>
  </w:abstractNum>
  <w:abstractNum w:abstractNumId="7" w15:restartNumberingAfterBreak="0">
    <w:nsid w:val="38A30B89"/>
    <w:multiLevelType w:val="hybridMultilevel"/>
    <w:tmpl w:val="5860D7A6"/>
    <w:lvl w:ilvl="0" w:tplc="0C0A0001">
      <w:start w:val="1"/>
      <w:numFmt w:val="bullet"/>
      <w:lvlText w:val=""/>
      <w:lvlJc w:val="left"/>
      <w:pPr>
        <w:ind w:left="1440" w:hanging="360"/>
      </w:pPr>
      <w:rPr>
        <w:rFonts w:ascii="Symbol" w:hAnsi="Symbol"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15:restartNumberingAfterBreak="0">
    <w:nsid w:val="3D2B4962"/>
    <w:multiLevelType w:val="hybridMultilevel"/>
    <w:tmpl w:val="669AB34C"/>
    <w:lvl w:ilvl="0" w:tplc="1FDC94F8">
      <w:start w:val="1"/>
      <w:numFmt w:val="decimal"/>
      <w:lvlText w:val="%1."/>
      <w:lvlJc w:val="left"/>
      <w:pPr>
        <w:ind w:left="525" w:hanging="360"/>
      </w:pPr>
      <w:rPr>
        <w:rFonts w:hint="default"/>
      </w:rPr>
    </w:lvl>
    <w:lvl w:ilvl="1" w:tplc="0C0A0019" w:tentative="1">
      <w:start w:val="1"/>
      <w:numFmt w:val="lowerLetter"/>
      <w:lvlText w:val="%2."/>
      <w:lvlJc w:val="left"/>
      <w:pPr>
        <w:ind w:left="1245" w:hanging="360"/>
      </w:pPr>
    </w:lvl>
    <w:lvl w:ilvl="2" w:tplc="0C0A001B" w:tentative="1">
      <w:start w:val="1"/>
      <w:numFmt w:val="lowerRoman"/>
      <w:lvlText w:val="%3."/>
      <w:lvlJc w:val="right"/>
      <w:pPr>
        <w:ind w:left="1965" w:hanging="180"/>
      </w:pPr>
    </w:lvl>
    <w:lvl w:ilvl="3" w:tplc="0C0A000F" w:tentative="1">
      <w:start w:val="1"/>
      <w:numFmt w:val="decimal"/>
      <w:lvlText w:val="%4."/>
      <w:lvlJc w:val="left"/>
      <w:pPr>
        <w:ind w:left="2685" w:hanging="360"/>
      </w:pPr>
    </w:lvl>
    <w:lvl w:ilvl="4" w:tplc="0C0A0019" w:tentative="1">
      <w:start w:val="1"/>
      <w:numFmt w:val="lowerLetter"/>
      <w:lvlText w:val="%5."/>
      <w:lvlJc w:val="left"/>
      <w:pPr>
        <w:ind w:left="3405" w:hanging="360"/>
      </w:pPr>
    </w:lvl>
    <w:lvl w:ilvl="5" w:tplc="0C0A001B" w:tentative="1">
      <w:start w:val="1"/>
      <w:numFmt w:val="lowerRoman"/>
      <w:lvlText w:val="%6."/>
      <w:lvlJc w:val="right"/>
      <w:pPr>
        <w:ind w:left="4125" w:hanging="180"/>
      </w:pPr>
    </w:lvl>
    <w:lvl w:ilvl="6" w:tplc="0C0A000F" w:tentative="1">
      <w:start w:val="1"/>
      <w:numFmt w:val="decimal"/>
      <w:lvlText w:val="%7."/>
      <w:lvlJc w:val="left"/>
      <w:pPr>
        <w:ind w:left="4845" w:hanging="360"/>
      </w:pPr>
    </w:lvl>
    <w:lvl w:ilvl="7" w:tplc="0C0A0019" w:tentative="1">
      <w:start w:val="1"/>
      <w:numFmt w:val="lowerLetter"/>
      <w:lvlText w:val="%8."/>
      <w:lvlJc w:val="left"/>
      <w:pPr>
        <w:ind w:left="5565" w:hanging="360"/>
      </w:pPr>
    </w:lvl>
    <w:lvl w:ilvl="8" w:tplc="0C0A001B" w:tentative="1">
      <w:start w:val="1"/>
      <w:numFmt w:val="lowerRoman"/>
      <w:lvlText w:val="%9."/>
      <w:lvlJc w:val="right"/>
      <w:pPr>
        <w:ind w:left="6285" w:hanging="180"/>
      </w:pPr>
    </w:lvl>
  </w:abstractNum>
  <w:abstractNum w:abstractNumId="9" w15:restartNumberingAfterBreak="0">
    <w:nsid w:val="46027D48"/>
    <w:multiLevelType w:val="hybridMultilevel"/>
    <w:tmpl w:val="AB685EE4"/>
    <w:lvl w:ilvl="0" w:tplc="5C1ACDFA">
      <w:start w:val="1"/>
      <w:numFmt w:val="decimal"/>
      <w:lvlText w:val="%1."/>
      <w:lvlJc w:val="left"/>
      <w:pPr>
        <w:ind w:left="480" w:hanging="360"/>
      </w:pPr>
      <w:rPr>
        <w:rFonts w:hint="default"/>
      </w:rPr>
    </w:lvl>
    <w:lvl w:ilvl="1" w:tplc="0C0A0019" w:tentative="1">
      <w:start w:val="1"/>
      <w:numFmt w:val="lowerLetter"/>
      <w:lvlText w:val="%2."/>
      <w:lvlJc w:val="left"/>
      <w:pPr>
        <w:ind w:left="1200" w:hanging="360"/>
      </w:pPr>
    </w:lvl>
    <w:lvl w:ilvl="2" w:tplc="0C0A001B" w:tentative="1">
      <w:start w:val="1"/>
      <w:numFmt w:val="lowerRoman"/>
      <w:lvlText w:val="%3."/>
      <w:lvlJc w:val="right"/>
      <w:pPr>
        <w:ind w:left="1920" w:hanging="180"/>
      </w:pPr>
    </w:lvl>
    <w:lvl w:ilvl="3" w:tplc="0C0A000F" w:tentative="1">
      <w:start w:val="1"/>
      <w:numFmt w:val="decimal"/>
      <w:lvlText w:val="%4."/>
      <w:lvlJc w:val="left"/>
      <w:pPr>
        <w:ind w:left="2640" w:hanging="360"/>
      </w:pPr>
    </w:lvl>
    <w:lvl w:ilvl="4" w:tplc="0C0A0019" w:tentative="1">
      <w:start w:val="1"/>
      <w:numFmt w:val="lowerLetter"/>
      <w:lvlText w:val="%5."/>
      <w:lvlJc w:val="left"/>
      <w:pPr>
        <w:ind w:left="3360" w:hanging="360"/>
      </w:pPr>
    </w:lvl>
    <w:lvl w:ilvl="5" w:tplc="0C0A001B" w:tentative="1">
      <w:start w:val="1"/>
      <w:numFmt w:val="lowerRoman"/>
      <w:lvlText w:val="%6."/>
      <w:lvlJc w:val="right"/>
      <w:pPr>
        <w:ind w:left="4080" w:hanging="180"/>
      </w:pPr>
    </w:lvl>
    <w:lvl w:ilvl="6" w:tplc="0C0A000F" w:tentative="1">
      <w:start w:val="1"/>
      <w:numFmt w:val="decimal"/>
      <w:lvlText w:val="%7."/>
      <w:lvlJc w:val="left"/>
      <w:pPr>
        <w:ind w:left="4800" w:hanging="360"/>
      </w:pPr>
    </w:lvl>
    <w:lvl w:ilvl="7" w:tplc="0C0A0019" w:tentative="1">
      <w:start w:val="1"/>
      <w:numFmt w:val="lowerLetter"/>
      <w:lvlText w:val="%8."/>
      <w:lvlJc w:val="left"/>
      <w:pPr>
        <w:ind w:left="5520" w:hanging="360"/>
      </w:pPr>
    </w:lvl>
    <w:lvl w:ilvl="8" w:tplc="0C0A001B" w:tentative="1">
      <w:start w:val="1"/>
      <w:numFmt w:val="lowerRoman"/>
      <w:lvlText w:val="%9."/>
      <w:lvlJc w:val="right"/>
      <w:pPr>
        <w:ind w:left="6240" w:hanging="180"/>
      </w:pPr>
    </w:lvl>
  </w:abstractNum>
  <w:abstractNum w:abstractNumId="10" w15:restartNumberingAfterBreak="0">
    <w:nsid w:val="4D5B5405"/>
    <w:multiLevelType w:val="hybridMultilevel"/>
    <w:tmpl w:val="5100DC00"/>
    <w:lvl w:ilvl="0" w:tplc="66DED25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FD32AEC"/>
    <w:multiLevelType w:val="hybridMultilevel"/>
    <w:tmpl w:val="91B08278"/>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50D005C5"/>
    <w:multiLevelType w:val="hybridMultilevel"/>
    <w:tmpl w:val="A9D4A3FE"/>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3" w15:restartNumberingAfterBreak="0">
    <w:nsid w:val="58F56CC0"/>
    <w:multiLevelType w:val="hybridMultilevel"/>
    <w:tmpl w:val="20223F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B0E698A"/>
    <w:multiLevelType w:val="hybridMultilevel"/>
    <w:tmpl w:val="C642687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C980E96"/>
    <w:multiLevelType w:val="hybridMultilevel"/>
    <w:tmpl w:val="88C69EF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6" w15:restartNumberingAfterBreak="0">
    <w:nsid w:val="5D537C03"/>
    <w:multiLevelType w:val="hybridMultilevel"/>
    <w:tmpl w:val="402C6C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DB10EAC"/>
    <w:multiLevelType w:val="hybridMultilevel"/>
    <w:tmpl w:val="799A9EA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E507A93"/>
    <w:multiLevelType w:val="hybridMultilevel"/>
    <w:tmpl w:val="BAFA8D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9D739BE"/>
    <w:multiLevelType w:val="hybridMultilevel"/>
    <w:tmpl w:val="20223F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07A3E80"/>
    <w:multiLevelType w:val="hybridMultilevel"/>
    <w:tmpl w:val="F3C2023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46D3EC4"/>
    <w:multiLevelType w:val="hybridMultilevel"/>
    <w:tmpl w:val="CBF40C76"/>
    <w:lvl w:ilvl="0" w:tplc="3D8A47F2">
      <w:start w:val="1"/>
      <w:numFmt w:val="lowerLetter"/>
      <w:lvlText w:val="%1)"/>
      <w:lvlJc w:val="left"/>
      <w:pPr>
        <w:ind w:left="1107" w:hanging="360"/>
      </w:pPr>
      <w:rPr>
        <w:rFonts w:eastAsiaTheme="minorHAnsi" w:hint="default"/>
      </w:rPr>
    </w:lvl>
    <w:lvl w:ilvl="1" w:tplc="553AF5BA">
      <w:start w:val="1"/>
      <w:numFmt w:val="bullet"/>
      <w:lvlText w:val="-"/>
      <w:lvlJc w:val="left"/>
      <w:pPr>
        <w:ind w:left="1827" w:hanging="360"/>
      </w:pPr>
      <w:rPr>
        <w:rFonts w:ascii="Arial" w:eastAsia="Calibri" w:hAnsi="Arial" w:cs="Arial" w:hint="default"/>
      </w:rPr>
    </w:lvl>
    <w:lvl w:ilvl="2" w:tplc="0C0A001B" w:tentative="1">
      <w:start w:val="1"/>
      <w:numFmt w:val="lowerRoman"/>
      <w:lvlText w:val="%3."/>
      <w:lvlJc w:val="right"/>
      <w:pPr>
        <w:ind w:left="2547" w:hanging="180"/>
      </w:pPr>
    </w:lvl>
    <w:lvl w:ilvl="3" w:tplc="0C0A000F" w:tentative="1">
      <w:start w:val="1"/>
      <w:numFmt w:val="decimal"/>
      <w:lvlText w:val="%4."/>
      <w:lvlJc w:val="left"/>
      <w:pPr>
        <w:ind w:left="3267" w:hanging="360"/>
      </w:pPr>
    </w:lvl>
    <w:lvl w:ilvl="4" w:tplc="0C0A0019" w:tentative="1">
      <w:start w:val="1"/>
      <w:numFmt w:val="lowerLetter"/>
      <w:lvlText w:val="%5."/>
      <w:lvlJc w:val="left"/>
      <w:pPr>
        <w:ind w:left="3987" w:hanging="360"/>
      </w:pPr>
    </w:lvl>
    <w:lvl w:ilvl="5" w:tplc="0C0A001B" w:tentative="1">
      <w:start w:val="1"/>
      <w:numFmt w:val="lowerRoman"/>
      <w:lvlText w:val="%6."/>
      <w:lvlJc w:val="right"/>
      <w:pPr>
        <w:ind w:left="4707" w:hanging="180"/>
      </w:pPr>
    </w:lvl>
    <w:lvl w:ilvl="6" w:tplc="0C0A000F" w:tentative="1">
      <w:start w:val="1"/>
      <w:numFmt w:val="decimal"/>
      <w:lvlText w:val="%7."/>
      <w:lvlJc w:val="left"/>
      <w:pPr>
        <w:ind w:left="5427" w:hanging="360"/>
      </w:pPr>
    </w:lvl>
    <w:lvl w:ilvl="7" w:tplc="0C0A0019" w:tentative="1">
      <w:start w:val="1"/>
      <w:numFmt w:val="lowerLetter"/>
      <w:lvlText w:val="%8."/>
      <w:lvlJc w:val="left"/>
      <w:pPr>
        <w:ind w:left="6147" w:hanging="360"/>
      </w:pPr>
    </w:lvl>
    <w:lvl w:ilvl="8" w:tplc="0C0A001B" w:tentative="1">
      <w:start w:val="1"/>
      <w:numFmt w:val="lowerRoman"/>
      <w:lvlText w:val="%9."/>
      <w:lvlJc w:val="right"/>
      <w:pPr>
        <w:ind w:left="6867" w:hanging="180"/>
      </w:pPr>
    </w:lvl>
  </w:abstractNum>
  <w:abstractNum w:abstractNumId="22" w15:restartNumberingAfterBreak="0">
    <w:nsid w:val="760606CD"/>
    <w:multiLevelType w:val="hybridMultilevel"/>
    <w:tmpl w:val="B6D216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61D1A41"/>
    <w:multiLevelType w:val="hybridMultilevel"/>
    <w:tmpl w:val="458CA1FE"/>
    <w:lvl w:ilvl="0" w:tplc="975891B4">
      <w:start w:val="1"/>
      <w:numFmt w:val="decimal"/>
      <w:lvlText w:val="%1."/>
      <w:lvlJc w:val="left"/>
      <w:pPr>
        <w:ind w:left="525" w:hanging="360"/>
      </w:pPr>
      <w:rPr>
        <w:rFonts w:hint="default"/>
      </w:rPr>
    </w:lvl>
    <w:lvl w:ilvl="1" w:tplc="0C0A0019" w:tentative="1">
      <w:start w:val="1"/>
      <w:numFmt w:val="lowerLetter"/>
      <w:lvlText w:val="%2."/>
      <w:lvlJc w:val="left"/>
      <w:pPr>
        <w:ind w:left="1245" w:hanging="360"/>
      </w:pPr>
    </w:lvl>
    <w:lvl w:ilvl="2" w:tplc="0C0A001B" w:tentative="1">
      <w:start w:val="1"/>
      <w:numFmt w:val="lowerRoman"/>
      <w:lvlText w:val="%3."/>
      <w:lvlJc w:val="right"/>
      <w:pPr>
        <w:ind w:left="1965" w:hanging="180"/>
      </w:pPr>
    </w:lvl>
    <w:lvl w:ilvl="3" w:tplc="0C0A000F" w:tentative="1">
      <w:start w:val="1"/>
      <w:numFmt w:val="decimal"/>
      <w:lvlText w:val="%4."/>
      <w:lvlJc w:val="left"/>
      <w:pPr>
        <w:ind w:left="2685" w:hanging="360"/>
      </w:pPr>
    </w:lvl>
    <w:lvl w:ilvl="4" w:tplc="0C0A0019" w:tentative="1">
      <w:start w:val="1"/>
      <w:numFmt w:val="lowerLetter"/>
      <w:lvlText w:val="%5."/>
      <w:lvlJc w:val="left"/>
      <w:pPr>
        <w:ind w:left="3405" w:hanging="360"/>
      </w:pPr>
    </w:lvl>
    <w:lvl w:ilvl="5" w:tplc="0C0A001B" w:tentative="1">
      <w:start w:val="1"/>
      <w:numFmt w:val="lowerRoman"/>
      <w:lvlText w:val="%6."/>
      <w:lvlJc w:val="right"/>
      <w:pPr>
        <w:ind w:left="4125" w:hanging="180"/>
      </w:pPr>
    </w:lvl>
    <w:lvl w:ilvl="6" w:tplc="0C0A000F" w:tentative="1">
      <w:start w:val="1"/>
      <w:numFmt w:val="decimal"/>
      <w:lvlText w:val="%7."/>
      <w:lvlJc w:val="left"/>
      <w:pPr>
        <w:ind w:left="4845" w:hanging="360"/>
      </w:pPr>
    </w:lvl>
    <w:lvl w:ilvl="7" w:tplc="0C0A0019" w:tentative="1">
      <w:start w:val="1"/>
      <w:numFmt w:val="lowerLetter"/>
      <w:lvlText w:val="%8."/>
      <w:lvlJc w:val="left"/>
      <w:pPr>
        <w:ind w:left="5565" w:hanging="360"/>
      </w:pPr>
    </w:lvl>
    <w:lvl w:ilvl="8" w:tplc="0C0A001B" w:tentative="1">
      <w:start w:val="1"/>
      <w:numFmt w:val="lowerRoman"/>
      <w:lvlText w:val="%9."/>
      <w:lvlJc w:val="right"/>
      <w:pPr>
        <w:ind w:left="6285" w:hanging="180"/>
      </w:pPr>
    </w:lvl>
  </w:abstractNum>
  <w:abstractNum w:abstractNumId="24" w15:restartNumberingAfterBreak="0">
    <w:nsid w:val="77A266F9"/>
    <w:multiLevelType w:val="hybridMultilevel"/>
    <w:tmpl w:val="42BA65C0"/>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783444D1"/>
    <w:multiLevelType w:val="hybridMultilevel"/>
    <w:tmpl w:val="3D123918"/>
    <w:lvl w:ilvl="0" w:tplc="0C0A0001">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8856256"/>
    <w:multiLevelType w:val="hybridMultilevel"/>
    <w:tmpl w:val="388499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10"/>
  </w:num>
  <w:num w:numId="3">
    <w:abstractNumId w:val="9"/>
  </w:num>
  <w:num w:numId="4">
    <w:abstractNumId w:val="6"/>
  </w:num>
  <w:num w:numId="5">
    <w:abstractNumId w:val="1"/>
  </w:num>
  <w:num w:numId="6">
    <w:abstractNumId w:val="3"/>
  </w:num>
  <w:num w:numId="7">
    <w:abstractNumId w:val="13"/>
  </w:num>
  <w:num w:numId="8">
    <w:abstractNumId w:val="21"/>
  </w:num>
  <w:num w:numId="9">
    <w:abstractNumId w:val="20"/>
  </w:num>
  <w:num w:numId="10">
    <w:abstractNumId w:val="25"/>
  </w:num>
  <w:num w:numId="11">
    <w:abstractNumId w:val="18"/>
  </w:num>
  <w:num w:numId="12">
    <w:abstractNumId w:val="17"/>
  </w:num>
  <w:num w:numId="13">
    <w:abstractNumId w:val="5"/>
  </w:num>
  <w:num w:numId="14">
    <w:abstractNumId w:val="14"/>
  </w:num>
  <w:num w:numId="15">
    <w:abstractNumId w:val="22"/>
  </w:num>
  <w:num w:numId="16">
    <w:abstractNumId w:val="19"/>
  </w:num>
  <w:num w:numId="17">
    <w:abstractNumId w:val="24"/>
  </w:num>
  <w:num w:numId="18">
    <w:abstractNumId w:val="4"/>
  </w:num>
  <w:num w:numId="19">
    <w:abstractNumId w:val="7"/>
  </w:num>
  <w:num w:numId="20">
    <w:abstractNumId w:val="2"/>
  </w:num>
  <w:num w:numId="21">
    <w:abstractNumId w:val="15"/>
  </w:num>
  <w:num w:numId="22">
    <w:abstractNumId w:val="12"/>
  </w:num>
  <w:num w:numId="23">
    <w:abstractNumId w:val="23"/>
  </w:num>
  <w:num w:numId="24">
    <w:abstractNumId w:val="0"/>
  </w:num>
  <w:num w:numId="25">
    <w:abstractNumId w:val="8"/>
  </w:num>
  <w:num w:numId="26">
    <w:abstractNumId w:val="11"/>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8C4"/>
    <w:rsid w:val="000034F6"/>
    <w:rsid w:val="000051B1"/>
    <w:rsid w:val="00024085"/>
    <w:rsid w:val="00044190"/>
    <w:rsid w:val="00044BA2"/>
    <w:rsid w:val="00047D9C"/>
    <w:rsid w:val="000668D5"/>
    <w:rsid w:val="00074182"/>
    <w:rsid w:val="0007700C"/>
    <w:rsid w:val="00081B3A"/>
    <w:rsid w:val="00091BE3"/>
    <w:rsid w:val="000950EA"/>
    <w:rsid w:val="000A1854"/>
    <w:rsid w:val="000A24B6"/>
    <w:rsid w:val="000E7437"/>
    <w:rsid w:val="00105EA4"/>
    <w:rsid w:val="0011038D"/>
    <w:rsid w:val="0011127D"/>
    <w:rsid w:val="001303F4"/>
    <w:rsid w:val="001314CC"/>
    <w:rsid w:val="001448A3"/>
    <w:rsid w:val="00154910"/>
    <w:rsid w:val="00154994"/>
    <w:rsid w:val="0015696B"/>
    <w:rsid w:val="001646B8"/>
    <w:rsid w:val="00170597"/>
    <w:rsid w:val="00194CB5"/>
    <w:rsid w:val="0019627E"/>
    <w:rsid w:val="001A2E6D"/>
    <w:rsid w:val="001B56CF"/>
    <w:rsid w:val="001C02C6"/>
    <w:rsid w:val="001D3A75"/>
    <w:rsid w:val="001E7073"/>
    <w:rsid w:val="001F1680"/>
    <w:rsid w:val="00222CDE"/>
    <w:rsid w:val="00222D94"/>
    <w:rsid w:val="00226977"/>
    <w:rsid w:val="00235BC4"/>
    <w:rsid w:val="00246443"/>
    <w:rsid w:val="002473AD"/>
    <w:rsid w:val="00254E62"/>
    <w:rsid w:val="00256C8B"/>
    <w:rsid w:val="00273F32"/>
    <w:rsid w:val="002877CF"/>
    <w:rsid w:val="00287E3E"/>
    <w:rsid w:val="002A4F28"/>
    <w:rsid w:val="002A7416"/>
    <w:rsid w:val="002C3A7B"/>
    <w:rsid w:val="002D5034"/>
    <w:rsid w:val="002D5E8D"/>
    <w:rsid w:val="002E58D6"/>
    <w:rsid w:val="002E7A1D"/>
    <w:rsid w:val="00300E6A"/>
    <w:rsid w:val="00300FE0"/>
    <w:rsid w:val="00305C2A"/>
    <w:rsid w:val="00306ED1"/>
    <w:rsid w:val="0031422F"/>
    <w:rsid w:val="003223A2"/>
    <w:rsid w:val="00325444"/>
    <w:rsid w:val="00346F96"/>
    <w:rsid w:val="0036027B"/>
    <w:rsid w:val="003634F7"/>
    <w:rsid w:val="00371B26"/>
    <w:rsid w:val="00373477"/>
    <w:rsid w:val="003828D2"/>
    <w:rsid w:val="00383E73"/>
    <w:rsid w:val="0039350F"/>
    <w:rsid w:val="003A6399"/>
    <w:rsid w:val="003B2EAC"/>
    <w:rsid w:val="003B3C77"/>
    <w:rsid w:val="003B6F0B"/>
    <w:rsid w:val="003C1EDC"/>
    <w:rsid w:val="003E09E2"/>
    <w:rsid w:val="0040412D"/>
    <w:rsid w:val="004048F4"/>
    <w:rsid w:val="00404E0E"/>
    <w:rsid w:val="00432775"/>
    <w:rsid w:val="004441E2"/>
    <w:rsid w:val="004444CF"/>
    <w:rsid w:val="00457766"/>
    <w:rsid w:val="00465E80"/>
    <w:rsid w:val="0047744A"/>
    <w:rsid w:val="00480E81"/>
    <w:rsid w:val="004878C4"/>
    <w:rsid w:val="00487C4C"/>
    <w:rsid w:val="00491436"/>
    <w:rsid w:val="00492FC5"/>
    <w:rsid w:val="00495E8F"/>
    <w:rsid w:val="004D251C"/>
    <w:rsid w:val="004F565D"/>
    <w:rsid w:val="005009F3"/>
    <w:rsid w:val="005032F9"/>
    <w:rsid w:val="00503A79"/>
    <w:rsid w:val="0050708D"/>
    <w:rsid w:val="00510E08"/>
    <w:rsid w:val="0051743E"/>
    <w:rsid w:val="00523260"/>
    <w:rsid w:val="00523491"/>
    <w:rsid w:val="005307BE"/>
    <w:rsid w:val="00543C38"/>
    <w:rsid w:val="00550BB7"/>
    <w:rsid w:val="00553DA2"/>
    <w:rsid w:val="00564223"/>
    <w:rsid w:val="00567FC0"/>
    <w:rsid w:val="005746E4"/>
    <w:rsid w:val="00583108"/>
    <w:rsid w:val="0058398E"/>
    <w:rsid w:val="005A22FF"/>
    <w:rsid w:val="005B35A8"/>
    <w:rsid w:val="005D1FE9"/>
    <w:rsid w:val="005D28B9"/>
    <w:rsid w:val="005F6C50"/>
    <w:rsid w:val="0060424A"/>
    <w:rsid w:val="00604B19"/>
    <w:rsid w:val="00611AF9"/>
    <w:rsid w:val="0061433D"/>
    <w:rsid w:val="00620A7E"/>
    <w:rsid w:val="00623551"/>
    <w:rsid w:val="00635889"/>
    <w:rsid w:val="00657316"/>
    <w:rsid w:val="00660014"/>
    <w:rsid w:val="00664EC7"/>
    <w:rsid w:val="00673AE8"/>
    <w:rsid w:val="006744E3"/>
    <w:rsid w:val="0068321B"/>
    <w:rsid w:val="006B7420"/>
    <w:rsid w:val="006C71AF"/>
    <w:rsid w:val="006D6046"/>
    <w:rsid w:val="00713B42"/>
    <w:rsid w:val="007214E1"/>
    <w:rsid w:val="0072275A"/>
    <w:rsid w:val="0073307B"/>
    <w:rsid w:val="0073380D"/>
    <w:rsid w:val="00752254"/>
    <w:rsid w:val="00754280"/>
    <w:rsid w:val="00761CA2"/>
    <w:rsid w:val="0076262C"/>
    <w:rsid w:val="00762CBD"/>
    <w:rsid w:val="00765C94"/>
    <w:rsid w:val="007767C1"/>
    <w:rsid w:val="0078060F"/>
    <w:rsid w:val="00782618"/>
    <w:rsid w:val="00785BCE"/>
    <w:rsid w:val="007B00AE"/>
    <w:rsid w:val="007E1D01"/>
    <w:rsid w:val="007E62E9"/>
    <w:rsid w:val="007F7532"/>
    <w:rsid w:val="00800C21"/>
    <w:rsid w:val="00803EBC"/>
    <w:rsid w:val="00824F6E"/>
    <w:rsid w:val="0083095C"/>
    <w:rsid w:val="00832355"/>
    <w:rsid w:val="008402F7"/>
    <w:rsid w:val="0084076D"/>
    <w:rsid w:val="0084522D"/>
    <w:rsid w:val="0085202A"/>
    <w:rsid w:val="00852B06"/>
    <w:rsid w:val="00857D0D"/>
    <w:rsid w:val="00863E6A"/>
    <w:rsid w:val="00877A7D"/>
    <w:rsid w:val="00885C08"/>
    <w:rsid w:val="00886490"/>
    <w:rsid w:val="008871D3"/>
    <w:rsid w:val="008A5F16"/>
    <w:rsid w:val="008A7DBE"/>
    <w:rsid w:val="008B0F90"/>
    <w:rsid w:val="008B3F85"/>
    <w:rsid w:val="008B5818"/>
    <w:rsid w:val="008B7869"/>
    <w:rsid w:val="008B7D58"/>
    <w:rsid w:val="008C51CC"/>
    <w:rsid w:val="008D6D0D"/>
    <w:rsid w:val="008E4656"/>
    <w:rsid w:val="008E5791"/>
    <w:rsid w:val="008E65B5"/>
    <w:rsid w:val="008F01AA"/>
    <w:rsid w:val="009001C4"/>
    <w:rsid w:val="009125AB"/>
    <w:rsid w:val="0092417A"/>
    <w:rsid w:val="00926507"/>
    <w:rsid w:val="00926BE9"/>
    <w:rsid w:val="0094427F"/>
    <w:rsid w:val="00952A62"/>
    <w:rsid w:val="00953789"/>
    <w:rsid w:val="0095438D"/>
    <w:rsid w:val="009601DF"/>
    <w:rsid w:val="00964D49"/>
    <w:rsid w:val="009813AE"/>
    <w:rsid w:val="00984FDC"/>
    <w:rsid w:val="00994721"/>
    <w:rsid w:val="009A0B1D"/>
    <w:rsid w:val="009B61A1"/>
    <w:rsid w:val="009B7D95"/>
    <w:rsid w:val="009D7C9D"/>
    <w:rsid w:val="009E2021"/>
    <w:rsid w:val="009E7128"/>
    <w:rsid w:val="009F28DD"/>
    <w:rsid w:val="009F3A79"/>
    <w:rsid w:val="00A16292"/>
    <w:rsid w:val="00A25C22"/>
    <w:rsid w:val="00A31A1B"/>
    <w:rsid w:val="00A3342F"/>
    <w:rsid w:val="00A60209"/>
    <w:rsid w:val="00A8153A"/>
    <w:rsid w:val="00A8355D"/>
    <w:rsid w:val="00AB25E1"/>
    <w:rsid w:val="00AB4AF8"/>
    <w:rsid w:val="00AD2BA8"/>
    <w:rsid w:val="00AD2BC8"/>
    <w:rsid w:val="00AD3272"/>
    <w:rsid w:val="00AF2ED0"/>
    <w:rsid w:val="00AF3C14"/>
    <w:rsid w:val="00AF59E2"/>
    <w:rsid w:val="00B055D0"/>
    <w:rsid w:val="00B07FBD"/>
    <w:rsid w:val="00B1043E"/>
    <w:rsid w:val="00B1179B"/>
    <w:rsid w:val="00B2524C"/>
    <w:rsid w:val="00B321E3"/>
    <w:rsid w:val="00B37939"/>
    <w:rsid w:val="00B37B86"/>
    <w:rsid w:val="00B626C4"/>
    <w:rsid w:val="00B6367D"/>
    <w:rsid w:val="00B76524"/>
    <w:rsid w:val="00BA3410"/>
    <w:rsid w:val="00BB3F4E"/>
    <w:rsid w:val="00BC6288"/>
    <w:rsid w:val="00BE1801"/>
    <w:rsid w:val="00BF1394"/>
    <w:rsid w:val="00C07EF6"/>
    <w:rsid w:val="00C102F4"/>
    <w:rsid w:val="00C229F0"/>
    <w:rsid w:val="00C41B6D"/>
    <w:rsid w:val="00C52432"/>
    <w:rsid w:val="00C57A9B"/>
    <w:rsid w:val="00C80A53"/>
    <w:rsid w:val="00C828D1"/>
    <w:rsid w:val="00CA1F1A"/>
    <w:rsid w:val="00CB0741"/>
    <w:rsid w:val="00CC1C03"/>
    <w:rsid w:val="00CC52F4"/>
    <w:rsid w:val="00CD5758"/>
    <w:rsid w:val="00D07CE4"/>
    <w:rsid w:val="00D13F6B"/>
    <w:rsid w:val="00D14AB5"/>
    <w:rsid w:val="00D31319"/>
    <w:rsid w:val="00D415F6"/>
    <w:rsid w:val="00D41EDB"/>
    <w:rsid w:val="00D6349B"/>
    <w:rsid w:val="00D73A55"/>
    <w:rsid w:val="00D77303"/>
    <w:rsid w:val="00D80B86"/>
    <w:rsid w:val="00D8241C"/>
    <w:rsid w:val="00D8664A"/>
    <w:rsid w:val="00D90207"/>
    <w:rsid w:val="00D9144A"/>
    <w:rsid w:val="00D91A88"/>
    <w:rsid w:val="00D9580F"/>
    <w:rsid w:val="00D95D63"/>
    <w:rsid w:val="00D97E9A"/>
    <w:rsid w:val="00D97F2E"/>
    <w:rsid w:val="00DA0C33"/>
    <w:rsid w:val="00DA382A"/>
    <w:rsid w:val="00DB0555"/>
    <w:rsid w:val="00DB4259"/>
    <w:rsid w:val="00DB4C64"/>
    <w:rsid w:val="00DC3F48"/>
    <w:rsid w:val="00DC7DC2"/>
    <w:rsid w:val="00DE0AFB"/>
    <w:rsid w:val="00DE3BAF"/>
    <w:rsid w:val="00DE6450"/>
    <w:rsid w:val="00DE68A9"/>
    <w:rsid w:val="00DE7ACF"/>
    <w:rsid w:val="00DF0267"/>
    <w:rsid w:val="00E135A9"/>
    <w:rsid w:val="00E2362C"/>
    <w:rsid w:val="00E237B4"/>
    <w:rsid w:val="00E23834"/>
    <w:rsid w:val="00E339E9"/>
    <w:rsid w:val="00E60FBA"/>
    <w:rsid w:val="00E62FA8"/>
    <w:rsid w:val="00E67A67"/>
    <w:rsid w:val="00E7118E"/>
    <w:rsid w:val="00E77FCF"/>
    <w:rsid w:val="00E82E22"/>
    <w:rsid w:val="00E83A91"/>
    <w:rsid w:val="00E952A0"/>
    <w:rsid w:val="00EA0205"/>
    <w:rsid w:val="00EA138D"/>
    <w:rsid w:val="00EA1BC7"/>
    <w:rsid w:val="00EA4859"/>
    <w:rsid w:val="00EB20E4"/>
    <w:rsid w:val="00EB71F0"/>
    <w:rsid w:val="00EC019D"/>
    <w:rsid w:val="00EC2F14"/>
    <w:rsid w:val="00ED57AF"/>
    <w:rsid w:val="00EF21DF"/>
    <w:rsid w:val="00EF6224"/>
    <w:rsid w:val="00F07244"/>
    <w:rsid w:val="00F07A27"/>
    <w:rsid w:val="00F12753"/>
    <w:rsid w:val="00F17D6B"/>
    <w:rsid w:val="00F204BF"/>
    <w:rsid w:val="00F23358"/>
    <w:rsid w:val="00F2676E"/>
    <w:rsid w:val="00F311D8"/>
    <w:rsid w:val="00F34561"/>
    <w:rsid w:val="00F37A5D"/>
    <w:rsid w:val="00F40752"/>
    <w:rsid w:val="00F42CC1"/>
    <w:rsid w:val="00F55606"/>
    <w:rsid w:val="00F67734"/>
    <w:rsid w:val="00F8574E"/>
    <w:rsid w:val="00F900FF"/>
    <w:rsid w:val="00F923EE"/>
    <w:rsid w:val="00F95B5A"/>
    <w:rsid w:val="00F95D1F"/>
    <w:rsid w:val="00FA6DAB"/>
    <w:rsid w:val="00FA7713"/>
    <w:rsid w:val="00FB19B7"/>
    <w:rsid w:val="00FD5526"/>
    <w:rsid w:val="00FD7953"/>
    <w:rsid w:val="00FE704D"/>
    <w:rsid w:val="00FF5C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98C20881-142C-4C5B-81C5-7B2894C6A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64A"/>
  </w:style>
  <w:style w:type="paragraph" w:styleId="Ttulo1">
    <w:name w:val="heading 1"/>
    <w:basedOn w:val="Normal"/>
    <w:next w:val="Normal"/>
    <w:link w:val="Ttulo1Car"/>
    <w:uiPriority w:val="9"/>
    <w:qFormat/>
    <w:rsid w:val="00DB4C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8321B"/>
    <w:pPr>
      <w:ind w:left="720"/>
      <w:contextualSpacing/>
    </w:pPr>
  </w:style>
  <w:style w:type="character" w:styleId="Hipervnculo">
    <w:name w:val="Hyperlink"/>
    <w:uiPriority w:val="99"/>
    <w:rsid w:val="000051B1"/>
    <w:rPr>
      <w:color w:val="0000FF"/>
      <w:u w:val="single"/>
    </w:rPr>
  </w:style>
  <w:style w:type="paragraph" w:styleId="Textodeglobo">
    <w:name w:val="Balloon Text"/>
    <w:basedOn w:val="Normal"/>
    <w:link w:val="TextodegloboCar"/>
    <w:uiPriority w:val="99"/>
    <w:semiHidden/>
    <w:unhideWhenUsed/>
    <w:rsid w:val="00DE645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E6450"/>
    <w:rPr>
      <w:rFonts w:ascii="Tahoma" w:hAnsi="Tahoma" w:cs="Tahoma"/>
      <w:sz w:val="16"/>
      <w:szCs w:val="16"/>
    </w:rPr>
  </w:style>
  <w:style w:type="character" w:customStyle="1" w:styleId="Ttulo1Car">
    <w:name w:val="Título 1 Car"/>
    <w:basedOn w:val="Fuentedeprrafopredeter"/>
    <w:link w:val="Ttulo1"/>
    <w:uiPriority w:val="9"/>
    <w:rsid w:val="00DB4C64"/>
    <w:rPr>
      <w:rFonts w:asciiTheme="majorHAnsi" w:eastAsiaTheme="majorEastAsia" w:hAnsiTheme="majorHAnsi" w:cstheme="majorBidi"/>
      <w:b/>
      <w:bCs/>
      <w:color w:val="365F91" w:themeColor="accent1" w:themeShade="BF"/>
      <w:sz w:val="28"/>
      <w:szCs w:val="28"/>
    </w:rPr>
  </w:style>
  <w:style w:type="paragraph" w:styleId="Descripcin">
    <w:name w:val="caption"/>
    <w:basedOn w:val="Normal"/>
    <w:next w:val="Normal"/>
    <w:uiPriority w:val="35"/>
    <w:unhideWhenUsed/>
    <w:qFormat/>
    <w:rsid w:val="00DB4C64"/>
    <w:pPr>
      <w:spacing w:line="240" w:lineRule="auto"/>
    </w:pPr>
    <w:rPr>
      <w:b/>
      <w:bCs/>
      <w:color w:val="4F81BD" w:themeColor="accent1"/>
      <w:sz w:val="18"/>
      <w:szCs w:val="18"/>
    </w:rPr>
  </w:style>
  <w:style w:type="paragraph" w:styleId="Encabezado">
    <w:name w:val="header"/>
    <w:basedOn w:val="Normal"/>
    <w:link w:val="EncabezadoCar"/>
    <w:uiPriority w:val="99"/>
    <w:unhideWhenUsed/>
    <w:rsid w:val="005009F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009F3"/>
  </w:style>
  <w:style w:type="paragraph" w:styleId="Piedepgina">
    <w:name w:val="footer"/>
    <w:basedOn w:val="Normal"/>
    <w:link w:val="PiedepginaCar"/>
    <w:unhideWhenUsed/>
    <w:rsid w:val="005009F3"/>
    <w:pPr>
      <w:tabs>
        <w:tab w:val="center" w:pos="4252"/>
        <w:tab w:val="right" w:pos="8504"/>
      </w:tabs>
      <w:spacing w:after="0" w:line="240" w:lineRule="auto"/>
    </w:pPr>
  </w:style>
  <w:style w:type="character" w:customStyle="1" w:styleId="PiedepginaCar">
    <w:name w:val="Pie de página Car"/>
    <w:basedOn w:val="Fuentedeprrafopredeter"/>
    <w:link w:val="Piedepgina"/>
    <w:rsid w:val="005009F3"/>
  </w:style>
  <w:style w:type="paragraph" w:styleId="Textoindependiente">
    <w:name w:val="Body Text"/>
    <w:basedOn w:val="Normal"/>
    <w:link w:val="TextoindependienteCar"/>
    <w:uiPriority w:val="1"/>
    <w:qFormat/>
    <w:rsid w:val="00CC1C03"/>
    <w:pPr>
      <w:widowControl w:val="0"/>
      <w:autoSpaceDE w:val="0"/>
      <w:autoSpaceDN w:val="0"/>
      <w:spacing w:after="0" w:line="240" w:lineRule="auto"/>
      <w:ind w:left="1584" w:firstLine="340"/>
      <w:jc w:val="both"/>
    </w:pPr>
    <w:rPr>
      <w:rFonts w:ascii="Arial" w:eastAsia="Arial" w:hAnsi="Arial" w:cs="Arial"/>
      <w:sz w:val="20"/>
      <w:szCs w:val="20"/>
      <w:lang w:eastAsia="es-ES" w:bidi="es-ES"/>
    </w:rPr>
  </w:style>
  <w:style w:type="character" w:customStyle="1" w:styleId="TextoindependienteCar">
    <w:name w:val="Texto independiente Car"/>
    <w:basedOn w:val="Fuentedeprrafopredeter"/>
    <w:link w:val="Textoindependiente"/>
    <w:uiPriority w:val="1"/>
    <w:rsid w:val="00CC1C03"/>
    <w:rPr>
      <w:rFonts w:ascii="Arial" w:eastAsia="Arial" w:hAnsi="Arial" w:cs="Arial"/>
      <w:sz w:val="20"/>
      <w:szCs w:val="20"/>
      <w:lang w:eastAsia="es-ES" w:bidi="es-ES"/>
    </w:rPr>
  </w:style>
  <w:style w:type="paragraph" w:customStyle="1" w:styleId="Default">
    <w:name w:val="Default"/>
    <w:rsid w:val="00803EBC"/>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rsid w:val="008A5F16"/>
    <w:pPr>
      <w:spacing w:before="100" w:beforeAutospacing="1" w:after="100" w:afterAutospacing="1" w:line="284" w:lineRule="atLeast"/>
      <w:jc w:val="both"/>
    </w:pPr>
    <w:rPr>
      <w:rFonts w:ascii="Times New Roman" w:eastAsia="Times New Roman" w:hAnsi="Times New Roman" w:cs="Times New Roman"/>
      <w:sz w:val="18"/>
      <w:szCs w:val="18"/>
      <w:lang w:eastAsia="es-ES"/>
    </w:rPr>
  </w:style>
  <w:style w:type="character" w:customStyle="1" w:styleId="Mencinsinresolver1">
    <w:name w:val="Mención sin resolver1"/>
    <w:basedOn w:val="Fuentedeprrafopredeter"/>
    <w:uiPriority w:val="99"/>
    <w:semiHidden/>
    <w:unhideWhenUsed/>
    <w:rsid w:val="00E339E9"/>
    <w:rPr>
      <w:color w:val="605E5C"/>
      <w:shd w:val="clear" w:color="auto" w:fill="E1DFDD"/>
    </w:rPr>
  </w:style>
  <w:style w:type="table" w:styleId="Tablaconcuadrcula">
    <w:name w:val="Table Grid"/>
    <w:basedOn w:val="Tablanormal"/>
    <w:uiPriority w:val="59"/>
    <w:rsid w:val="007338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za-01">
    <w:name w:val="cabeza-01"/>
    <w:basedOn w:val="Normal"/>
    <w:rsid w:val="0015696B"/>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15696B"/>
  </w:style>
  <w:style w:type="character" w:styleId="Refdecomentario">
    <w:name w:val="annotation reference"/>
    <w:basedOn w:val="Fuentedeprrafopredeter"/>
    <w:uiPriority w:val="99"/>
    <w:semiHidden/>
    <w:unhideWhenUsed/>
    <w:rsid w:val="0084076D"/>
    <w:rPr>
      <w:sz w:val="16"/>
      <w:szCs w:val="16"/>
    </w:rPr>
  </w:style>
  <w:style w:type="paragraph" w:styleId="Textocomentario">
    <w:name w:val="annotation text"/>
    <w:basedOn w:val="Normal"/>
    <w:link w:val="TextocomentarioCar"/>
    <w:uiPriority w:val="99"/>
    <w:unhideWhenUsed/>
    <w:rsid w:val="0084076D"/>
    <w:pPr>
      <w:spacing w:line="240" w:lineRule="auto"/>
    </w:pPr>
    <w:rPr>
      <w:sz w:val="20"/>
      <w:szCs w:val="20"/>
    </w:rPr>
  </w:style>
  <w:style w:type="character" w:customStyle="1" w:styleId="TextocomentarioCar">
    <w:name w:val="Texto comentario Car"/>
    <w:basedOn w:val="Fuentedeprrafopredeter"/>
    <w:link w:val="Textocomentario"/>
    <w:uiPriority w:val="99"/>
    <w:rsid w:val="0084076D"/>
    <w:rPr>
      <w:sz w:val="20"/>
      <w:szCs w:val="20"/>
    </w:rPr>
  </w:style>
  <w:style w:type="paragraph" w:styleId="Asuntodelcomentario">
    <w:name w:val="annotation subject"/>
    <w:basedOn w:val="Textocomentario"/>
    <w:next w:val="Textocomentario"/>
    <w:link w:val="AsuntodelcomentarioCar"/>
    <w:uiPriority w:val="99"/>
    <w:semiHidden/>
    <w:unhideWhenUsed/>
    <w:rsid w:val="0084076D"/>
    <w:rPr>
      <w:b/>
      <w:bCs/>
    </w:rPr>
  </w:style>
  <w:style w:type="character" w:customStyle="1" w:styleId="AsuntodelcomentarioCar">
    <w:name w:val="Asunto del comentario Car"/>
    <w:basedOn w:val="TextocomentarioCar"/>
    <w:link w:val="Asuntodelcomentario"/>
    <w:uiPriority w:val="99"/>
    <w:semiHidden/>
    <w:rsid w:val="0084076D"/>
    <w:rPr>
      <w:b/>
      <w:bCs/>
      <w:sz w:val="20"/>
      <w:szCs w:val="20"/>
    </w:rPr>
  </w:style>
  <w:style w:type="paragraph" w:styleId="Revisin">
    <w:name w:val="Revision"/>
    <w:hidden/>
    <w:uiPriority w:val="99"/>
    <w:semiHidden/>
    <w:rsid w:val="00CA1F1A"/>
    <w:pPr>
      <w:spacing w:after="0" w:line="240" w:lineRule="auto"/>
    </w:pPr>
  </w:style>
  <w:style w:type="paragraph" w:customStyle="1" w:styleId="parrafo">
    <w:name w:val="parrafo"/>
    <w:basedOn w:val="Normal"/>
    <w:rsid w:val="00222CD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222CD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E7118E"/>
    <w:rPr>
      <w:color w:val="800080" w:themeColor="followedHyperlink"/>
      <w:u w:val="single"/>
    </w:rPr>
  </w:style>
  <w:style w:type="character" w:customStyle="1" w:styleId="Mencinsinresolver2">
    <w:name w:val="Mención sin resolver2"/>
    <w:basedOn w:val="Fuentedeprrafopredeter"/>
    <w:uiPriority w:val="99"/>
    <w:semiHidden/>
    <w:unhideWhenUsed/>
    <w:rsid w:val="00F67734"/>
    <w:rPr>
      <w:color w:val="605E5C"/>
      <w:shd w:val="clear" w:color="auto" w:fill="E1DFDD"/>
    </w:rPr>
  </w:style>
  <w:style w:type="character" w:customStyle="1" w:styleId="UnresolvedMention">
    <w:name w:val="Unresolved Mention"/>
    <w:basedOn w:val="Fuentedeprrafopredeter"/>
    <w:uiPriority w:val="99"/>
    <w:semiHidden/>
    <w:unhideWhenUsed/>
    <w:rsid w:val="00ED57AF"/>
    <w:rPr>
      <w:color w:val="605E5C"/>
      <w:shd w:val="clear" w:color="auto" w:fill="E1DFDD"/>
    </w:rPr>
  </w:style>
  <w:style w:type="paragraph" w:styleId="Sinespaciado">
    <w:name w:val="No Spacing"/>
    <w:uiPriority w:val="1"/>
    <w:qFormat/>
    <w:rsid w:val="009F3A7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272741">
      <w:bodyDiv w:val="1"/>
      <w:marLeft w:val="0"/>
      <w:marRight w:val="0"/>
      <w:marTop w:val="0"/>
      <w:marBottom w:val="0"/>
      <w:divBdr>
        <w:top w:val="none" w:sz="0" w:space="0" w:color="auto"/>
        <w:left w:val="none" w:sz="0" w:space="0" w:color="auto"/>
        <w:bottom w:val="none" w:sz="0" w:space="0" w:color="auto"/>
        <w:right w:val="none" w:sz="0" w:space="0" w:color="auto"/>
      </w:divBdr>
    </w:div>
    <w:div w:id="1056314133">
      <w:bodyDiv w:val="1"/>
      <w:marLeft w:val="0"/>
      <w:marRight w:val="0"/>
      <w:marTop w:val="0"/>
      <w:marBottom w:val="0"/>
      <w:divBdr>
        <w:top w:val="none" w:sz="0" w:space="0" w:color="auto"/>
        <w:left w:val="none" w:sz="0" w:space="0" w:color="auto"/>
        <w:bottom w:val="none" w:sz="0" w:space="0" w:color="auto"/>
        <w:right w:val="none" w:sz="0" w:space="0" w:color="auto"/>
      </w:divBdr>
    </w:div>
    <w:div w:id="156875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derecuperacion.gob.es" TargetMode="External"/><Relationship Id="rId13" Type="http://schemas.openxmlformats.org/officeDocument/2006/relationships/hyperlink" Target="http://www.fondoseuropeos.hacienda.gob.e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fns.olaf.europa.eu/main_es.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gae.pap.hacienda.gob.es/sitios/igae/es-ES/snca/Paginas/ComunicacionSNCA.asp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cindustria.denunciasfraudescorrupcionfondosue@cantabria.e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transparencia.cantabria.es/documents/3551375/20605313/Plan+de+Integridad+y+Medidas+Antifraude+para+la+Gesti%C3%B3n+de+Fondos+Next+Generation+UE.pdf/0e5eaf4f-7914-a30e-715a-15cc4595bb28?t=1644928001587" TargetMode="External"/><Relationship Id="rId14" Type="http://schemas.openxmlformats.org/officeDocument/2006/relationships/hyperlink" Target="https://planderecuperacion.gob.es/identidad-visual"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https://upload.wikimedia.org/wikipedia/commons/thumb/7/7b/Logotipo_del_Ministerio_de_Asuntos_Econ%C3%B3micos_y_Transformaci%C3%B3n_Digital.svg/1280px-Logotipo_del_Ministerio_de_Asuntos_Econ%C3%B3micos_y_Transformaci%C3%B3n_Digital.svg.png" TargetMode="External"/><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5.png"/><Relationship Id="rId5" Type="http://schemas.openxmlformats.org/officeDocument/2006/relationships/image" Target="media/image4.pn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6F2C3F-04B8-4BCD-993F-460D3D124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27</Pages>
  <Words>10598</Words>
  <Characters>58293</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Itziar Pelayo Pardo</dc:creator>
  <cp:lastModifiedBy>García Gómez María Ángeles</cp:lastModifiedBy>
  <cp:revision>5</cp:revision>
  <cp:lastPrinted>2023-05-02T09:21:00Z</cp:lastPrinted>
  <dcterms:created xsi:type="dcterms:W3CDTF">2023-04-27T12:14:00Z</dcterms:created>
  <dcterms:modified xsi:type="dcterms:W3CDTF">2023-05-02T10:22:00Z</dcterms:modified>
</cp:coreProperties>
</file>