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9A1" w:rsidRDefault="00CB39A1" w:rsidP="00CB39A1">
      <w:pPr>
        <w:spacing w:after="0" w:line="240" w:lineRule="auto"/>
        <w:jc w:val="both"/>
        <w:rPr>
          <w:rFonts w:ascii="Calibri" w:eastAsia="Times New Roman" w:hAnsi="Calibri" w:cs="Calibri"/>
          <w:color w:val="000000"/>
          <w:sz w:val="24"/>
          <w:szCs w:val="24"/>
          <w:lang w:eastAsia="es-ES"/>
        </w:rPr>
      </w:pPr>
      <w:bookmarkStart w:id="0" w:name="_GoBack"/>
      <w:bookmarkEnd w:id="0"/>
      <w:r>
        <w:rPr>
          <w:rFonts w:ascii="Arial Narrow" w:hAnsi="Arial Narrow"/>
          <w:b/>
          <w:sz w:val="24"/>
          <w:szCs w:val="24"/>
        </w:rPr>
        <w:t xml:space="preserve">Expediente: </w:t>
      </w:r>
      <w:r>
        <w:rPr>
          <w:rFonts w:ascii="Arial Narrow" w:hAnsi="Arial Narrow"/>
          <w:b/>
          <w:spacing w:val="-3"/>
          <w:sz w:val="24"/>
          <w:szCs w:val="24"/>
        </w:rPr>
        <w:t>2022-58/2244</w:t>
      </w:r>
    </w:p>
    <w:p w:rsidR="00CB39A1" w:rsidRDefault="00CB39A1" w:rsidP="00CB39A1">
      <w:pPr>
        <w:spacing w:after="0" w:line="240" w:lineRule="auto"/>
        <w:jc w:val="both"/>
        <w:rPr>
          <w:rFonts w:ascii="Arial Narrow" w:eastAsia="Calibri" w:hAnsi="Arial Narrow" w:cs="Times New Roman"/>
          <w:b/>
          <w:sz w:val="24"/>
          <w:szCs w:val="24"/>
        </w:rPr>
      </w:pP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CONVOCATORIA PARA EL OTORGAMIENTO DE PRESTACIONES ECONÓMICAS DE CARÁCTER SOCIAL  A LO LARGO DEL EJERCICIO 2022</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 Marco legal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12/2007, de 11 de octubre de servicios sociales.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14/2010, del 27 de mayo, de los derechos y las oportunidades de la infancia y la adolescencia.</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13/2006, de 27 de julio, de prestaciones sociales de carácter económico.</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24/2015, del 29 de julio, de medidas urgentes para afrontar la emergencia en el ámbito de la vivienda y la pobreza energética</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39/2015 de Procedimiento Administrativo Común de las Administraciones Públicas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Ley 38/2003, de 17 de noviembre, general de subvenciones.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 Real Decreto 887/2006, de 21 de julio, que aprueba el Reglamento de la Ley General de Subvenciones. </w:t>
      </w:r>
    </w:p>
    <w:p w:rsidR="00CB39A1" w:rsidRDefault="00CB39A1" w:rsidP="00CB39A1">
      <w:pPr>
        <w:spacing w:after="0" w:line="240" w:lineRule="auto"/>
        <w:ind w:right="6"/>
        <w:jc w:val="both"/>
        <w:rPr>
          <w:rFonts w:ascii="Arial Narrow" w:eastAsia="Arial" w:hAnsi="Arial Narrow" w:cs="Arial"/>
          <w:sz w:val="24"/>
          <w:szCs w:val="24"/>
          <w:lang w:eastAsia="es-ES"/>
        </w:rPr>
      </w:pPr>
      <w:r>
        <w:rPr>
          <w:rFonts w:ascii="Arial Narrow" w:hAnsi="Arial Narrow"/>
          <w:sz w:val="24"/>
          <w:szCs w:val="24"/>
        </w:rPr>
        <w:t>- Ley 1/2021, del 29 de diciembre, de presupuestos de la Generalitat de Cataluña para el año 2022.</w:t>
      </w:r>
    </w:p>
    <w:p w:rsidR="00CB39A1" w:rsidRDefault="00CB39A1" w:rsidP="00CB39A1">
      <w:pPr>
        <w:spacing w:after="0" w:line="240" w:lineRule="auto"/>
        <w:jc w:val="both"/>
        <w:rPr>
          <w:rFonts w:ascii="Arial Narrow" w:eastAsia="Calibri" w:hAnsi="Arial Narrow" w:cs="Times New Roman"/>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2. Objeto</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2.1 El objeto de la convocatoria es regular las prestaciones económicas de carácter social en concepto de becas comedor, apoyo educativo, y de apoyo familiar. Destinadas a la atención de las necesidades sociales, así como su procedimiento de concesión.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2.2 Las prestaciones contempladas en la presente convocatoria no tienen una naturaleza de carácter universal ni subjetivo, en tanto en cuanto no se trata de prestaciones contributivas. De acuerdo con la Ley 12/2007, de 11 de octubre de Servicios Sociales, y la Ley 13/2006, de 27 de julio de prestaciones sociales de carácter económico, las prestaciones de urgencia social y otras prestaciones económicas municipales restan sujetas, en primer lugar, a la disponibilidad de crédito y dotación presupuestaria por parte de la corporación y, en segundo término, al criterio de necesidad social reflejado al baremo social y al baremo económico de la convocatoria.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2.3 Las prestaciones económicas de carácter social, reguladas en el </w:t>
      </w:r>
      <w:r>
        <w:rPr>
          <w:rFonts w:ascii="Arial Narrow" w:hAnsi="Arial Narrow"/>
          <w:i/>
          <w:sz w:val="24"/>
          <w:szCs w:val="24"/>
        </w:rPr>
        <w:t>Reglamento de prestaciones económicas de carácter social de Vallirana,</w:t>
      </w:r>
      <w:r>
        <w:rPr>
          <w:rFonts w:ascii="Arial Narrow" w:hAnsi="Arial Narrow"/>
          <w:sz w:val="24"/>
          <w:szCs w:val="24"/>
        </w:rPr>
        <w:t xml:space="preserve"> y en la presente convocatoria, no forman parte de las prestaciones del sistema de la Seguridad Social, a pesar de que pueden ser beneficiarías las personas incluidas en este sistema.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2.4 No forman parte del objeto de la presente convocatoria las prestaciones que en vía administrativa son resueltas por otros niveles de administración, aunque las mismas puedan haber sido incoadas por parte de los servicios técnicos de políticas sociales. Estos tipos de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lastRenderedPageBreak/>
        <w:t>prestaciones exógenas o no gestionadas de forma íntegra por la Corporación, los será de aplicación la normativa específica.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3. Personas beneficiarias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 Podrán ser beneficiarias de las ayudas económicas de carácter social, cualquier persona y/o unidad familiar de convivencia que se encuentre en una situación de dificultad socioeconómica y que con los suyo otorgamiento sea posible contener o evitar el empeoramiento de la situación de carencia.</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 Se determina un perfil de ciudadanos con acceso prioritario en base a las situaciones de vulnerabilidad o exclusión social o, en su defecto y en cumplimiento del artículo 30 de la Ley 13/2006, de prestaciones sociales de carácter económico, las personas o unidades familiares que tienen a cargo menores.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 xml:space="preserve">Artículo 4. Modalidad de prestación y Tipología de las prestaciones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la presente convocatoria se regula aquellas prestaciones económicas destinadas a prevenir, paliar y evitar situaciones de exclusión social y que se asocien a un plan de intervención social realizado por los equipos básicos de atención social, como son: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 Ayudas para el transporte por necesidades formativas y/o laborales o de atención sanitaria.</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a.1.) - Ayudas al transporte siempre que los desplazamientos estén motivados por actividades de formación o de activación en el mercado de trabajo.</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a.2).- Ayudas para desplazamientos para recibir atención sanitaria siempre y cuando no esté cubierto por el sistema sanitario y para personas con movilidad reducida u otras circunstancias especiales.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b) Atención socioeducativa para los niños.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b.1.) Ayudas para la escolarización en la educación infantil de los 0 a los 3 años.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b.2) Ayudas para la adquisición de material escolar, libros, salidas escolares, colonias y servicio de acogida.</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b.3.) Ayudas para el comedor escolar complementarias a la convocatoria de becas del sistema educativo.</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b.4.) Ayudas para actividades extraescolares, socioeducativas y de ocio durante el curso escolar y vacaciones.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relación a la tipología, las ayudas pueden ser en especie o dinerarias. Las ayudas económicas de carácter social serán ayudas dinerarias.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5. Criterios de adjudicación de las ayudas y priorización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5.1. El procedimiento de concesión de la ayudas será el de la concurrencia competitiva. Los expedientes se resolverán en la medida que se vayan solicitando hasta agotar el  importe de la convocatoria.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lastRenderedPageBreak/>
        <w:t>5.2. El otorgamiento de las prestaciones restará sujeto a la disponibilidad presupuestaria de este Ayuntamiento.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5.3. El informe técnico de los equipos básicos de atención social se sustentará en los requisitos contemplados en el artículo 7 de la Convocatoria, sin perjuicio que, en las situaciones que lo requieran y rebasando la casuística concreta, el profesional de referencia pueda establecer excepciones de forma justificada en el informe social correspondiente.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5.4. A efectos del cálculo final de la valoración de la situación de cada unidad familiar de convivencia la valoración económica representará un 60% de la ponderación final y la valoración social, el 40% restante.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6. Puntuación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A. Valoración económica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a.1) Para establecer la situación económica se considerarán los ingresos netos percibidos por el conjunto de miembros de la unidad familiar de convivencia durante los 3 meses anteriores a la fecha de solicitud. Para establecer el cómputo de ingresos se valorarán:</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1. Ingresos del trabajo por cuenta aliena</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2. Beneficios y pérdidas del trabajo por cuenta propia</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3. Prestaciones y ayudas sociales</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4. Rentas de capital y de la propiedad</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5. Transferencias recibidas y pagadas a otros hogares</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6. Ingresos percibidos por niños</w:t>
      </w: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7. Resultados de declaraciones de impuestos.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a.2) Para calcular la Renta Disponible se descontará del total de ingresos, los gastos de acceso a la vivienda habitual de los últimos 3 meses. Por este concepto, se establece un máximo de gasto mensual deducible equivaliendo a 600 €.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a.3.) Se entiende, de manera general, que la unidad familiar de convivencia presenta una situación de carencia de recursos económicos cuando cumple los requisitos especificados en el artículo 7 apartado 2, letra c del presente reglamento.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color w:val="FF0000"/>
          <w:sz w:val="24"/>
          <w:szCs w:val="24"/>
        </w:rPr>
      </w:pPr>
      <w:r>
        <w:rPr>
          <w:rFonts w:ascii="Arial Narrow" w:hAnsi="Arial Narrow"/>
          <w:sz w:val="24"/>
          <w:szCs w:val="24"/>
        </w:rPr>
        <w:t xml:space="preserve">En función de los requisitos de acceso económico de cada tipo de unidad familiar de convivencia, se establecerá la puntuación de la situación económica de la unidad que será de, como máximo 6 puntos: </w:t>
      </w:r>
    </w:p>
    <w:p w:rsidR="00CB39A1" w:rsidRDefault="00CB39A1" w:rsidP="00CB39A1">
      <w:pPr>
        <w:spacing w:after="0" w:line="240" w:lineRule="auto"/>
        <w:jc w:val="both"/>
        <w:rPr>
          <w:rFonts w:ascii="Arial Narrow" w:hAnsi="Arial Narrow"/>
          <w:sz w:val="24"/>
          <w:szCs w:val="24"/>
        </w:rPr>
      </w:pPr>
    </w:p>
    <w:tbl>
      <w:tblPr>
        <w:tblW w:w="0" w:type="auto"/>
        <w:tblInd w:w="552" w:type="dxa"/>
        <w:tblLayout w:type="fixed"/>
        <w:tblLook w:val="04A0" w:firstRow="1" w:lastRow="0" w:firstColumn="1" w:lastColumn="0" w:noHBand="0" w:noVBand="1"/>
      </w:tblPr>
      <w:tblGrid>
        <w:gridCol w:w="6105"/>
        <w:gridCol w:w="1309"/>
      </w:tblGrid>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suppressAutoHyphens/>
              <w:spacing w:before="120"/>
              <w:rPr>
                <w:rFonts w:ascii="Arial Narrow" w:hAnsi="Arial Narrow" w:cs="Arial"/>
                <w:b/>
                <w:color w:val="000000"/>
                <w:sz w:val="24"/>
                <w:szCs w:val="24"/>
                <w:highlight w:val="lightGray"/>
                <w:lang w:val="ca-ES" w:eastAsia="zh-CN"/>
              </w:rPr>
            </w:pPr>
            <w:r>
              <w:rPr>
                <w:rFonts w:ascii="Arial Narrow" w:hAnsi="Arial Narrow"/>
                <w:sz w:val="24"/>
                <w:szCs w:val="24"/>
                <w:highlight w:val="lightGray"/>
              </w:rPr>
              <w:t>Tabla de puntuación por la valoración económica según el tramo de renta disponible</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suppressAutoHyphens/>
              <w:spacing w:before="120"/>
              <w:rPr>
                <w:rFonts w:ascii="Arial Narrow" w:hAnsi="Arial Narrow" w:cs="Times New Roman"/>
                <w:sz w:val="24"/>
                <w:szCs w:val="24"/>
                <w:lang w:eastAsia="zh-CN"/>
              </w:rPr>
            </w:pPr>
            <w:r>
              <w:rPr>
                <w:rFonts w:ascii="Arial Narrow" w:hAnsi="Arial Narrow" w:cs="Arial"/>
                <w:b/>
                <w:color w:val="000000"/>
                <w:sz w:val="24"/>
                <w:szCs w:val="24"/>
                <w:lang w:eastAsia="zh-CN"/>
              </w:rPr>
              <w:t xml:space="preserve">PUNTOS </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suppressAutoHyphens/>
              <w:spacing w:before="120"/>
              <w:rPr>
                <w:rFonts w:ascii="Arial Narrow" w:hAnsi="Arial Narrow" w:cs="Arial"/>
                <w:color w:val="000000"/>
                <w:sz w:val="24"/>
                <w:szCs w:val="24"/>
                <w:lang w:eastAsia="ca-ES"/>
              </w:rPr>
            </w:pPr>
            <w:r>
              <w:rPr>
                <w:rFonts w:ascii="Arial Narrow" w:hAnsi="Arial Narrow"/>
                <w:sz w:val="24"/>
                <w:szCs w:val="24"/>
              </w:rPr>
              <w:t xml:space="preserve">Renta inferior al 33,3% del máximo mensual establecido a los requisitos económicos segundos tipología de la unidad de </w:t>
            </w:r>
            <w:r>
              <w:rPr>
                <w:rFonts w:ascii="Arial Narrow" w:hAnsi="Arial Narrow"/>
                <w:sz w:val="24"/>
                <w:szCs w:val="24"/>
              </w:rPr>
              <w:lastRenderedPageBreak/>
              <w:t>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suppressAutoHyphens/>
              <w:autoSpaceDE w:val="0"/>
              <w:spacing w:before="120"/>
              <w:rPr>
                <w:rFonts w:ascii="Arial Narrow" w:hAnsi="Arial Narrow" w:cs="Times New Roman"/>
                <w:sz w:val="24"/>
                <w:szCs w:val="24"/>
                <w:lang w:eastAsia="zh-CN"/>
              </w:rPr>
            </w:pPr>
            <w:r>
              <w:rPr>
                <w:rFonts w:ascii="Arial Narrow" w:hAnsi="Arial Narrow" w:cs="Arial"/>
                <w:color w:val="000000"/>
                <w:sz w:val="24"/>
                <w:szCs w:val="24"/>
                <w:lang w:eastAsia="ca-ES"/>
              </w:rPr>
              <w:lastRenderedPageBreak/>
              <w:t>6 punts</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suppressAutoHyphens/>
              <w:spacing w:before="120"/>
              <w:rPr>
                <w:rFonts w:ascii="Arial Narrow" w:hAnsi="Arial Narrow" w:cs="Arial"/>
                <w:color w:val="000000"/>
                <w:sz w:val="24"/>
                <w:szCs w:val="24"/>
                <w:lang w:eastAsia="ca-ES"/>
              </w:rPr>
            </w:pPr>
            <w:r>
              <w:rPr>
                <w:rFonts w:ascii="Arial Narrow" w:hAnsi="Arial Narrow"/>
                <w:sz w:val="24"/>
                <w:szCs w:val="24"/>
              </w:rPr>
              <w:t>Renta entre el 33,4 y el 66,6% del máximo mensual establecido a los requisitos económicos segundos tipología de la unidad de 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suppressAutoHyphens/>
              <w:autoSpaceDE w:val="0"/>
              <w:spacing w:before="120"/>
              <w:rPr>
                <w:rFonts w:ascii="Arial Narrow" w:hAnsi="Arial Narrow" w:cs="Times New Roman"/>
                <w:sz w:val="24"/>
                <w:szCs w:val="24"/>
                <w:lang w:eastAsia="zh-CN"/>
              </w:rPr>
            </w:pPr>
            <w:r>
              <w:rPr>
                <w:rFonts w:ascii="Arial Narrow" w:hAnsi="Arial Narrow" w:cs="Arial"/>
                <w:color w:val="000000"/>
                <w:sz w:val="24"/>
                <w:szCs w:val="24"/>
                <w:lang w:eastAsia="ca-ES"/>
              </w:rPr>
              <w:t>4 punts</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suppressAutoHyphens/>
              <w:spacing w:before="120"/>
              <w:rPr>
                <w:rFonts w:ascii="Arial Narrow" w:hAnsi="Arial Narrow" w:cs="Arial"/>
                <w:color w:val="000000"/>
                <w:sz w:val="24"/>
                <w:szCs w:val="24"/>
                <w:lang w:eastAsia="ca-ES"/>
              </w:rPr>
            </w:pPr>
            <w:r>
              <w:rPr>
                <w:rFonts w:ascii="Arial Narrow" w:hAnsi="Arial Narrow"/>
                <w:sz w:val="24"/>
                <w:szCs w:val="24"/>
              </w:rPr>
              <w:t>Renta entre el 66,7 y el 100% del máximo mensual establecido a los requisitos económicos segundos tipología de la unidad de 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suppressAutoHyphens/>
              <w:autoSpaceDE w:val="0"/>
              <w:spacing w:before="120"/>
              <w:rPr>
                <w:rFonts w:ascii="Arial Narrow" w:hAnsi="Arial Narrow" w:cs="Times New Roman"/>
                <w:sz w:val="24"/>
                <w:szCs w:val="24"/>
                <w:lang w:eastAsia="zh-CN"/>
              </w:rPr>
            </w:pPr>
            <w:r>
              <w:rPr>
                <w:rFonts w:ascii="Arial Narrow" w:hAnsi="Arial Narrow" w:cs="Arial"/>
                <w:color w:val="000000"/>
                <w:sz w:val="24"/>
                <w:szCs w:val="24"/>
                <w:lang w:eastAsia="ca-ES"/>
              </w:rPr>
              <w:t>2 punts</w:t>
            </w:r>
          </w:p>
        </w:tc>
      </w:tr>
    </w:tbl>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el anexo 1 del reglamento se encuentra la tabla de baremación que sirve de base para la valoración económica en función de los diferentes tramos de renta disponible)</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B. Valoración Social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b.1) Para establecer la situación social, el profesional de referencia de los servicios sociales básicos municipales evaluará las carencias, necesidades y factores discrecionales de cada unidad familiar de convivencia.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b.2) Se considerarán de forma especial aquellos casos en que se identifiquen carencias ligadas a las necesidades básicas que recibirán la máxima puntuación en la valoración social (4 puntos).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b.3) El personal técnico evaluará para cada unidad familiar de convivencia la presencia de las situaciones de carencia y/o necesidad social (descritas a la tabla del anexo 2 de la Convocatoria) y determinará la puntuación resultante hasta un valor máximo de 4 puntos.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b.4) Complementariamente, el profesional podrá valorar la existencia otros factores discrecionales que favorezcan o dificulten la eficacia en el logro de los objetivos sociales de la prestación económica. Estos factores serán puntuados a discreción por el profesional hasta completar la valoración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b.5) La puntuación de la valoración social de la unidad familiar de convivencia será de como máximo de 4 puntos.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b.6) Aun así, la valoración social podrá ser completada por el informe o informes técnicos de los Servicios Sociales Básicos donde se realicen las consideraciones especiales de cada caso y se razone la no aplicabilidad del baremo económico y/o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6.1 Las prestaciones concedidas no podrán ser invocadas como precedente para la obtención de nuevas prestaciones.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lastRenderedPageBreak/>
        <w:t>6.2 Es un criterio relevante para el otorgamiento de la prestación económica de carácter social que contribuya a la resolución definitiva de la situación carencial.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6.3 Las prestaciones reguladas en la convocatoria son intransferibles y, por lo tanto, no podrán ofrecerse en garantía de obligaciones, ser objeto de cesión total o parcial, compensación o descuento, excepto para el reintegro de las prestaciones indebidamente percibidas, y/o la retención o embargo (excepto en los supuestos y con los límites previstos en la legislación general del Estado que resulte aplicable).</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6.4 En el supuesto que concurran varías personas solicitantes de una misma unidad familiar de convivencia para hacer frente al mismo gasto, solo podrá concederse a una de ellas, promoviendo el acuerdo entre las partes interesadas.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7. Requisitos y Obligaciones de las personas beneficiarias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7.1. Requisitos de las personas beneficiarias: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La persona solicitante de las prestaciones tendrá que cumplir los siguientes requisitos: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a) Ser mayor de 18 años o, estar legalmente emancipada o, en su defecto, haber iniciado el trámite legal de emancipación.</w:t>
      </w:r>
    </w:p>
    <w:p w:rsidR="00CB39A1" w:rsidRDefault="00CB39A1" w:rsidP="00CB39A1">
      <w:pPr>
        <w:spacing w:after="0" w:line="240" w:lineRule="auto"/>
        <w:ind w:left="567"/>
        <w:jc w:val="both"/>
        <w:rPr>
          <w:rFonts w:ascii="Arial Narrow" w:hAnsi="Arial Narrow"/>
          <w:sz w:val="24"/>
          <w:szCs w:val="24"/>
        </w:rPr>
      </w:pP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b) Estar empadronadas en el término municipal de Vallirana. En cumplimiento del artículo 30 de la ley 13/2006, de 27 de julio, de prestaciones sociales de carácter económico, se valorarán con informe técnico aquellas situaciones excepcionales que dificulten el empadronamiento.</w:t>
      </w:r>
    </w:p>
    <w:p w:rsidR="00CB39A1" w:rsidRDefault="00CB39A1" w:rsidP="00CB39A1">
      <w:pPr>
        <w:spacing w:after="0" w:line="240" w:lineRule="auto"/>
        <w:ind w:left="567"/>
        <w:jc w:val="both"/>
        <w:rPr>
          <w:rFonts w:ascii="Arial Narrow" w:hAnsi="Arial Narrow"/>
          <w:sz w:val="24"/>
          <w:szCs w:val="24"/>
        </w:rPr>
      </w:pPr>
    </w:p>
    <w:p w:rsidR="00CB39A1" w:rsidRDefault="00CB39A1" w:rsidP="00CB39A1">
      <w:pPr>
        <w:spacing w:after="0" w:line="240" w:lineRule="auto"/>
        <w:ind w:left="567"/>
        <w:jc w:val="both"/>
        <w:rPr>
          <w:rFonts w:ascii="Arial Narrow" w:hAnsi="Arial Narrow"/>
          <w:sz w:val="24"/>
          <w:szCs w:val="24"/>
        </w:rPr>
      </w:pPr>
      <w:r>
        <w:rPr>
          <w:rFonts w:ascii="Arial Narrow" w:hAnsi="Arial Narrow"/>
          <w:sz w:val="24"/>
          <w:szCs w:val="24"/>
        </w:rPr>
        <w:t>c) Que la unidad familiar de convivencia de la persona solicitando tenga una Renta Disponible igual o inferior al 100% del Indicador de Renta de Suficiencia de Cataluña (en adelante IRSC) mensual del ejercicio en curso para su primer miembro.</w:t>
      </w:r>
    </w:p>
    <w:p w:rsidR="00CB39A1" w:rsidRDefault="00CB39A1" w:rsidP="00CB39A1">
      <w:pPr>
        <w:spacing w:after="0" w:line="240" w:lineRule="auto"/>
        <w:ind w:left="567"/>
        <w:jc w:val="both"/>
        <w:rPr>
          <w:rFonts w:ascii="Arial Narrow" w:hAnsi="Arial Narrow"/>
          <w:sz w:val="24"/>
          <w:szCs w:val="24"/>
        </w:rPr>
      </w:pPr>
    </w:p>
    <w:p w:rsidR="00CB39A1" w:rsidRDefault="00CB39A1" w:rsidP="00CB39A1">
      <w:pPr>
        <w:suppressAutoHyphens/>
        <w:spacing w:after="0" w:line="240" w:lineRule="auto"/>
        <w:ind w:left="567"/>
        <w:jc w:val="both"/>
        <w:rPr>
          <w:rFonts w:ascii="Arial Narrow" w:hAnsi="Arial Narrow" w:cs="Arial"/>
          <w:color w:val="000000"/>
          <w:sz w:val="24"/>
          <w:szCs w:val="24"/>
          <w:lang w:eastAsia="zh-CN"/>
        </w:rPr>
      </w:pPr>
      <w:r>
        <w:rPr>
          <w:rFonts w:ascii="Arial Narrow" w:hAnsi="Arial Narrow" w:cs="Arial"/>
          <w:color w:val="000000"/>
          <w:sz w:val="24"/>
          <w:szCs w:val="24"/>
          <w:lang w:eastAsia="zh-CN"/>
        </w:rPr>
        <w:t>d) Las personas beneficiarias tienen que estar al corriente de sus  obligaciones con la Agencia Tributaria i la Seguridad Social.</w:t>
      </w:r>
    </w:p>
    <w:p w:rsidR="00CB39A1" w:rsidRDefault="00CB39A1" w:rsidP="00CB39A1">
      <w:pPr>
        <w:spacing w:after="0" w:line="240" w:lineRule="auto"/>
        <w:ind w:left="567"/>
        <w:jc w:val="both"/>
        <w:rPr>
          <w:rFonts w:ascii="Arial Narrow" w:hAnsi="Arial Narrow" w:cs="Times New Roman"/>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Para cada nuevo miembro que forme parte de la unidad, se añadirá el valor resultante de multiplicar esta cantidad por un factor de ajuste equivalente a 0,3 [IRSCx0.3].</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i/>
          <w:sz w:val="24"/>
          <w:szCs w:val="24"/>
        </w:rPr>
        <w:t>(En el  anexo 1 se encuentra la tabla de importes máximos de la renta disponible según cada unidad de convivencia para el año en curso</w:t>
      </w:r>
      <w:r>
        <w:rPr>
          <w:rFonts w:ascii="Arial Narrow" w:hAnsi="Arial Narrow"/>
          <w:sz w:val="24"/>
          <w:szCs w:val="24"/>
        </w:rPr>
        <w:t>).</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d) No disponer de bienes inmuebles –diferentes a la vivienda habitual—, hacia los cuales se disponga de derecho de propiedad, posesión o usufructo; ni bienes amuebles, rentas del capital, siempre y cuando proporcionen recursos alternativos suficientes para atender la necesidad para la cual se solicita la ayuda económica.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 No tener acceso a prestaciones económicas otorgadas por otras administraciones y con el objeto de cubrir la misma necesidad, en un 100% de la totalidad del coste.</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f) No haber recibido por parte de esta Corporación en los últimos tres meses alguna de las prestaciones económicas reguladas en el presente reglamento, a excepción de los casos en que se valore la persistencia de la situación de necesidad o aquellos casos que requieran de una atención urgente e inmediata.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 7.2. Obligaciones de las personas beneficiarias: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 Acreditar los requisitos exigidos para tener acceso a las prestaciones.</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b) Aceptar ofertas de trabajo tutelado y/o protegido formuladas por los servicios públicos de ocupación u otras instituciones competentes, u otras ofertas laborales, siempre que no se acredite impedimento y a discreción del informe técnico de referencia de los equipos básicos de atención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c) Comunicar a los servicios sociales municipales las variaciones o cambios existentes en la situación social y económica de la persona o de la unidad familiar de convivencia que puedan modificar las circunstancias que dieron lugar a la solicitud y resolución.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d) Destinar la prestación a la finalidad que la motivó. A todos los efectos el otorgamiento de la ayuda restará condicionado a la aceptación del plan de trabajo individual y familiar por parte de la persona beneficiaria.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 Hacerse cargo de una parte del gasto siempre y cuando la prestación solo contemple una parte del coste total de la misma.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f) Justificar la ayuda mediante la presentación de facturas acreditativas del pago del gasto, u otros documentos acreditativos.</w:t>
      </w:r>
      <w:r>
        <w:rPr>
          <w:rFonts w:ascii="Arial Narrow" w:hAnsi="Arial Narrow" w:cs="Arial"/>
          <w:color w:val="FF0000"/>
          <w:sz w:val="24"/>
          <w:szCs w:val="24"/>
          <w:lang w:eastAsia="zh-CN"/>
        </w:rPr>
        <w:t xml:space="preserve"> </w:t>
      </w:r>
      <w:r>
        <w:rPr>
          <w:rFonts w:ascii="Arial Narrow" w:hAnsi="Arial Narrow" w:cs="Arial"/>
          <w:sz w:val="24"/>
          <w:szCs w:val="24"/>
          <w:lang w:eastAsia="zh-CN"/>
        </w:rPr>
        <w:t>En el plazo de tres meses como màximo desde la fecha de aprobación de la ayuda por el órgano competente.</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g) Comunicar a los Servicios Sociales del Ayuntamiento la obtención otras ayudas para la misma finalidad.</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h) Someterse a las actuaciones de comprobación y control financiero que efectúe el Ayuntamiento de Vallirana y facilitar cuánta información y documentación le sea requerida.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i) Reintegrar los importes concedidos cuando no se apliquen para las finalidades para las cuales se concedieron.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j) Mantener el empadronamiento y la residencia efectiva en el municipio de Vallirana durante el tiempo de percepción de la ayuda.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k) Cualquier otra obligación relacionada directamente con el objeto de la ayuda y que específicamente se establezca en el acuerdo de concesión de esta. </w:t>
      </w:r>
    </w:p>
    <w:p w:rsidR="00CB39A1" w:rsidRDefault="00CB39A1" w:rsidP="00CB39A1">
      <w:pPr>
        <w:spacing w:after="0" w:line="240" w:lineRule="auto"/>
        <w:jc w:val="both"/>
        <w:rPr>
          <w:rFonts w:ascii="Arial Narrow" w:hAnsi="Arial Narrow"/>
          <w:sz w:val="24"/>
          <w:szCs w:val="24"/>
        </w:rPr>
      </w:pPr>
    </w:p>
    <w:p w:rsidR="00CB39A1" w:rsidRDefault="00CB39A1" w:rsidP="00CB39A1">
      <w:pPr>
        <w:suppressAutoHyphens/>
        <w:spacing w:after="0" w:line="240" w:lineRule="auto"/>
        <w:jc w:val="both"/>
        <w:rPr>
          <w:rFonts w:ascii="Arial Narrow" w:hAnsi="Arial Narrow" w:cs="Arial"/>
          <w:color w:val="000000"/>
          <w:sz w:val="24"/>
          <w:szCs w:val="24"/>
          <w:lang w:eastAsia="zh-CN"/>
        </w:rPr>
      </w:pPr>
      <w:r>
        <w:rPr>
          <w:rFonts w:ascii="Arial Narrow" w:hAnsi="Arial Narrow" w:cs="Arial"/>
          <w:color w:val="000000"/>
          <w:sz w:val="24"/>
          <w:szCs w:val="24"/>
          <w:lang w:eastAsia="zh-CN"/>
        </w:rPr>
        <w:t>l) Las personas beneficiarias tienen que estar al corriente de sus  obligaciones con la Agencia Tributaria i la Seguridad Social.</w:t>
      </w:r>
    </w:p>
    <w:p w:rsidR="00CB39A1" w:rsidRDefault="00CB39A1" w:rsidP="00CB39A1">
      <w:pPr>
        <w:spacing w:after="0" w:line="240" w:lineRule="auto"/>
        <w:jc w:val="both"/>
        <w:rPr>
          <w:rFonts w:ascii="Arial Narrow" w:hAnsi="Arial Narrow" w:cs="Times New Roman"/>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 xml:space="preserve">Artículo 8. Dotación presupuestaria y Convocatoria </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8.1 El Ayuntamiento de Vallirana consignará varias partidas presupuestarias, el conjunto de prestaciones económicas de carácter social destinadas a personas en situación de vulnerabilidad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social, en función del concepto de las ayudas: Becas comedor – apoyo educativo y apoyo familiar.</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8.2. Las mencionadas partidas podrán ser incrementadas en función de las modificaciones de crédito que se aprueben a conveniencia de la disponibilidad presupuestaria del ente. En este caso será necesario aprobar una modificación de la convocatoria.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8.3. Las prestaciones económicas vinculadas en su fuente de financiación a la actividad de fomento o subvenciones, no disfrutarán del efecto de la consolidación de las mismas en el presupuesto municipal del siguiente ejercicio, restante condicionadas en consecuencia, a la aprobación del programa o subvención y a la disponibilidad efectiva de liquidez.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8.4. A la ejecución del gasto le será de aplicación el presente reglamento independientemente de la fuente de financiación.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El importe de las ayudas económicas de carácter social por el año 2022 irán a cargo de las aplicaciones del presupuesto siguientes:</w:t>
      </w:r>
    </w:p>
    <w:p w:rsidR="00CB39A1" w:rsidRDefault="00CB39A1" w:rsidP="00CB39A1">
      <w:pPr>
        <w:spacing w:after="0" w:line="240" w:lineRule="auto"/>
        <w:jc w:val="both"/>
        <w:rPr>
          <w:rFonts w:ascii="Arial Narrow" w:hAnsi="Arial Narrow"/>
          <w:sz w:val="24"/>
          <w:szCs w:val="24"/>
        </w:rPr>
      </w:pPr>
    </w:p>
    <w:tbl>
      <w:tblPr>
        <w:tblW w:w="8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6"/>
        <w:gridCol w:w="2001"/>
        <w:gridCol w:w="2309"/>
      </w:tblGrid>
      <w:tr w:rsidR="00CB39A1" w:rsidTr="00CB39A1">
        <w:trPr>
          <w:trHeight w:val="387"/>
        </w:trPr>
        <w:tc>
          <w:tcPr>
            <w:tcW w:w="4576"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4"/>
                <w:szCs w:val="24"/>
                <w:lang w:val="ca-ES"/>
              </w:rPr>
            </w:pPr>
            <w:r>
              <w:rPr>
                <w:rFonts w:ascii="Arial Narrow" w:hAnsi="Arial Narrow"/>
                <w:b/>
                <w:sz w:val="24"/>
                <w:szCs w:val="24"/>
              </w:rPr>
              <w:t xml:space="preserve">           APLICACIÓN PRESUPUESTO 2022</w:t>
            </w:r>
          </w:p>
        </w:tc>
        <w:tc>
          <w:tcPr>
            <w:tcW w:w="2001"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4"/>
                <w:szCs w:val="24"/>
              </w:rPr>
            </w:pPr>
            <w:r>
              <w:rPr>
                <w:rFonts w:ascii="Arial Narrow" w:hAnsi="Arial Narrow"/>
                <w:b/>
                <w:sz w:val="24"/>
                <w:szCs w:val="24"/>
              </w:rPr>
              <w:t xml:space="preserve"> CONCEPTOS</w:t>
            </w:r>
          </w:p>
        </w:tc>
        <w:tc>
          <w:tcPr>
            <w:tcW w:w="2309"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4"/>
                <w:szCs w:val="24"/>
              </w:rPr>
            </w:pPr>
            <w:r>
              <w:rPr>
                <w:rFonts w:ascii="Arial Narrow" w:hAnsi="Arial Narrow"/>
                <w:b/>
                <w:sz w:val="24"/>
                <w:szCs w:val="24"/>
              </w:rPr>
              <w:t xml:space="preserve">         IMPORTE</w:t>
            </w:r>
          </w:p>
        </w:tc>
      </w:tr>
      <w:tr w:rsidR="00CB39A1" w:rsidTr="00CB39A1">
        <w:trPr>
          <w:trHeight w:val="1172"/>
        </w:trPr>
        <w:tc>
          <w:tcPr>
            <w:tcW w:w="4576"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rPr>
            </w:pPr>
            <w:r>
              <w:rPr>
                <w:rFonts w:ascii="Arial Narrow" w:hAnsi="Arial Narrow"/>
                <w:sz w:val="20"/>
                <w:szCs w:val="20"/>
              </w:rPr>
              <w:t>313 23101 48000 BECAS COMEDOR – APOYO EDUCATIU</w:t>
            </w:r>
          </w:p>
        </w:tc>
        <w:tc>
          <w:tcPr>
            <w:tcW w:w="2001"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rPr>
            </w:pPr>
            <w:r>
              <w:rPr>
                <w:rFonts w:ascii="Arial Narrow" w:hAnsi="Arial Narrow"/>
                <w:sz w:val="20"/>
                <w:szCs w:val="20"/>
              </w:rPr>
              <w:t>Libros y material escolar. Ayudas comedor escolar. Refuerzo escolar. Salidas pedagógicas. Actividades extraescolares.</w:t>
            </w:r>
          </w:p>
        </w:tc>
        <w:tc>
          <w:tcPr>
            <w:tcW w:w="2309"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rPr>
            </w:pPr>
            <w:r>
              <w:rPr>
                <w:rFonts w:ascii="Arial Narrow" w:hAnsi="Arial Narrow"/>
                <w:sz w:val="20"/>
                <w:szCs w:val="20"/>
              </w:rPr>
              <w:t>30.000,00€</w:t>
            </w:r>
          </w:p>
        </w:tc>
      </w:tr>
      <w:tr w:rsidR="00CB39A1" w:rsidTr="00CB39A1">
        <w:trPr>
          <w:trHeight w:val="1673"/>
        </w:trPr>
        <w:tc>
          <w:tcPr>
            <w:tcW w:w="4576"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lang w:val="ca-ES"/>
              </w:rPr>
            </w:pPr>
            <w:r>
              <w:rPr>
                <w:rFonts w:ascii="Arial Narrow" w:hAnsi="Arial Narrow"/>
                <w:sz w:val="20"/>
                <w:szCs w:val="20"/>
              </w:rPr>
              <w:t>313 23100 48000 BIENESTAR SOCIAL – APOYO FAMILIAR</w:t>
            </w:r>
          </w:p>
        </w:tc>
        <w:tc>
          <w:tcPr>
            <w:tcW w:w="2001"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rPr>
            </w:pPr>
            <w:r>
              <w:rPr>
                <w:rFonts w:ascii="Arial Narrow" w:hAnsi="Arial Narrow"/>
                <w:sz w:val="20"/>
                <w:szCs w:val="20"/>
              </w:rPr>
              <w:t xml:space="preserve">Tarjetas de transporte, i otras ayudas de necesidad no atendidas en epígrafes anteriores. </w:t>
            </w:r>
          </w:p>
        </w:tc>
        <w:tc>
          <w:tcPr>
            <w:tcW w:w="2309"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rPr>
            </w:pPr>
            <w:r>
              <w:rPr>
                <w:rFonts w:ascii="Arial Narrow" w:hAnsi="Arial Narrow"/>
                <w:sz w:val="20"/>
                <w:szCs w:val="20"/>
              </w:rPr>
              <w:t>50.000,00€</w:t>
            </w:r>
          </w:p>
        </w:tc>
      </w:tr>
      <w:tr w:rsidR="00CB39A1" w:rsidTr="00CB39A1">
        <w:trPr>
          <w:trHeight w:val="369"/>
        </w:trPr>
        <w:tc>
          <w:tcPr>
            <w:tcW w:w="4576"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sz w:val="20"/>
                <w:szCs w:val="20"/>
                <w:lang w:val="ca-ES"/>
              </w:rPr>
            </w:pPr>
            <w:r>
              <w:rPr>
                <w:rFonts w:ascii="Arial Narrow" w:hAnsi="Arial Narrow"/>
                <w:sz w:val="20"/>
                <w:szCs w:val="20"/>
              </w:rPr>
              <w:t xml:space="preserve">                                        TOTAL                                                          </w:t>
            </w:r>
          </w:p>
        </w:tc>
        <w:tc>
          <w:tcPr>
            <w:tcW w:w="2001" w:type="dxa"/>
            <w:tcBorders>
              <w:top w:val="single" w:sz="4" w:space="0" w:color="auto"/>
              <w:left w:val="single" w:sz="4" w:space="0" w:color="auto"/>
              <w:bottom w:val="single" w:sz="4" w:space="0" w:color="auto"/>
              <w:right w:val="single" w:sz="4" w:space="0" w:color="auto"/>
            </w:tcBorders>
          </w:tcPr>
          <w:p w:rsidR="00CB39A1" w:rsidRDefault="00CB39A1">
            <w:pPr>
              <w:rPr>
                <w:rFonts w:ascii="Arial Narrow" w:hAnsi="Arial Narrow"/>
                <w:b/>
                <w:sz w:val="20"/>
                <w:szCs w:val="20"/>
              </w:rPr>
            </w:pPr>
          </w:p>
        </w:tc>
        <w:tc>
          <w:tcPr>
            <w:tcW w:w="2309"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0"/>
                <w:szCs w:val="20"/>
              </w:rPr>
            </w:pPr>
            <w:r>
              <w:rPr>
                <w:rFonts w:ascii="Arial Narrow" w:hAnsi="Arial Narrow"/>
                <w:b/>
                <w:sz w:val="20"/>
                <w:szCs w:val="20"/>
              </w:rPr>
              <w:t>80.000,00€</w:t>
            </w:r>
          </w:p>
        </w:tc>
      </w:tr>
    </w:tbl>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Sin perjuicio que durante el año 2022 se puedan aumentar estas partidas mediante la aprobación de las modificaciones de crédito correspondientes.</w:t>
      </w:r>
    </w:p>
    <w:p w:rsidR="00CB39A1" w:rsidRDefault="00CB39A1" w:rsidP="00CB39A1">
      <w:pPr>
        <w:spacing w:after="0"/>
        <w:jc w:val="both"/>
        <w:rPr>
          <w:rFonts w:ascii="Arial Narrow" w:hAnsi="Arial Narrow"/>
          <w:sz w:val="24"/>
          <w:szCs w:val="24"/>
          <w:lang w:eastAsia="es-ES"/>
        </w:rPr>
      </w:pPr>
    </w:p>
    <w:p w:rsidR="00CB39A1" w:rsidRDefault="00CB39A1" w:rsidP="00CB39A1">
      <w:pPr>
        <w:spacing w:after="0"/>
        <w:jc w:val="both"/>
        <w:rPr>
          <w:rFonts w:ascii="Arial Narrow" w:hAnsi="Arial Narrow"/>
          <w:sz w:val="24"/>
          <w:szCs w:val="24"/>
          <w:lang w:eastAsia="es-ES"/>
        </w:rPr>
      </w:pPr>
      <w:r>
        <w:rPr>
          <w:rFonts w:ascii="Arial Narrow" w:hAnsi="Arial Narrow"/>
          <w:sz w:val="24"/>
          <w:szCs w:val="24"/>
          <w:lang w:eastAsia="es-ES"/>
        </w:rPr>
        <w:t>El plazo de presentación de solicitudes será des del día 1 de enero de 2022 hasta el 31 de diciembre de 2022.</w:t>
      </w:r>
    </w:p>
    <w:p w:rsidR="00CB39A1" w:rsidRDefault="00CB39A1" w:rsidP="00CB39A1">
      <w:pPr>
        <w:spacing w:after="4" w:line="249" w:lineRule="auto"/>
        <w:ind w:left="-5" w:right="286" w:hanging="10"/>
        <w:jc w:val="both"/>
        <w:rPr>
          <w:rFonts w:ascii="Arial Narrow" w:eastAsia="Arial" w:hAnsi="Arial Narrow" w:cs="Arial"/>
          <w:sz w:val="24"/>
          <w:szCs w:val="24"/>
          <w:lang w:eastAsia="es-ES"/>
        </w:rPr>
      </w:pPr>
    </w:p>
    <w:p w:rsidR="00CB39A1" w:rsidRDefault="00CB39A1" w:rsidP="00CB39A1">
      <w:pPr>
        <w:spacing w:after="4" w:line="249" w:lineRule="auto"/>
        <w:ind w:left="-5" w:right="286" w:hanging="10"/>
        <w:jc w:val="both"/>
        <w:rPr>
          <w:rFonts w:ascii="Arial Narrow" w:eastAsia="Arial" w:hAnsi="Arial Narrow" w:cs="Arial"/>
          <w:sz w:val="24"/>
          <w:szCs w:val="24"/>
          <w:lang w:eastAsia="es-ES"/>
        </w:rPr>
      </w:pPr>
      <w:r>
        <w:rPr>
          <w:rFonts w:ascii="Arial Narrow" w:eastAsia="Arial" w:hAnsi="Arial Narrow" w:cs="Arial"/>
          <w:sz w:val="24"/>
          <w:szCs w:val="24"/>
          <w:lang w:eastAsia="es-ES"/>
        </w:rPr>
        <w:t xml:space="preserve">Este Ayuntamiento ha aprobado el Reglamento de prestaciones económicas de carácter social con la finalidad de regular el procedimiento de concesión de las mismas, publicado en el  Boletín Oficial de la Provincia de Barcelona (BOPB) con fecha de 5 de junio de 2018: </w:t>
      </w:r>
    </w:p>
    <w:p w:rsidR="00CB39A1" w:rsidRDefault="00CB39A1" w:rsidP="00CB39A1">
      <w:pPr>
        <w:spacing w:after="0" w:line="256" w:lineRule="auto"/>
        <w:rPr>
          <w:rFonts w:ascii="Arial Narrow" w:eastAsia="Arial" w:hAnsi="Arial Narrow" w:cs="Arial"/>
          <w:sz w:val="24"/>
          <w:szCs w:val="24"/>
          <w:lang w:eastAsia="es-ES"/>
        </w:rPr>
      </w:pPr>
    </w:p>
    <w:p w:rsidR="00CB39A1" w:rsidRDefault="0065478C" w:rsidP="00CB39A1">
      <w:pPr>
        <w:spacing w:after="0" w:line="256" w:lineRule="auto"/>
        <w:rPr>
          <w:rFonts w:ascii="Arial Narrow" w:eastAsia="Arial" w:hAnsi="Arial Narrow" w:cs="Arial"/>
          <w:sz w:val="24"/>
          <w:szCs w:val="24"/>
          <w:lang w:eastAsia="es-ES"/>
        </w:rPr>
      </w:pPr>
      <w:hyperlink r:id="rId7" w:history="1">
        <w:r w:rsidR="00CB39A1">
          <w:rPr>
            <w:rStyle w:val="Hipervnculo"/>
            <w:rFonts w:ascii="Arial Narrow" w:eastAsia="Arial" w:hAnsi="Arial Narrow" w:cs="Arial"/>
            <w:sz w:val="24"/>
            <w:szCs w:val="24"/>
            <w:lang w:eastAsia="es-ES"/>
          </w:rPr>
          <w:t>http://cido.diba.cat/subvencions/7566280/prestacions-economiques-de-caracter-social-ajuntament-de-vallirana</w:t>
        </w:r>
      </w:hyperlink>
    </w:p>
    <w:p w:rsidR="00CB39A1" w:rsidRDefault="00CB39A1" w:rsidP="00CB39A1">
      <w:pPr>
        <w:spacing w:after="0" w:line="256" w:lineRule="auto"/>
        <w:rPr>
          <w:rFonts w:ascii="Arial Narrow" w:eastAsia="Arial" w:hAnsi="Arial Narrow" w:cs="Arial"/>
          <w:sz w:val="24"/>
          <w:szCs w:val="24"/>
          <w:lang w:eastAsia="es-ES"/>
        </w:rPr>
      </w:pPr>
    </w:p>
    <w:p w:rsidR="00CB39A1" w:rsidRDefault="00CB39A1" w:rsidP="00CB39A1">
      <w:pPr>
        <w:spacing w:after="0"/>
        <w:jc w:val="both"/>
        <w:rPr>
          <w:rFonts w:ascii="Arial Narrow" w:eastAsia="Calibri" w:hAnsi="Arial Narrow" w:cs="Times New Roman"/>
          <w:sz w:val="24"/>
          <w:szCs w:val="24"/>
          <w:lang w:eastAsia="es-ES"/>
        </w:rPr>
      </w:pPr>
      <w:r>
        <w:rPr>
          <w:rFonts w:ascii="Arial Narrow" w:hAnsi="Arial Narrow"/>
          <w:sz w:val="24"/>
          <w:szCs w:val="24"/>
          <w:lang w:eastAsia="es-ES"/>
        </w:rPr>
        <w:t>La convocatoria se publicará en el BOPB mediante la BDNS, i en la sede electrónica del Ayuntamiento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9. Solicitud</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9.1. En el supuesto de que la prestación a conceder sea parte de un plan de actuación integral desarrollado por los servicios sociales básicos, la solicitud podrá ser de oficio por parte de los profesionales del equipo de servicios sociales, siendo necesaria en cualesquier caso la documentación relacionada en este artículo.</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9.2. La documentación relacionada en este artículo será considerada como máxima y se reclamará, en cada caso, la estrictamente necesaria para realizar la valoración económica y social de una forma fidedigna.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9.3. En ningún caso se reclamará documentación que ya conste al expediente del solicitante o de la unidad familiar, ni aquella que se pueda conseguir de oficio a otros servicios municipales u otras administraciones.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9.4. El solicitante podrá presentar, junto con el resto de la documentación exigida, una autorización para que el Ayuntamiento obtenga de forma electrónica los datos requeridos en el curso de este procedimiento. Esta autorización, que se realizará aceptando la cláusula prevista en el formulario de solicitud o mediante la presentación de una autorización creada a tal efecto, especificará los datos y el ente emisor de estas. En este caso, el solicitante no tendrá que aportar la documentación justificativa correspondiente.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10. Documentación</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Documentación general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10.1 Solicitud de ayuda, según modelo normalizado, debidamente agasajado, o bien de oficio por los servicios sociales básicos, según Artículo 9.1.</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10.2 Documento de identificación del solicitante y certificado de empadronamiento y de convivencia donde conste la antigüedad.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10.3 Documentación que acredite la situación económica de la unidad familiar de convivencia: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10.3.1. Cualquier justificante admitido en derecho de la totalidad de ingresos de todos los miembros de la unidad familiar de convivencia.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10.3.2. En el caso de no disponer de los justificantes, y en el supuesto de que quede acreditada la imposibilidad de no poder aportar los justificantes de los ingresos, habrá que aportar una declaración jurada de ingresos de la unidad familiar.</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10.3.3. Cualquier otra documentación que para la correcta valoración de la solicitud pueda ser requerida durante su tramitación, si se considera conveniente por el personal técnico de referencia de los equipos básicos de atención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Documentación específica</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10.4 Para el acceso a determinadas modalidades de ayudas económicas será necesario aportar, además de la documentación general, la documentación específica que corresponda para determinar el cumplimiento de los requisitos y el importe de la solicitud.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10.5 En el supuesto de que se prevea un pago por transferencia, documento de domiciliación bancaria o documento acreditativo de los datos bancarios.</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10.6. Toda esta documentación acreditativa será incorporada al expediente de la persona o la unidad familiar.</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10.7 Los equipos básicos de atención social podrán solicitar aquella documentación, datos, o aclaraciones que se consideren necesarios para resolver la petición de solicitud y conseguir la finalización del expediente.</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10.8. En los casos de solicitudes formuladas por personas físicas en situación de vulnerabilidad social o bien incoada por actuación profesional, no constituye una obligación exprés ni excluyendo de la validez del expediente administrativo, la formalización de la solicitud, restante la misma subsumida al informe social del personal técnico de referencia de los equipos básicos de atención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11. Justificación de la Ayuda</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La persona beneficiaria de la ayuda, tendrá que aportar a la persona técnica de referencia, los documentos justificativos del gasto. En un plazo màximo de tres meses desde la fecha de aprobación de la ayuda por el órgano competente.</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las sucesivas visitas de atención al usuario beneficiario de un económico de carácter social, el técnico referente, Trabajador/a Social o Educador/a Social, comprobará con los justificantes aportados, el destino de la ayuda por el concepto por el cual se concedió.</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12. Tramitación</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El técnico referente del caso, realizará una valoración económica y social para valorar la necesidad de la ayuda económica que solicita el usuario, mediante la documentación aportada. Se aplicará el baremo establecido a los Anexos 1,2 y 3, mediante la calculadora (doc. Excel) programada con los indicadores sociales y económicos del Anexo 2.</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Elaborará un informe técnico que firmará, con el visto y aprobado de la Responsable de Servicios Sociales.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El servicio gestor se el departamento de Servicios Sociales, que propondrá al órgano competente para resolver las ayudas económicas de urgencia social, en la Junta de Gobierno Local.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Aprobado la ayuda, se realizará el pago al usuario mediante transferencia bancaria. En determinados casos también se podrá efectuar el pago a un tercero (endosatario), si así consta en el informe técnico.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 xml:space="preserve">Artículo 13. Periodo de ejecución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El periodo de ejecución será desde el día 1 de enero de 2022 hasta el 31 de diciembre de 2022 incluido.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14. Recursos</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el supuesto que la persona que solicita una ayuda económica de carácter social realice su petición mediante instancia, potestativamente, se podrá interponer previamente recurso de reposición en el plazo de un mes a contar desde el día de la notificación a los interesados de la resolución, y en el plazo de dos meses recurso contencioso-administrativo ante los juzgados de lo contencioso-administrativo.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15. Causas de reintegro</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Como se especifica en el Artículo 7.2, apartado y), una de las obligaciones de las personas beneficiarias es: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i) “Reintegrar los importes concedidos cuando no se apliquen para las finalidades para las cuales se concedieron.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Cuando a consecuencia de la anulación, revocación o de la revisión de la ayuda, el importe definitivo de este sea inferior al importe pagado, el/la perceptor/a estará obligado a reintegrar el exceso.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Así mismo, también estará obligado a reintegrar la ayuda el/la beneficiario/aria que haya percibido la ayuda falseando las condiciones exigidas o escondiendo aquellas que hubieran impedido su concesión; el/la beneficiario/aria que haya incumplido total o parcialmente el objetivo de la ayuda; el/la beneficiario/aria que haya incumplido la obligación de aportar los justificantes en los plazos establecidos; el/la beneficiario/aria que oponga resistencia u obstrucción a las actuaciones de comprobación y de control financiero y en los otros supuestos previstos en la normativa de Ley 38/2003, de 17 de noviembre, general de subvenciones. </w:t>
      </w: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Procederá el reintegro por parte de los/de las beneficiarios/arias de la totalidad o parte de las cantidades percibidas, y la exigencia del interés de demora desde el momento del pago de la ayuda hasta la fecha en que se acuerde la procedencia del reintegro. </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16. Plazo de resolución y notificación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El plazo de resolución será hasta el día 31 de diciembre de 2022 incluido.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Artículo 17. Deficiencias en la justificación</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En las sucesivas visitas de atención al usuario beneficiario de un económico de carácter social, el técnico referente, Trabajador/a Social o Educador/a Social, comprobará con los justificantes aportados, el destino de la ayuda por el concepto por el cual se concedió.</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En el supuesto de que los documentos presentados como justificación fueran incorrectos o incompletos, se comunicará al interesado/da la necesidad de solucionar las deficiencias detectadas en un plazo de diez días hábiles, a contar desde el día siguiente que sea notificado, con la advertencia que, de no hacerlo, se procederá a la revocación o a la reducción de la ayuda según corresponda, con la consecuente obligación de reintegro en caso de que se hubiera avanzado su pago.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rPr>
          <w:rFonts w:ascii="Arial Narrow" w:hAnsi="Arial Narrow"/>
          <w:b/>
          <w:sz w:val="24"/>
          <w:szCs w:val="24"/>
          <w:lang w:val="ca-ES"/>
        </w:rPr>
      </w:pPr>
      <w:r>
        <w:rPr>
          <w:rFonts w:ascii="Arial Narrow" w:hAnsi="Arial Narrow"/>
          <w:b/>
          <w:sz w:val="24"/>
          <w:szCs w:val="24"/>
        </w:rPr>
        <w:t>ANEXOS PARA VALORAR LAS SOLICITUDES I LOS IMPORTES DE LAS AYUDAS</w:t>
      </w: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ANEXO 1: Situación económica de la unidad familiar de convivencia</w:t>
      </w:r>
    </w:p>
    <w:p w:rsidR="00CB39A1" w:rsidRDefault="00CB39A1" w:rsidP="00CB39A1">
      <w:pPr>
        <w:spacing w:after="0" w:line="240" w:lineRule="auto"/>
        <w:jc w:val="both"/>
        <w:rPr>
          <w:rFonts w:ascii="Arial Narrow" w:hAnsi="Arial Narrow"/>
          <w:b/>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El año 2022 los ingresos netos de la unidad familiar de convivencia, mensuales, máximos para tener derecho a ayuda serán los siguientes: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tbl>
      <w:tblPr>
        <w:tblW w:w="0" w:type="auto"/>
        <w:tblInd w:w="489" w:type="dxa"/>
        <w:tblLayout w:type="fixed"/>
        <w:tblLook w:val="04A0" w:firstRow="1" w:lastRow="0" w:firstColumn="1" w:lastColumn="0" w:noHBand="0" w:noVBand="1"/>
      </w:tblPr>
      <w:tblGrid>
        <w:gridCol w:w="4005"/>
        <w:gridCol w:w="2547"/>
      </w:tblGrid>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bCs/>
                <w:sz w:val="24"/>
                <w:szCs w:val="24"/>
              </w:rPr>
            </w:pPr>
            <w:r>
              <w:rPr>
                <w:rFonts w:ascii="Arial Narrow" w:hAnsi="Arial Narrow"/>
                <w:bCs/>
                <w:sz w:val="24"/>
                <w:szCs w:val="24"/>
              </w:rPr>
              <w:t>Composición unidad convivencia</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bCs/>
                <w:sz w:val="24"/>
                <w:szCs w:val="24"/>
              </w:rPr>
              <w:t>Renta disponible máxima mensual 2022 (*)</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Un miembro</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569,12€</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Dos miembros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739,86€</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Tres miembros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910,59€</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Cuatro miembros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1.081,33€</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Cinco miembros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1.252,06€</w:t>
            </w:r>
          </w:p>
        </w:tc>
      </w:tr>
      <w:tr w:rsidR="00CB39A1" w:rsidTr="00CB39A1">
        <w:tc>
          <w:tcPr>
            <w:tcW w:w="4005" w:type="dxa"/>
            <w:tcBorders>
              <w:top w:val="single" w:sz="4" w:space="0" w:color="000000"/>
              <w:left w:val="single" w:sz="4" w:space="0" w:color="000000"/>
              <w:bottom w:val="single" w:sz="4" w:space="0" w:color="000000"/>
              <w:right w:val="nil"/>
            </w:tcBorders>
            <w:vAlign w:val="center"/>
            <w:hideMark/>
          </w:tcPr>
          <w:p w:rsidR="00CB39A1" w:rsidRDefault="00CB39A1">
            <w:pPr>
              <w:rPr>
                <w:rFonts w:ascii="Arial Narrow" w:hAnsi="Arial Narrow"/>
                <w:sz w:val="24"/>
                <w:szCs w:val="24"/>
              </w:rPr>
            </w:pPr>
            <w:r>
              <w:rPr>
                <w:rFonts w:ascii="Arial Narrow" w:hAnsi="Arial Narrow"/>
                <w:sz w:val="24"/>
                <w:szCs w:val="24"/>
              </w:rPr>
              <w:t>Seis miembros</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CB39A1" w:rsidRDefault="00CB39A1">
            <w:pPr>
              <w:rPr>
                <w:rFonts w:ascii="Arial Narrow" w:hAnsi="Arial Narrow"/>
                <w:sz w:val="24"/>
                <w:szCs w:val="24"/>
              </w:rPr>
            </w:pPr>
            <w:r>
              <w:rPr>
                <w:rFonts w:ascii="Arial Narrow" w:hAnsi="Arial Narrow"/>
                <w:sz w:val="24"/>
                <w:szCs w:val="24"/>
              </w:rPr>
              <w:t>1.422,80€</w:t>
            </w:r>
          </w:p>
        </w:tc>
      </w:tr>
    </w:tbl>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 (*) El importe del IRSC se aprueba con la Ley de presupuestos de la Generalitat de Cataluña, por lo tanto, puede variar cada año.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 xml:space="preserve">Los ingresos netos de la unidad familiar de convivencia se obtienen de la suma de los ingresos, relacionados en el artículo 6. Apartado a)1. (Obtenidos en los últimos 3 meses y ajustados a nivel mensual). </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Para calcular la renta disponible hay que restar a los ingresos los gastos de vivienda con los límites regulados en el artículo 6 apartado a)2.</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r>
        <w:rPr>
          <w:rFonts w:ascii="Arial Narrow" w:hAnsi="Arial Narrow"/>
          <w:sz w:val="24"/>
          <w:szCs w:val="24"/>
        </w:rPr>
        <w:t>A efectos del baremo final la situación económica se valorará según la puntuación consignada a la tabla siguiente:</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tbl>
      <w:tblPr>
        <w:tblW w:w="0" w:type="auto"/>
        <w:tblInd w:w="552" w:type="dxa"/>
        <w:tblLayout w:type="fixed"/>
        <w:tblLook w:val="04A0" w:firstRow="1" w:lastRow="0" w:firstColumn="1" w:lastColumn="0" w:noHBand="0" w:noVBand="1"/>
      </w:tblPr>
      <w:tblGrid>
        <w:gridCol w:w="6105"/>
        <w:gridCol w:w="1309"/>
      </w:tblGrid>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rPr>
                <w:rFonts w:ascii="Arial Narrow" w:hAnsi="Arial Narrow"/>
                <w:b/>
                <w:sz w:val="24"/>
                <w:szCs w:val="24"/>
                <w:lang w:val="ca-ES"/>
              </w:rPr>
            </w:pPr>
            <w:r>
              <w:rPr>
                <w:rFonts w:ascii="Arial Narrow" w:hAnsi="Arial Narrow"/>
                <w:b/>
                <w:sz w:val="24"/>
                <w:szCs w:val="24"/>
              </w:rPr>
              <w:t>Tabla de puntuación por la valoración económica según el tramo de renta disponible</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rPr>
                <w:rFonts w:ascii="Arial Narrow" w:hAnsi="Arial Narrow"/>
                <w:b/>
                <w:sz w:val="24"/>
                <w:szCs w:val="24"/>
              </w:rPr>
            </w:pPr>
            <w:r>
              <w:rPr>
                <w:rFonts w:ascii="Arial Narrow" w:hAnsi="Arial Narrow"/>
                <w:b/>
                <w:sz w:val="24"/>
                <w:szCs w:val="24"/>
              </w:rPr>
              <w:t xml:space="preserve">PUNTOS </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jc w:val="both"/>
              <w:rPr>
                <w:rFonts w:ascii="Arial Narrow" w:hAnsi="Arial Narrow"/>
                <w:sz w:val="24"/>
                <w:szCs w:val="24"/>
              </w:rPr>
            </w:pPr>
            <w:r>
              <w:rPr>
                <w:rFonts w:ascii="Arial Narrow" w:hAnsi="Arial Narrow"/>
                <w:sz w:val="24"/>
                <w:szCs w:val="24"/>
              </w:rPr>
              <w:t>Renta inferior al 33,3% del máximo mensual establecido a los requisitos económicos segundos tipología de la unidad de 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rPr>
                <w:rFonts w:ascii="Arial Narrow" w:hAnsi="Arial Narrow"/>
                <w:sz w:val="24"/>
                <w:szCs w:val="24"/>
              </w:rPr>
            </w:pPr>
            <w:r>
              <w:rPr>
                <w:rFonts w:ascii="Arial Narrow" w:hAnsi="Arial Narrow"/>
                <w:sz w:val="24"/>
                <w:szCs w:val="24"/>
              </w:rPr>
              <w:t>6 puntos</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jc w:val="both"/>
              <w:rPr>
                <w:rFonts w:ascii="Arial Narrow" w:hAnsi="Arial Narrow"/>
                <w:sz w:val="24"/>
                <w:szCs w:val="24"/>
              </w:rPr>
            </w:pPr>
            <w:r>
              <w:rPr>
                <w:rFonts w:ascii="Arial Narrow" w:hAnsi="Arial Narrow"/>
                <w:sz w:val="24"/>
                <w:szCs w:val="24"/>
              </w:rPr>
              <w:t>Renta entre el 33,4 y el 66,6% del máximo mensual establecido a los requisitos económicos segundos tipología de la unidad de 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rPr>
                <w:rFonts w:ascii="Arial Narrow" w:hAnsi="Arial Narrow"/>
                <w:sz w:val="24"/>
                <w:szCs w:val="24"/>
              </w:rPr>
            </w:pPr>
            <w:r>
              <w:rPr>
                <w:rFonts w:ascii="Arial Narrow" w:hAnsi="Arial Narrow"/>
                <w:sz w:val="24"/>
                <w:szCs w:val="24"/>
              </w:rPr>
              <w:t>4 puntos</w:t>
            </w:r>
          </w:p>
        </w:tc>
      </w:tr>
      <w:tr w:rsidR="00CB39A1" w:rsidTr="00CB39A1">
        <w:tc>
          <w:tcPr>
            <w:tcW w:w="6105" w:type="dxa"/>
            <w:tcBorders>
              <w:top w:val="single" w:sz="4" w:space="0" w:color="000000"/>
              <w:left w:val="single" w:sz="4" w:space="0" w:color="000000"/>
              <w:bottom w:val="single" w:sz="4" w:space="0" w:color="000000"/>
              <w:right w:val="nil"/>
            </w:tcBorders>
            <w:hideMark/>
          </w:tcPr>
          <w:p w:rsidR="00CB39A1" w:rsidRDefault="00CB39A1">
            <w:pPr>
              <w:rPr>
                <w:rFonts w:ascii="Arial Narrow" w:hAnsi="Arial Narrow"/>
                <w:sz w:val="24"/>
                <w:szCs w:val="24"/>
              </w:rPr>
            </w:pPr>
            <w:r>
              <w:rPr>
                <w:rFonts w:ascii="Arial Narrow" w:hAnsi="Arial Narrow"/>
                <w:sz w:val="24"/>
                <w:szCs w:val="24"/>
              </w:rPr>
              <w:t>Renta entre el 66,7 y el 100% del máximo mensual establecido a los requisitos económicos segundos tipología de la unidad de convivencia.</w:t>
            </w:r>
          </w:p>
        </w:tc>
        <w:tc>
          <w:tcPr>
            <w:tcW w:w="1309" w:type="dxa"/>
            <w:tcBorders>
              <w:top w:val="single" w:sz="4" w:space="0" w:color="000000"/>
              <w:left w:val="single" w:sz="4" w:space="0" w:color="000000"/>
              <w:bottom w:val="single" w:sz="4" w:space="0" w:color="000000"/>
              <w:right w:val="single" w:sz="4" w:space="0" w:color="000000"/>
            </w:tcBorders>
            <w:hideMark/>
          </w:tcPr>
          <w:p w:rsidR="00CB39A1" w:rsidRDefault="00CB39A1">
            <w:pPr>
              <w:rPr>
                <w:rFonts w:ascii="Arial Narrow" w:hAnsi="Arial Narrow"/>
                <w:sz w:val="24"/>
                <w:szCs w:val="24"/>
              </w:rPr>
            </w:pPr>
            <w:r>
              <w:rPr>
                <w:rFonts w:ascii="Arial Narrow" w:hAnsi="Arial Narrow"/>
                <w:sz w:val="24"/>
                <w:szCs w:val="24"/>
              </w:rPr>
              <w:t>2 puntos</w:t>
            </w:r>
          </w:p>
        </w:tc>
      </w:tr>
    </w:tbl>
    <w:p w:rsidR="00CB39A1" w:rsidRDefault="00CB39A1" w:rsidP="00CB39A1">
      <w:pPr>
        <w:jc w:val="both"/>
        <w:rPr>
          <w:rFonts w:ascii="Arial Narrow" w:hAnsi="Arial Narrow"/>
          <w:sz w:val="24"/>
          <w:szCs w:val="24"/>
        </w:rPr>
      </w:pPr>
      <w:r>
        <w:rPr>
          <w:rFonts w:ascii="Arial Narrow" w:hAnsi="Arial Narrow"/>
          <w:sz w:val="24"/>
          <w:szCs w:val="24"/>
        </w:rPr>
        <w:t>La máxima puntuación de este apartado es 6 puntos.</w:t>
      </w:r>
    </w:p>
    <w:p w:rsidR="00CB39A1" w:rsidRDefault="00CB39A1" w:rsidP="00CB39A1">
      <w:pPr>
        <w:spacing w:after="0" w:line="240" w:lineRule="auto"/>
        <w:jc w:val="both"/>
        <w:rPr>
          <w:rFonts w:ascii="Arial Narrow" w:hAnsi="Arial Narrow"/>
          <w:sz w:val="24"/>
          <w:szCs w:val="24"/>
        </w:rPr>
      </w:pPr>
    </w:p>
    <w:p w:rsidR="00CB39A1" w:rsidRDefault="00CB39A1" w:rsidP="00CB39A1">
      <w:pPr>
        <w:jc w:val="both"/>
        <w:rPr>
          <w:rFonts w:ascii="Arial Narrow" w:hAnsi="Arial Narrow"/>
          <w:b/>
          <w:sz w:val="24"/>
          <w:szCs w:val="24"/>
        </w:rPr>
      </w:pPr>
      <w:r>
        <w:rPr>
          <w:rFonts w:ascii="Arial Narrow" w:hAnsi="Arial Narrow"/>
          <w:b/>
          <w:sz w:val="24"/>
          <w:szCs w:val="24"/>
        </w:rPr>
        <w:t>ANEXO 2: Ítems para realizar la valoración social</w:t>
      </w:r>
    </w:p>
    <w:p w:rsidR="00CB39A1" w:rsidRDefault="00CB39A1" w:rsidP="00CB39A1">
      <w:pPr>
        <w:spacing w:after="0" w:line="240" w:lineRule="auto"/>
        <w:jc w:val="both"/>
        <w:rPr>
          <w:rFonts w:ascii="Arial Narrow" w:hAnsi="Arial Narrow"/>
          <w:sz w:val="24"/>
          <w:szCs w:val="24"/>
        </w:rPr>
      </w:pPr>
    </w:p>
    <w:tbl>
      <w:tblPr>
        <w:tblW w:w="0" w:type="auto"/>
        <w:tblLayout w:type="fixed"/>
        <w:tblCellMar>
          <w:left w:w="0" w:type="dxa"/>
          <w:right w:w="0" w:type="dxa"/>
        </w:tblCellMar>
        <w:tblLook w:val="04A0" w:firstRow="1" w:lastRow="0" w:firstColumn="1" w:lastColumn="0" w:noHBand="0" w:noVBand="1"/>
      </w:tblPr>
      <w:tblGrid>
        <w:gridCol w:w="8850"/>
        <w:gridCol w:w="23"/>
        <w:gridCol w:w="92"/>
        <w:gridCol w:w="30"/>
      </w:tblGrid>
      <w:tr w:rsidR="00CB39A1" w:rsidTr="00CB39A1">
        <w:trPr>
          <w:gridAfter w:val="1"/>
          <w:wAfter w:w="30" w:type="dxa"/>
          <w:trHeight w:val="270"/>
        </w:trPr>
        <w:tc>
          <w:tcPr>
            <w:tcW w:w="8850" w:type="dxa"/>
            <w:shd w:val="clear" w:color="auto" w:fill="000000"/>
            <w:vAlign w:val="bottom"/>
            <w:hideMark/>
          </w:tcPr>
          <w:p w:rsidR="00CB39A1" w:rsidRDefault="00CB39A1">
            <w:pPr>
              <w:rPr>
                <w:rFonts w:ascii="Arial Narrow" w:hAnsi="Arial Narrow"/>
                <w:sz w:val="24"/>
                <w:szCs w:val="24"/>
              </w:rPr>
            </w:pPr>
            <w:r>
              <w:rPr>
                <w:rFonts w:ascii="Arial Narrow" w:hAnsi="Arial Narrow"/>
                <w:bCs/>
                <w:sz w:val="24"/>
                <w:szCs w:val="24"/>
              </w:rPr>
              <w:t>Primer bloque. Situación familiar ( 2 puntos ).</w:t>
            </w: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r w:rsidR="00CB39A1" w:rsidTr="00CB39A1">
        <w:trPr>
          <w:trHeight w:val="270"/>
        </w:trPr>
        <w:tc>
          <w:tcPr>
            <w:tcW w:w="8995" w:type="dxa"/>
            <w:gridSpan w:val="4"/>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Familia numerosa</w:t>
            </w:r>
          </w:p>
        </w:tc>
      </w:tr>
      <w:tr w:rsidR="00CB39A1" w:rsidTr="00CB39A1">
        <w:trPr>
          <w:trHeight w:val="270"/>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Familia monoparental</w:t>
            </w:r>
          </w:p>
        </w:tc>
      </w:tr>
      <w:tr w:rsidR="00CB39A1" w:rsidTr="00CB39A1">
        <w:trPr>
          <w:trHeight w:val="517"/>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Menores en acogida</w:t>
            </w:r>
          </w:p>
        </w:tc>
      </w:tr>
      <w:tr w:rsidR="00CB39A1" w:rsidTr="00CB39A1">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Cambio imprevisto de la estructura familiar</w:t>
            </w:r>
          </w:p>
        </w:tc>
      </w:tr>
      <w:tr w:rsidR="00CB39A1" w:rsidTr="00CB39A1">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gridAfter w:val="1"/>
          <w:wAfter w:w="30" w:type="dxa"/>
          <w:trHeight w:val="270"/>
        </w:trPr>
        <w:tc>
          <w:tcPr>
            <w:tcW w:w="8850" w:type="dxa"/>
            <w:shd w:val="clear" w:color="auto" w:fill="000000"/>
            <w:vAlign w:val="bottom"/>
            <w:hideMark/>
          </w:tcPr>
          <w:p w:rsidR="00CB39A1" w:rsidRDefault="00CB39A1">
            <w:pPr>
              <w:rPr>
                <w:rFonts w:ascii="Arial Narrow" w:hAnsi="Arial Narrow"/>
                <w:sz w:val="24"/>
                <w:szCs w:val="24"/>
              </w:rPr>
            </w:pPr>
            <w:r>
              <w:rPr>
                <w:rFonts w:ascii="Arial Narrow" w:hAnsi="Arial Narrow"/>
                <w:bCs/>
                <w:sz w:val="24"/>
                <w:szCs w:val="24"/>
              </w:rPr>
              <w:t>Segundo bloque. Situaciones de riesgo de exclusión social relevante (1 punto).</w:t>
            </w: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r w:rsidR="00CB39A1" w:rsidTr="00CB39A1">
        <w:trPr>
          <w:trHeight w:val="517"/>
        </w:trPr>
        <w:tc>
          <w:tcPr>
            <w:tcW w:w="8995" w:type="dxa"/>
            <w:gridSpan w:val="4"/>
            <w:vMerge w:val="restart"/>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Consumo de substancias tóxicas</w:t>
            </w:r>
          </w:p>
        </w:tc>
      </w:tr>
      <w:tr w:rsidR="00CB39A1" w:rsidTr="00CB39A1">
        <w:trPr>
          <w:trHeight w:val="517"/>
        </w:trPr>
        <w:tc>
          <w:tcPr>
            <w:tcW w:w="9427" w:type="dxa"/>
            <w:gridSpan w:val="4"/>
            <w:vMerge/>
            <w:tcBorders>
              <w:top w:val="dashed" w:sz="4" w:space="0" w:color="000000"/>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trHeight w:val="517"/>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Parados de larga duración</w:t>
            </w:r>
          </w:p>
        </w:tc>
      </w:tr>
      <w:tr w:rsidR="00CB39A1" w:rsidTr="00CB39A1">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Violencia familiar</w:t>
            </w:r>
          </w:p>
        </w:tc>
      </w:tr>
      <w:tr w:rsidR="00CB39A1" w:rsidTr="00CB39A1">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gridAfter w:val="1"/>
          <w:wAfter w:w="30" w:type="dxa"/>
          <w:trHeight w:val="270"/>
        </w:trPr>
        <w:tc>
          <w:tcPr>
            <w:tcW w:w="8850" w:type="dxa"/>
            <w:shd w:val="clear" w:color="auto" w:fill="000000"/>
            <w:vAlign w:val="bottom"/>
            <w:hideMark/>
          </w:tcPr>
          <w:p w:rsidR="00CB39A1" w:rsidRDefault="00CB39A1">
            <w:pPr>
              <w:rPr>
                <w:rFonts w:ascii="Arial Narrow" w:hAnsi="Arial Narrow"/>
                <w:sz w:val="24"/>
                <w:szCs w:val="24"/>
              </w:rPr>
            </w:pPr>
            <w:r>
              <w:rPr>
                <w:rFonts w:ascii="Arial Narrow" w:hAnsi="Arial Narrow"/>
                <w:bCs/>
                <w:sz w:val="24"/>
                <w:szCs w:val="24"/>
              </w:rPr>
              <w:t>Tercer bloque. Situaciones de riesgo de exclusión social moderado (0,5 puntos).</w:t>
            </w: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r w:rsidR="00CB39A1" w:rsidTr="00CB39A1">
        <w:trPr>
          <w:trHeight w:val="517"/>
        </w:trPr>
        <w:tc>
          <w:tcPr>
            <w:tcW w:w="8995" w:type="dxa"/>
            <w:gridSpan w:val="4"/>
            <w:vMerge w:val="restart"/>
            <w:tcBorders>
              <w:top w:val="dashed" w:sz="4" w:space="0" w:color="000000"/>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Composición de la unidad de convivencia que determine una situación de riesgo o desigualdad (monoparentales, persones soles, personas mayores, etc.)</w:t>
            </w:r>
          </w:p>
        </w:tc>
      </w:tr>
      <w:tr w:rsidR="00CB39A1" w:rsidTr="00CB39A1">
        <w:trPr>
          <w:trHeight w:val="517"/>
        </w:trPr>
        <w:tc>
          <w:tcPr>
            <w:tcW w:w="9427" w:type="dxa"/>
            <w:gridSpan w:val="4"/>
            <w:vMerge/>
            <w:tcBorders>
              <w:top w:val="dashed" w:sz="4" w:space="0" w:color="000000"/>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Existencia de miembro/s con problemas de salud</w:t>
            </w:r>
          </w:p>
        </w:tc>
      </w:tr>
      <w:tr w:rsidR="00CB39A1" w:rsidTr="00CB39A1">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Existencia de miembro/s con discapacidad / enfermedad mental</w:t>
            </w:r>
          </w:p>
        </w:tc>
      </w:tr>
      <w:tr w:rsidR="00CB39A1" w:rsidTr="00CB39A1">
        <w:trPr>
          <w:trHeight w:val="255"/>
        </w:trPr>
        <w:tc>
          <w:tcPr>
            <w:tcW w:w="8995" w:type="dxa"/>
            <w:gridSpan w:val="4"/>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Existencia de miembro/s con necesidades educativas especiales</w:t>
            </w:r>
          </w:p>
        </w:tc>
      </w:tr>
      <w:tr w:rsidR="00CB39A1" w:rsidTr="00CB39A1">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Existencia de situación de riesgo para a menores o personas vulnerables por razón de déficits de convivencia (conflicto, abandono, maltratamiento, abuso, etc.)</w:t>
            </w:r>
          </w:p>
        </w:tc>
      </w:tr>
      <w:tr w:rsidR="00CB39A1" w:rsidTr="00CB39A1">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trHeight w:val="517"/>
        </w:trPr>
        <w:tc>
          <w:tcPr>
            <w:tcW w:w="8995" w:type="dxa"/>
            <w:gridSpan w:val="4"/>
            <w:vMerge w:val="restart"/>
            <w:tcBorders>
              <w:top w:val="nil"/>
              <w:left w:val="dashed" w:sz="4" w:space="0" w:color="000000"/>
              <w:bottom w:val="dashed" w:sz="4" w:space="0" w:color="000000"/>
              <w:right w:val="dashed" w:sz="4" w:space="0" w:color="000000"/>
            </w:tcBorders>
            <w:shd w:val="clear" w:color="auto" w:fill="FFFFFF"/>
            <w:tcMar>
              <w:top w:w="0" w:type="dxa"/>
              <w:left w:w="70" w:type="dxa"/>
              <w:bottom w:w="0" w:type="dxa"/>
              <w:right w:w="70" w:type="dxa"/>
            </w:tcMar>
            <w:hideMark/>
          </w:tcPr>
          <w:p w:rsidR="00CB39A1" w:rsidRDefault="00CB39A1">
            <w:pPr>
              <w:rPr>
                <w:rFonts w:ascii="Arial Narrow" w:hAnsi="Arial Narrow"/>
                <w:sz w:val="24"/>
                <w:szCs w:val="24"/>
              </w:rPr>
            </w:pPr>
            <w:r>
              <w:rPr>
                <w:rFonts w:ascii="Arial Narrow" w:hAnsi="Arial Narrow"/>
                <w:sz w:val="24"/>
                <w:szCs w:val="24"/>
              </w:rPr>
              <w:t>Existencia de situación de riesgo para menores u otras persones vulnerables por la existencia  de otras problemáticas (drogodependencias, prisión de algún miembro, explotación laboral, etc.)</w:t>
            </w:r>
          </w:p>
        </w:tc>
      </w:tr>
      <w:tr w:rsidR="00CB39A1" w:rsidTr="00CB39A1">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trHeight w:val="517"/>
        </w:trPr>
        <w:tc>
          <w:tcPr>
            <w:tcW w:w="9427" w:type="dxa"/>
            <w:gridSpan w:val="4"/>
            <w:vMerge/>
            <w:tcBorders>
              <w:top w:val="nil"/>
              <w:left w:val="dashed" w:sz="4" w:space="0" w:color="000000"/>
              <w:bottom w:val="dashed" w:sz="4" w:space="0" w:color="000000"/>
              <w:right w:val="dashed" w:sz="4" w:space="0" w:color="000000"/>
            </w:tcBorders>
            <w:vAlign w:val="center"/>
            <w:hideMark/>
          </w:tcPr>
          <w:p w:rsidR="00CB39A1" w:rsidRDefault="00CB39A1">
            <w:pPr>
              <w:spacing w:after="0" w:line="240" w:lineRule="auto"/>
              <w:rPr>
                <w:rFonts w:ascii="Arial Narrow" w:hAnsi="Arial Narrow" w:cs="Times New Roman"/>
                <w:sz w:val="24"/>
                <w:szCs w:val="24"/>
              </w:rPr>
            </w:pPr>
          </w:p>
        </w:tc>
      </w:tr>
      <w:tr w:rsidR="00CB39A1" w:rsidTr="00CB39A1">
        <w:trPr>
          <w:gridAfter w:val="1"/>
          <w:wAfter w:w="30" w:type="dxa"/>
          <w:trHeight w:val="255"/>
        </w:trPr>
        <w:tc>
          <w:tcPr>
            <w:tcW w:w="8850" w:type="dxa"/>
            <w:shd w:val="clear" w:color="auto" w:fill="000000"/>
            <w:vAlign w:val="bottom"/>
          </w:tcPr>
          <w:p w:rsidR="00CB39A1" w:rsidRDefault="00CB39A1">
            <w:pPr>
              <w:rPr>
                <w:rFonts w:ascii="Arial Narrow" w:hAnsi="Arial Narrow"/>
                <w:bCs/>
                <w:sz w:val="24"/>
                <w:szCs w:val="24"/>
              </w:rPr>
            </w:pPr>
          </w:p>
          <w:p w:rsidR="00CB39A1" w:rsidRDefault="00CB39A1">
            <w:pPr>
              <w:rPr>
                <w:rFonts w:ascii="Arial Narrow" w:hAnsi="Arial Narrow"/>
                <w:sz w:val="24"/>
                <w:szCs w:val="24"/>
              </w:rPr>
            </w:pPr>
            <w:r>
              <w:rPr>
                <w:rFonts w:ascii="Arial Narrow" w:hAnsi="Arial Narrow"/>
                <w:bCs/>
                <w:sz w:val="24"/>
                <w:szCs w:val="24"/>
              </w:rPr>
              <w:t>Puntuación discrecional</w:t>
            </w: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r w:rsidR="00CB39A1" w:rsidTr="00CB39A1">
        <w:trPr>
          <w:gridAfter w:val="1"/>
          <w:wAfter w:w="30" w:type="dxa"/>
          <w:trHeight w:val="255"/>
        </w:trPr>
        <w:tc>
          <w:tcPr>
            <w:tcW w:w="8850" w:type="dxa"/>
            <w:shd w:val="clear" w:color="auto" w:fill="000000"/>
            <w:vAlign w:val="bottom"/>
            <w:hideMark/>
          </w:tcPr>
          <w:p w:rsidR="00CB39A1" w:rsidRDefault="00CB39A1">
            <w:pPr>
              <w:rPr>
                <w:rFonts w:ascii="Arial Narrow" w:hAnsi="Arial Narrow"/>
                <w:sz w:val="24"/>
                <w:szCs w:val="24"/>
              </w:rPr>
            </w:pPr>
            <w:r>
              <w:rPr>
                <w:rFonts w:ascii="Arial Narrow" w:hAnsi="Arial Narrow"/>
                <w:bCs/>
                <w:sz w:val="24"/>
                <w:szCs w:val="24"/>
              </w:rPr>
              <w:t>Se valoran  de forma excepcional  discrecional aspectos como el cumplimento del plan de trabajo, la búsqueda activa de trabajo, la codificación de la demanda, etc. (puntuación entre -4 a 4 puntos)</w:t>
            </w: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r w:rsidR="00CB39A1" w:rsidTr="00CB39A1">
        <w:trPr>
          <w:gridAfter w:val="1"/>
          <w:wAfter w:w="30" w:type="dxa"/>
          <w:trHeight w:val="255"/>
        </w:trPr>
        <w:tc>
          <w:tcPr>
            <w:tcW w:w="8850" w:type="dxa"/>
            <w:shd w:val="clear" w:color="auto" w:fill="000000"/>
            <w:vAlign w:val="bottom"/>
          </w:tcPr>
          <w:p w:rsidR="00CB39A1" w:rsidRDefault="00CB39A1">
            <w:pPr>
              <w:rPr>
                <w:rFonts w:ascii="Arial Narrow" w:hAnsi="Arial Narrow"/>
                <w:bCs/>
                <w:sz w:val="24"/>
                <w:szCs w:val="24"/>
              </w:rPr>
            </w:pPr>
          </w:p>
        </w:tc>
        <w:tc>
          <w:tcPr>
            <w:tcW w:w="23" w:type="dxa"/>
          </w:tcPr>
          <w:p w:rsidR="00CB39A1" w:rsidRDefault="00CB39A1">
            <w:pPr>
              <w:rPr>
                <w:rFonts w:ascii="Arial Narrow" w:hAnsi="Arial Narrow"/>
                <w:sz w:val="24"/>
                <w:szCs w:val="24"/>
              </w:rPr>
            </w:pPr>
          </w:p>
        </w:tc>
        <w:tc>
          <w:tcPr>
            <w:tcW w:w="92" w:type="dxa"/>
          </w:tcPr>
          <w:p w:rsidR="00CB39A1" w:rsidRDefault="00CB39A1">
            <w:pPr>
              <w:rPr>
                <w:rFonts w:ascii="Arial Narrow" w:hAnsi="Arial Narrow"/>
                <w:sz w:val="24"/>
                <w:szCs w:val="24"/>
              </w:rPr>
            </w:pPr>
          </w:p>
        </w:tc>
      </w:tr>
    </w:tbl>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jc w:val="both"/>
        <w:rPr>
          <w:rFonts w:ascii="Arial Narrow" w:hAnsi="Arial Narrow"/>
          <w:sz w:val="24"/>
          <w:szCs w:val="24"/>
        </w:rPr>
      </w:pPr>
      <w:r>
        <w:rPr>
          <w:rFonts w:ascii="Arial Narrow" w:hAnsi="Arial Narrow"/>
          <w:sz w:val="24"/>
          <w:szCs w:val="24"/>
        </w:rPr>
        <w:t xml:space="preserve">El/la técnico/a social rellenará el cuadro indicando si hay o no, deficiencias i/o situaciones descritas en el cuadro, de acuerdo con la valoración social que se realice de la situación del / la solicitante de la prestación económica. </w:t>
      </w:r>
    </w:p>
    <w:p w:rsidR="00CB39A1" w:rsidRPr="00CB39A1" w:rsidRDefault="00CB39A1" w:rsidP="00CB39A1">
      <w:pPr>
        <w:jc w:val="both"/>
        <w:rPr>
          <w:rFonts w:ascii="Arial Narrow" w:hAnsi="Arial Narrow"/>
          <w:sz w:val="24"/>
          <w:szCs w:val="24"/>
        </w:rPr>
      </w:pPr>
      <w:r>
        <w:rPr>
          <w:rFonts w:ascii="Arial Narrow" w:hAnsi="Arial Narrow"/>
          <w:sz w:val="24"/>
          <w:szCs w:val="24"/>
        </w:rPr>
        <w:t>La máxima puntuación en este apartado es de +4 puntos, i la mínima de -4 puntos</w:t>
      </w:r>
    </w:p>
    <w:p w:rsidR="00CB39A1" w:rsidRDefault="00CB39A1" w:rsidP="00CB39A1">
      <w:pPr>
        <w:jc w:val="both"/>
        <w:rPr>
          <w:rFonts w:ascii="Arial Narrow" w:hAnsi="Arial Narrow"/>
          <w:b/>
          <w:sz w:val="24"/>
          <w:szCs w:val="24"/>
        </w:rPr>
      </w:pPr>
      <w:r>
        <w:rPr>
          <w:rFonts w:ascii="Arial Narrow" w:hAnsi="Arial Narrow"/>
          <w:b/>
          <w:sz w:val="24"/>
          <w:szCs w:val="24"/>
        </w:rPr>
        <w:t>ANEXO 3: Baremo de las prestaciones y cofinanciación</w:t>
      </w:r>
    </w:p>
    <w:p w:rsidR="00CB39A1" w:rsidRDefault="00CB39A1" w:rsidP="00CB39A1">
      <w:pPr>
        <w:jc w:val="both"/>
        <w:rPr>
          <w:rFonts w:ascii="Arial Narrow" w:hAnsi="Arial Narrow"/>
          <w:sz w:val="24"/>
          <w:szCs w:val="24"/>
        </w:rPr>
      </w:pPr>
      <w:r>
        <w:rPr>
          <w:rFonts w:ascii="Arial Narrow" w:hAnsi="Arial Narrow"/>
          <w:sz w:val="24"/>
          <w:szCs w:val="24"/>
        </w:rPr>
        <w:t>Las prestaciones de importe variable en las que el Ayuntamiento financia una parte y el solicitante asume la cofinanciación de una parte de su coste, serán baremadas y puntuadas según el resultado de la suma entre la valoración económica y la valoración social (hasta un máximo de 10 puntos).</w:t>
      </w:r>
    </w:p>
    <w:p w:rsidR="00CB39A1" w:rsidRDefault="00CB39A1" w:rsidP="00CB39A1">
      <w:pPr>
        <w:jc w:val="both"/>
        <w:rPr>
          <w:rFonts w:ascii="Arial Narrow" w:hAnsi="Arial Narrow"/>
          <w:sz w:val="24"/>
          <w:szCs w:val="24"/>
        </w:rPr>
      </w:pPr>
      <w:r>
        <w:rPr>
          <w:rFonts w:ascii="Arial Narrow" w:hAnsi="Arial Narrow"/>
          <w:sz w:val="24"/>
          <w:szCs w:val="24"/>
        </w:rPr>
        <w:t>El porcentaje de cofinanciación por parte del Ayuntamiento se determinará según la siguiente tabla:</w:t>
      </w:r>
    </w:p>
    <w:tbl>
      <w:tblPr>
        <w:tblW w:w="0" w:type="auto"/>
        <w:tblInd w:w="70" w:type="dxa"/>
        <w:tblLayout w:type="fixed"/>
        <w:tblCellMar>
          <w:left w:w="70" w:type="dxa"/>
          <w:right w:w="70" w:type="dxa"/>
        </w:tblCellMar>
        <w:tblLook w:val="04A0" w:firstRow="1" w:lastRow="0" w:firstColumn="1" w:lastColumn="0" w:noHBand="0" w:noVBand="1"/>
      </w:tblPr>
      <w:tblGrid>
        <w:gridCol w:w="3900"/>
        <w:gridCol w:w="2115"/>
      </w:tblGrid>
      <w:tr w:rsidR="00CB39A1" w:rsidTr="00CB39A1">
        <w:trPr>
          <w:trHeight w:val="255"/>
        </w:trPr>
        <w:tc>
          <w:tcPr>
            <w:tcW w:w="3900" w:type="dxa"/>
            <w:tcBorders>
              <w:top w:val="single" w:sz="18" w:space="0" w:color="000000"/>
              <w:left w:val="single" w:sz="18" w:space="0" w:color="000000"/>
              <w:bottom w:val="single" w:sz="4" w:space="0" w:color="000000"/>
              <w:right w:val="nil"/>
            </w:tcBorders>
            <w:vAlign w:val="bottom"/>
            <w:hideMark/>
          </w:tcPr>
          <w:p w:rsidR="00CB39A1" w:rsidRDefault="00CB39A1">
            <w:pPr>
              <w:rPr>
                <w:rFonts w:ascii="Arial Narrow" w:hAnsi="Arial Narrow"/>
                <w:sz w:val="24"/>
                <w:szCs w:val="24"/>
              </w:rPr>
            </w:pPr>
            <w:r>
              <w:rPr>
                <w:rFonts w:ascii="Arial Narrow" w:hAnsi="Arial Narrow"/>
                <w:sz w:val="24"/>
                <w:szCs w:val="24"/>
              </w:rPr>
              <w:t>Inferior a 4,5 puntos</w:t>
            </w:r>
          </w:p>
        </w:tc>
        <w:tc>
          <w:tcPr>
            <w:tcW w:w="2115" w:type="dxa"/>
            <w:tcBorders>
              <w:top w:val="single" w:sz="18" w:space="0" w:color="000000"/>
              <w:left w:val="single" w:sz="4" w:space="0" w:color="000000"/>
              <w:bottom w:val="single" w:sz="4" w:space="0" w:color="000000"/>
              <w:right w:val="single" w:sz="18" w:space="0" w:color="000000"/>
            </w:tcBorders>
            <w:vAlign w:val="bottom"/>
            <w:hideMark/>
          </w:tcPr>
          <w:p w:rsidR="00CB39A1" w:rsidRDefault="00CB39A1">
            <w:pPr>
              <w:rPr>
                <w:rFonts w:ascii="Arial Narrow" w:hAnsi="Arial Narrow"/>
                <w:sz w:val="24"/>
                <w:szCs w:val="24"/>
                <w:lang w:val="ca-ES"/>
              </w:rPr>
            </w:pPr>
            <w:r>
              <w:rPr>
                <w:rFonts w:ascii="Arial Narrow" w:hAnsi="Arial Narrow"/>
                <w:sz w:val="24"/>
                <w:szCs w:val="24"/>
              </w:rPr>
              <w:t>40%</w:t>
            </w:r>
          </w:p>
        </w:tc>
      </w:tr>
      <w:tr w:rsidR="00CB39A1" w:rsidTr="00CB39A1">
        <w:trPr>
          <w:trHeight w:val="255"/>
        </w:trPr>
        <w:tc>
          <w:tcPr>
            <w:tcW w:w="3900" w:type="dxa"/>
            <w:tcBorders>
              <w:top w:val="single" w:sz="4" w:space="0" w:color="000000"/>
              <w:left w:val="single" w:sz="18" w:space="0" w:color="000000"/>
              <w:bottom w:val="single" w:sz="4" w:space="0" w:color="000000"/>
              <w:right w:val="nil"/>
            </w:tcBorders>
            <w:vAlign w:val="bottom"/>
            <w:hideMark/>
          </w:tcPr>
          <w:p w:rsidR="00CB39A1" w:rsidRDefault="00CB39A1">
            <w:pPr>
              <w:rPr>
                <w:rFonts w:ascii="Arial Narrow" w:hAnsi="Arial Narrow"/>
                <w:sz w:val="24"/>
                <w:szCs w:val="24"/>
              </w:rPr>
            </w:pPr>
            <w:r>
              <w:rPr>
                <w:rFonts w:ascii="Arial Narrow" w:hAnsi="Arial Narrow"/>
                <w:sz w:val="24"/>
                <w:szCs w:val="24"/>
              </w:rPr>
              <w:t>de 4,6 a 6,5 puntos</w:t>
            </w:r>
          </w:p>
        </w:tc>
        <w:tc>
          <w:tcPr>
            <w:tcW w:w="2115" w:type="dxa"/>
            <w:tcBorders>
              <w:top w:val="single" w:sz="4" w:space="0" w:color="000000"/>
              <w:left w:val="single" w:sz="4" w:space="0" w:color="000000"/>
              <w:bottom w:val="single" w:sz="4" w:space="0" w:color="000000"/>
              <w:right w:val="single" w:sz="18" w:space="0" w:color="000000"/>
            </w:tcBorders>
            <w:vAlign w:val="bottom"/>
            <w:hideMark/>
          </w:tcPr>
          <w:p w:rsidR="00CB39A1" w:rsidRDefault="00CB39A1">
            <w:pPr>
              <w:rPr>
                <w:rFonts w:ascii="Arial Narrow" w:hAnsi="Arial Narrow"/>
                <w:sz w:val="24"/>
                <w:szCs w:val="24"/>
                <w:lang w:val="ca-ES"/>
              </w:rPr>
            </w:pPr>
            <w:r>
              <w:rPr>
                <w:rFonts w:ascii="Arial Narrow" w:hAnsi="Arial Narrow"/>
                <w:sz w:val="24"/>
                <w:szCs w:val="24"/>
              </w:rPr>
              <w:t>60%</w:t>
            </w:r>
          </w:p>
        </w:tc>
      </w:tr>
      <w:tr w:rsidR="00CB39A1" w:rsidTr="00CB39A1">
        <w:trPr>
          <w:trHeight w:val="255"/>
        </w:trPr>
        <w:tc>
          <w:tcPr>
            <w:tcW w:w="3900" w:type="dxa"/>
            <w:tcBorders>
              <w:top w:val="single" w:sz="4" w:space="0" w:color="000000"/>
              <w:left w:val="single" w:sz="18" w:space="0" w:color="000000"/>
              <w:bottom w:val="single" w:sz="4" w:space="0" w:color="000000"/>
              <w:right w:val="nil"/>
            </w:tcBorders>
            <w:vAlign w:val="bottom"/>
            <w:hideMark/>
          </w:tcPr>
          <w:p w:rsidR="00CB39A1" w:rsidRDefault="00CB39A1">
            <w:pPr>
              <w:rPr>
                <w:rFonts w:ascii="Arial Narrow" w:hAnsi="Arial Narrow"/>
                <w:sz w:val="24"/>
                <w:szCs w:val="24"/>
              </w:rPr>
            </w:pPr>
            <w:r>
              <w:rPr>
                <w:rFonts w:ascii="Arial Narrow" w:hAnsi="Arial Narrow"/>
                <w:sz w:val="24"/>
                <w:szCs w:val="24"/>
              </w:rPr>
              <w:t>De 6,6 a 8,5 puntos</w:t>
            </w:r>
          </w:p>
        </w:tc>
        <w:tc>
          <w:tcPr>
            <w:tcW w:w="2115" w:type="dxa"/>
            <w:tcBorders>
              <w:top w:val="single" w:sz="4" w:space="0" w:color="000000"/>
              <w:left w:val="single" w:sz="4" w:space="0" w:color="000000"/>
              <w:bottom w:val="single" w:sz="4" w:space="0" w:color="000000"/>
              <w:right w:val="single" w:sz="18" w:space="0" w:color="000000"/>
            </w:tcBorders>
            <w:vAlign w:val="bottom"/>
            <w:hideMark/>
          </w:tcPr>
          <w:p w:rsidR="00CB39A1" w:rsidRDefault="00CB39A1">
            <w:pPr>
              <w:rPr>
                <w:rFonts w:ascii="Arial Narrow" w:hAnsi="Arial Narrow"/>
                <w:sz w:val="24"/>
                <w:szCs w:val="24"/>
                <w:lang w:val="ca-ES"/>
              </w:rPr>
            </w:pPr>
            <w:r>
              <w:rPr>
                <w:rFonts w:ascii="Arial Narrow" w:hAnsi="Arial Narrow"/>
                <w:sz w:val="24"/>
                <w:szCs w:val="24"/>
              </w:rPr>
              <w:t>80%</w:t>
            </w:r>
          </w:p>
        </w:tc>
      </w:tr>
      <w:tr w:rsidR="00CB39A1" w:rsidTr="00CB39A1">
        <w:trPr>
          <w:trHeight w:val="255"/>
        </w:trPr>
        <w:tc>
          <w:tcPr>
            <w:tcW w:w="3900" w:type="dxa"/>
            <w:tcBorders>
              <w:top w:val="single" w:sz="4" w:space="0" w:color="000000"/>
              <w:left w:val="single" w:sz="18" w:space="0" w:color="000000"/>
              <w:bottom w:val="single" w:sz="18" w:space="0" w:color="000000"/>
              <w:right w:val="nil"/>
            </w:tcBorders>
            <w:vAlign w:val="bottom"/>
            <w:hideMark/>
          </w:tcPr>
          <w:p w:rsidR="00CB39A1" w:rsidRDefault="00CB39A1">
            <w:pPr>
              <w:rPr>
                <w:rFonts w:ascii="Arial Narrow" w:hAnsi="Arial Narrow"/>
                <w:sz w:val="24"/>
                <w:szCs w:val="24"/>
              </w:rPr>
            </w:pPr>
            <w:r>
              <w:rPr>
                <w:rFonts w:ascii="Arial Narrow" w:hAnsi="Arial Narrow"/>
                <w:sz w:val="24"/>
                <w:szCs w:val="24"/>
              </w:rPr>
              <w:t>Superior a 8,6 puntos</w:t>
            </w:r>
          </w:p>
        </w:tc>
        <w:tc>
          <w:tcPr>
            <w:tcW w:w="2115" w:type="dxa"/>
            <w:tcBorders>
              <w:top w:val="single" w:sz="4" w:space="0" w:color="000000"/>
              <w:left w:val="single" w:sz="4" w:space="0" w:color="000000"/>
              <w:bottom w:val="single" w:sz="18" w:space="0" w:color="000000"/>
              <w:right w:val="single" w:sz="18" w:space="0" w:color="000000"/>
            </w:tcBorders>
            <w:vAlign w:val="bottom"/>
            <w:hideMark/>
          </w:tcPr>
          <w:p w:rsidR="00CB39A1" w:rsidRDefault="00CB39A1">
            <w:pPr>
              <w:rPr>
                <w:rFonts w:ascii="Arial Narrow" w:hAnsi="Arial Narrow"/>
                <w:sz w:val="24"/>
                <w:szCs w:val="24"/>
                <w:lang w:val="ca-ES"/>
              </w:rPr>
            </w:pPr>
            <w:r>
              <w:rPr>
                <w:rFonts w:ascii="Arial Narrow" w:hAnsi="Arial Narrow"/>
                <w:sz w:val="24"/>
                <w:szCs w:val="24"/>
              </w:rPr>
              <w:t>100%</w:t>
            </w:r>
          </w:p>
        </w:tc>
      </w:tr>
    </w:tbl>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b/>
          <w:sz w:val="24"/>
          <w:szCs w:val="24"/>
        </w:rPr>
      </w:pPr>
      <w:r>
        <w:rPr>
          <w:rFonts w:ascii="Arial Narrow" w:hAnsi="Arial Narrow"/>
          <w:b/>
          <w:sz w:val="24"/>
          <w:szCs w:val="24"/>
        </w:rPr>
        <w:t>ANEXO 4. Cuantía máxima de las prestaciones económicas de carácter social</w:t>
      </w:r>
    </w:p>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2410"/>
      </w:tblGrid>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4"/>
                <w:szCs w:val="24"/>
              </w:rPr>
            </w:pPr>
            <w:r>
              <w:rPr>
                <w:rFonts w:ascii="Arial Narrow" w:hAnsi="Arial Narrow"/>
                <w:b/>
                <w:sz w:val="24"/>
                <w:szCs w:val="24"/>
              </w:rPr>
              <w:t>Modalidad de prestaciones</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b/>
                <w:sz w:val="24"/>
                <w:szCs w:val="24"/>
              </w:rPr>
            </w:pPr>
            <w:r>
              <w:rPr>
                <w:rFonts w:ascii="Arial Narrow" w:hAnsi="Arial Narrow"/>
                <w:b/>
                <w:sz w:val="24"/>
                <w:szCs w:val="24"/>
              </w:rPr>
              <w:t>Cuantía máxima anual</w:t>
            </w: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olor w:val="FF0000"/>
                <w:sz w:val="24"/>
                <w:szCs w:val="24"/>
              </w:rPr>
            </w:pPr>
            <w:r>
              <w:rPr>
                <w:rFonts w:ascii="Arial Narrow" w:hAnsi="Arial Narrow" w:cs="Arial"/>
                <w:b/>
                <w:bCs/>
                <w:sz w:val="24"/>
                <w:szCs w:val="24"/>
                <w:lang w:eastAsia="zh-CN"/>
              </w:rPr>
              <w:t>Desplazamientos por necesidades formativas o búsqueda de empleo o de atención sanitaria:</w:t>
            </w:r>
          </w:p>
        </w:tc>
        <w:tc>
          <w:tcPr>
            <w:tcW w:w="2410" w:type="dxa"/>
            <w:tcBorders>
              <w:top w:val="single" w:sz="4" w:space="0" w:color="auto"/>
              <w:left w:val="single" w:sz="4" w:space="0" w:color="auto"/>
              <w:bottom w:val="single" w:sz="4" w:space="0" w:color="auto"/>
              <w:right w:val="single" w:sz="4" w:space="0" w:color="auto"/>
            </w:tcBorders>
          </w:tcPr>
          <w:p w:rsidR="00CB39A1" w:rsidRDefault="00CB39A1">
            <w:pPr>
              <w:rPr>
                <w:rFonts w:ascii="Arial Narrow" w:hAnsi="Arial Narrow"/>
                <w:color w:val="FF0000"/>
                <w:sz w:val="24"/>
                <w:szCs w:val="24"/>
              </w:rPr>
            </w:pP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olor w:val="FF0000"/>
                <w:sz w:val="24"/>
                <w:szCs w:val="24"/>
              </w:rPr>
            </w:pPr>
            <w:r>
              <w:rPr>
                <w:rFonts w:ascii="Arial Narrow" w:hAnsi="Arial Narrow" w:cs="Arial"/>
                <w:bCs/>
                <w:sz w:val="24"/>
                <w:szCs w:val="24"/>
                <w:lang w:eastAsia="zh-CN"/>
              </w:rPr>
              <w:t>Ayudas para el  al transporte para necesidades formativas i /o laborales i /o de atención sanitaria.</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olor w:val="FF0000"/>
                <w:sz w:val="24"/>
                <w:szCs w:val="24"/>
              </w:rPr>
            </w:pPr>
            <w:r>
              <w:rPr>
                <w:rFonts w:ascii="Arial Narrow" w:hAnsi="Arial Narrow" w:cs="Arial"/>
                <w:bCs/>
                <w:sz w:val="24"/>
                <w:szCs w:val="24"/>
                <w:lang w:eastAsia="zh-CN"/>
              </w:rPr>
              <w:t>200 €/año  por persona</w:t>
            </w: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Arial"/>
                <w:bCs/>
                <w:sz w:val="24"/>
                <w:szCs w:val="24"/>
                <w:lang w:eastAsia="zh-CN"/>
              </w:rPr>
            </w:pPr>
            <w:r>
              <w:rPr>
                <w:rFonts w:ascii="Arial Narrow" w:hAnsi="Arial Narrow" w:cs="Arial"/>
                <w:b/>
                <w:bCs/>
                <w:sz w:val="24"/>
                <w:szCs w:val="24"/>
                <w:lang w:eastAsia="zh-CN"/>
              </w:rPr>
              <w:t>Atención a los menores:</w:t>
            </w:r>
          </w:p>
        </w:tc>
        <w:tc>
          <w:tcPr>
            <w:tcW w:w="2410" w:type="dxa"/>
            <w:tcBorders>
              <w:top w:val="single" w:sz="4" w:space="0" w:color="auto"/>
              <w:left w:val="single" w:sz="4" w:space="0" w:color="auto"/>
              <w:bottom w:val="single" w:sz="4" w:space="0" w:color="auto"/>
              <w:right w:val="single" w:sz="4" w:space="0" w:color="auto"/>
            </w:tcBorders>
          </w:tcPr>
          <w:p w:rsidR="00CB39A1" w:rsidRDefault="00CB39A1">
            <w:pPr>
              <w:rPr>
                <w:rFonts w:ascii="Arial Narrow" w:hAnsi="Arial Narrow" w:cs="Times New Roman"/>
                <w:color w:val="FF0000"/>
                <w:sz w:val="24"/>
                <w:szCs w:val="24"/>
              </w:rPr>
            </w:pP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Arial"/>
                <w:bCs/>
                <w:sz w:val="24"/>
                <w:szCs w:val="24"/>
                <w:lang w:eastAsia="zh-CN"/>
              </w:rPr>
            </w:pPr>
            <w:r>
              <w:rPr>
                <w:rFonts w:ascii="Arial Narrow" w:hAnsi="Arial Narrow" w:cs="Arial"/>
                <w:bCs/>
                <w:sz w:val="24"/>
                <w:szCs w:val="24"/>
                <w:lang w:eastAsia="zh-CN"/>
              </w:rPr>
              <w:t>Escolarización para  la educación infantil, 0-3 años.</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Times New Roman"/>
                <w:color w:val="FF0000"/>
                <w:sz w:val="24"/>
                <w:szCs w:val="24"/>
              </w:rPr>
            </w:pPr>
            <w:r>
              <w:rPr>
                <w:rFonts w:ascii="Arial Narrow" w:hAnsi="Arial Narrow" w:cs="Arial"/>
                <w:bCs/>
                <w:sz w:val="24"/>
                <w:szCs w:val="24"/>
                <w:lang w:eastAsia="zh-CN"/>
              </w:rPr>
              <w:t>1.200 €/año por niño</w:t>
            </w: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Arial"/>
                <w:bCs/>
                <w:sz w:val="24"/>
                <w:szCs w:val="24"/>
                <w:lang w:eastAsia="zh-CN"/>
              </w:rPr>
            </w:pPr>
            <w:r>
              <w:rPr>
                <w:rFonts w:ascii="Arial Narrow" w:hAnsi="Arial Narrow" w:cs="Arial"/>
                <w:bCs/>
                <w:sz w:val="24"/>
                <w:szCs w:val="24"/>
                <w:lang w:eastAsia="zh-CN"/>
              </w:rPr>
              <w:t>Material escolar, libros, salidas y acogida</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Times New Roman"/>
                <w:color w:val="FF0000"/>
                <w:sz w:val="24"/>
                <w:szCs w:val="24"/>
              </w:rPr>
            </w:pPr>
            <w:r>
              <w:rPr>
                <w:rFonts w:ascii="Arial Narrow" w:hAnsi="Arial Narrow" w:cs="Arial"/>
                <w:bCs/>
                <w:sz w:val="24"/>
                <w:szCs w:val="24"/>
                <w:lang w:eastAsia="zh-CN"/>
              </w:rPr>
              <w:t>150 €/año por niño</w:t>
            </w: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Arial"/>
                <w:bCs/>
                <w:sz w:val="24"/>
                <w:szCs w:val="24"/>
                <w:lang w:eastAsia="zh-CN"/>
              </w:rPr>
            </w:pPr>
            <w:r>
              <w:rPr>
                <w:rFonts w:ascii="Arial Narrow" w:hAnsi="Arial Narrow" w:cs="Arial"/>
                <w:bCs/>
                <w:sz w:val="24"/>
                <w:szCs w:val="24"/>
                <w:lang w:eastAsia="zh-CN"/>
              </w:rPr>
              <w:t>Comedor escolar guarderías y  escuelas primaria</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Times New Roman"/>
                <w:color w:val="FF0000"/>
                <w:sz w:val="24"/>
                <w:szCs w:val="24"/>
              </w:rPr>
            </w:pPr>
            <w:r>
              <w:rPr>
                <w:rFonts w:ascii="Arial Narrow" w:hAnsi="Arial Narrow" w:cs="Arial"/>
                <w:bCs/>
                <w:sz w:val="24"/>
                <w:szCs w:val="24"/>
                <w:lang w:eastAsia="zh-CN"/>
              </w:rPr>
              <w:t>1.100 €/año por niño</w:t>
            </w:r>
          </w:p>
        </w:tc>
      </w:tr>
      <w:tr w:rsidR="00CB39A1" w:rsidTr="00CB39A1">
        <w:tc>
          <w:tcPr>
            <w:tcW w:w="5778"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Arial"/>
                <w:bCs/>
                <w:sz w:val="24"/>
                <w:szCs w:val="24"/>
                <w:lang w:eastAsia="zh-CN"/>
              </w:rPr>
            </w:pPr>
            <w:r>
              <w:rPr>
                <w:rFonts w:ascii="Arial Narrow" w:hAnsi="Arial Narrow" w:cs="Arial"/>
                <w:bCs/>
                <w:sz w:val="24"/>
                <w:szCs w:val="24"/>
                <w:lang w:eastAsia="zh-CN"/>
              </w:rPr>
              <w:t>Actividades extraescolares y de ocio, durante el curso escolar y vacaciones</w:t>
            </w:r>
          </w:p>
        </w:tc>
        <w:tc>
          <w:tcPr>
            <w:tcW w:w="2410" w:type="dxa"/>
            <w:tcBorders>
              <w:top w:val="single" w:sz="4" w:space="0" w:color="auto"/>
              <w:left w:val="single" w:sz="4" w:space="0" w:color="auto"/>
              <w:bottom w:val="single" w:sz="4" w:space="0" w:color="auto"/>
              <w:right w:val="single" w:sz="4" w:space="0" w:color="auto"/>
            </w:tcBorders>
            <w:hideMark/>
          </w:tcPr>
          <w:p w:rsidR="00CB39A1" w:rsidRDefault="00CB39A1">
            <w:pPr>
              <w:rPr>
                <w:rFonts w:ascii="Arial Narrow" w:hAnsi="Arial Narrow" w:cs="Times New Roman"/>
                <w:color w:val="FF0000"/>
                <w:sz w:val="24"/>
                <w:szCs w:val="24"/>
              </w:rPr>
            </w:pPr>
            <w:r>
              <w:rPr>
                <w:rFonts w:ascii="Arial Narrow" w:hAnsi="Arial Narrow" w:cs="Arial"/>
                <w:bCs/>
                <w:sz w:val="24"/>
                <w:szCs w:val="24"/>
                <w:lang w:eastAsia="zh-CN"/>
              </w:rPr>
              <w:t>500 €/año por niño</w:t>
            </w:r>
          </w:p>
        </w:tc>
      </w:tr>
    </w:tbl>
    <w:p w:rsidR="00CB39A1" w:rsidRDefault="00CB39A1" w:rsidP="00CB39A1">
      <w:pPr>
        <w:spacing w:after="0" w:line="240" w:lineRule="auto"/>
        <w:jc w:val="both"/>
        <w:rPr>
          <w:rFonts w:ascii="Arial Narrow" w:hAnsi="Arial Narrow"/>
          <w:sz w:val="24"/>
          <w:szCs w:val="24"/>
        </w:rPr>
      </w:pPr>
    </w:p>
    <w:p w:rsidR="00CB39A1" w:rsidRDefault="00CB39A1" w:rsidP="00CB39A1">
      <w:pPr>
        <w:spacing w:after="0" w:line="240" w:lineRule="auto"/>
        <w:jc w:val="both"/>
        <w:rPr>
          <w:rFonts w:ascii="Arial Narrow" w:hAnsi="Arial Narrow"/>
          <w:sz w:val="24"/>
          <w:szCs w:val="24"/>
        </w:rPr>
      </w:pPr>
    </w:p>
    <w:p w:rsidR="00553022" w:rsidRPr="0077104F" w:rsidRDefault="0065478C" w:rsidP="0077104F"/>
    <w:sectPr w:rsidR="00553022" w:rsidRPr="0077104F">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20C" w:rsidRDefault="00CB39A1">
      <w:pPr>
        <w:spacing w:after="0" w:line="240" w:lineRule="auto"/>
      </w:pPr>
      <w:r>
        <w:separator/>
      </w:r>
    </w:p>
  </w:endnote>
  <w:endnote w:type="continuationSeparator" w:id="0">
    <w:p w:rsidR="00B1720C" w:rsidRDefault="00CB3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5478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B39A1"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65478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547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20C" w:rsidRDefault="00CB39A1">
      <w:pPr>
        <w:spacing w:after="0" w:line="240" w:lineRule="auto"/>
      </w:pPr>
      <w:r>
        <w:separator/>
      </w:r>
    </w:p>
  </w:footnote>
  <w:footnote w:type="continuationSeparator" w:id="0">
    <w:p w:rsidR="00B1720C" w:rsidRDefault="00CB39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5478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5478C" w:rsidP="004D0C8A">
    <w:pPr>
      <w:pStyle w:val="Encabezado"/>
    </w:pPr>
  </w:p>
  <w:p w:rsidR="007E738F" w:rsidRPr="00B60BA9" w:rsidRDefault="00CB39A1">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5pt;height:56.4pt" o:ole="">
          <v:imagedata r:id="rId1" o:title=""/>
        </v:shape>
        <o:OLEObject Type="Embed" ProgID="StaticMetafile" ShapeID="rectole0000000000" DrawAspect="Content" ObjectID="_1703577832" r:id="rId2"/>
      </w:object>
    </w:r>
  </w:p>
  <w:p w:rsidR="002D0975" w:rsidRDefault="002D0975" w:rsidP="004D0C8A">
    <w:pPr>
      <w:pStyle w:val="Encabezado"/>
      <w:rPr>
        <w:rFonts w:ascii="Segoe UI" w:hAnsi="Segoe UI" w:cs="Segoe UI"/>
        <w:color w:val="000000"/>
        <w:sz w:val="18"/>
        <w:szCs w:val="18"/>
      </w:rPr>
    </w:pPr>
  </w:p>
  <w:p w:rsidR="004D0C8A" w:rsidRDefault="0065478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5478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975"/>
    <w:rsid w:val="002D0975"/>
    <w:rsid w:val="0065478C"/>
    <w:rsid w:val="00B1720C"/>
    <w:rsid w:val="00CB39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DD690F1-9DA1-498E-9F8A-CB41912FD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34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ido.diba.cat/subvencions/7566280/prestacions-economiques-de-caracter-social-ajuntament-de-valliran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7C5EF-500A-4E75-B947-2FABE7E2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4450</Words>
  <Characters>24475</Characters>
  <Application>Microsoft Office Word</Application>
  <DocSecurity>4</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2022-01-13T10:17:00Z</dcterms:created>
  <dcterms:modified xsi:type="dcterms:W3CDTF">2022-01-13T10:17:00Z</dcterms:modified>
</cp:coreProperties>
</file>