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76" w:before="0" w:after="420"/>
        <w:ind w:right="9" w:firstLine="340"/>
        <w:jc w:val="both"/>
        <w:rPr>
          <w:rFonts w:ascii="Times New Roman" w:hAnsi="Times New Roman" w:cs="Times New Roman"/>
          <w:color w:val="auto"/>
        </w:rPr>
      </w:pPr>
      <w:r>
        <w:rPr>
          <w:rFonts w:eastAsia="Franklin Gothic" w:cs="Times New Roman" w:ascii="Times New Roman" w:hAnsi="Times New Roman"/>
          <w:b/>
          <w:color w:val="auto"/>
        </w:rPr>
        <w:t xml:space="preserve">Extracto da resolución </w:t>
      </w:r>
      <w:r>
        <w:rPr>
          <w:rFonts w:eastAsia="Verdana" w:cs="Verdana" w:ascii="Times New Roman" w:hAnsi="Times New Roman"/>
          <w:b/>
          <w:bCs/>
          <w:color w:val="auto"/>
          <w:sz w:val="22"/>
          <w:szCs w:val="22"/>
          <w:lang w:bidi="es-ES"/>
        </w:rPr>
        <w:t>de Alcaldía número 153/2023, de 30 de marzo de 2023</w:t>
      </w:r>
      <w:r>
        <w:rPr>
          <w:rFonts w:eastAsia="Franklin Gothic" w:cs="Times New Roman" w:ascii="Times New Roman" w:hAnsi="Times New Roman"/>
          <w:b/>
          <w:color w:val="auto"/>
        </w:rPr>
        <w:t xml:space="preserve">, pola que se convocan as subvencións </w:t>
      </w:r>
      <w:r>
        <w:rPr>
          <w:rFonts w:eastAsia="Times New Roman" w:cs="Times New Roman" w:ascii="Times New Roman" w:hAnsi="Times New Roman"/>
          <w:b/>
        </w:rPr>
        <w:t>destinadas a entidades e asociacións deportivas de ámbito municipal de Cedeira para o ano 202</w:t>
      </w:r>
      <w:r>
        <w:rPr>
          <w:rFonts w:eastAsia="Times New Roman" w:cs="Times New Roman" w:ascii="Times New Roman" w:hAnsi="Times New Roman"/>
          <w:b/>
        </w:rPr>
        <w:t>3</w:t>
      </w:r>
      <w:r>
        <w:rPr>
          <w:rFonts w:eastAsia="Times New Roman" w:cs="Times New Roman" w:ascii="Times New Roman" w:hAnsi="Times New Roman"/>
          <w:b/>
        </w:rPr>
        <w:t>.</w:t>
      </w:r>
    </w:p>
    <w:p>
      <w:pPr>
        <w:pStyle w:val="Normal"/>
        <w:tabs>
          <w:tab w:val="clear" w:pos="708"/>
          <w:tab w:val="left" w:pos="567" w:leader="none"/>
        </w:tabs>
        <w:spacing w:before="0" w:after="102"/>
        <w:jc w:val="both"/>
        <w:rPr>
          <w:rFonts w:ascii="Times New Roman" w:hAnsi="Times New Roman" w:cs="Times New Roman"/>
          <w:color w:val="auto"/>
        </w:rPr>
      </w:pPr>
      <w:r>
        <w:rPr>
          <w:rFonts w:eastAsia="Franklin Gothic" w:cs="Times New Roman" w:ascii="Times New Roman" w:hAnsi="Times New Roman"/>
          <w:b/>
          <w:color w:val="auto"/>
        </w:rPr>
        <w:t>1.–OBXECTO.</w:t>
      </w:r>
    </w:p>
    <w:p>
      <w:pPr>
        <w:pStyle w:val="Normal"/>
        <w:jc w:val="both"/>
        <w:rPr>
          <w:rFonts w:ascii="Times New Roman" w:hAnsi="Times New Roman" w:eastAsia="Times New Roman" w:cs="Times New Roman"/>
        </w:rPr>
      </w:pPr>
      <w:r>
        <w:rPr>
          <w:rFonts w:cs="Times New Roman" w:ascii="Times New Roman" w:hAnsi="Times New Roman"/>
        </w:rPr>
        <w:t>O obxecto desta convocatoria é a promoción e impulso de actividades deportivas coa finalidade de fomentar un uso activo e creativo do ocio.</w:t>
      </w:r>
      <w:r>
        <w:rPr>
          <w:rFonts w:eastAsia="Times New Roman" w:cs="Times New Roman" w:ascii="Times New Roman" w:hAnsi="Times New Roman"/>
        </w:rPr>
        <w:t xml:space="preserve"> </w:t>
      </w:r>
    </w:p>
    <w:p>
      <w:pPr>
        <w:pStyle w:val="Normal"/>
        <w:jc w:val="both"/>
        <w:rPr>
          <w:rFonts w:ascii="Times New Roman" w:hAnsi="Times New Roman" w:eastAsia="Times New Roman" w:cs="Times New Roman"/>
          <w:b/>
          <w:b/>
        </w:rPr>
      </w:pPr>
      <w:r>
        <w:rPr>
          <w:rFonts w:eastAsia="Times New Roman" w:cs="Times New Roman" w:ascii="Times New Roman" w:hAnsi="Times New Roman"/>
        </w:rPr>
        <w:t>As presentes bases terán como finalidade apoiar e mellorar a práctica deportiva dos clubs e entidades deportivas, subvencionando os programas de actividades deportivas a desenvolver e os investimentos realizados, referidos a proxectos de iniciación deportiva, fomento da práctica e competición deportiva; podendo consistir en programas, eventos ou competicións deportivas concretas ou na actividade ordinaria anual do club ou entidade deportiva solicitante.</w:t>
      </w:r>
    </w:p>
    <w:p>
      <w:pPr>
        <w:pStyle w:val="Normal"/>
        <w:tabs>
          <w:tab w:val="clear" w:pos="708"/>
          <w:tab w:val="left" w:pos="720" w:leader="none"/>
        </w:tabs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 </w:t>
      </w:r>
      <w:r>
        <w:rPr>
          <w:rFonts w:cs="Times New Roman" w:ascii="Times New Roman" w:hAnsi="Times New Roman"/>
        </w:rPr>
        <w:t>O Concello poderá excluír da concesión calquera actividade que considere que non serve ás finalidades sinaladas, así como as que promovan, faciliten ou permitan a discriminación de calquera tipo (étnica, social, sexual, ideolóxica, lingüística, etc.) ou sexan incompatibles cos valores de igualdade, libre desenvolvemento da personalidade, laicidade e protección ao medio ambiente.</w:t>
      </w:r>
    </w:p>
    <w:p>
      <w:pPr>
        <w:pStyle w:val="Normal"/>
        <w:spacing w:lineRule="auto" w:line="276" w:before="0" w:after="85"/>
        <w:ind w:right="9" w:firstLine="340"/>
        <w:jc w:val="both"/>
        <w:rPr>
          <w:rFonts w:ascii="Times New Roman" w:hAnsi="Times New Roman" w:eastAsia="Franklin Gothic" w:cs="Times New Roman"/>
          <w:color w:val="auto"/>
        </w:rPr>
      </w:pPr>
      <w:r>
        <w:rPr>
          <w:rFonts w:eastAsia="Franklin Gothic" w:cs="Times New Roman" w:ascii="Times New Roman" w:hAnsi="Times New Roman"/>
          <w:color w:val="auto"/>
        </w:rPr>
      </w:r>
    </w:p>
    <w:p>
      <w:pPr>
        <w:pStyle w:val="Normal"/>
        <w:spacing w:lineRule="auto" w:line="276" w:before="0" w:after="85"/>
        <w:ind w:right="9" w:hanging="0"/>
        <w:jc w:val="both"/>
        <w:rPr>
          <w:rFonts w:ascii="Times New Roman" w:hAnsi="Times New Roman" w:cs="Times New Roman"/>
          <w:color w:val="auto"/>
        </w:rPr>
      </w:pPr>
      <w:r>
        <w:rPr>
          <w:rFonts w:eastAsia="Franklin Gothic" w:cs="Times New Roman" w:ascii="Times New Roman" w:hAnsi="Times New Roman"/>
          <w:b/>
          <w:color w:val="auto"/>
        </w:rPr>
        <w:t>2.–CRÉDITOS PRESUPOSTARIOS.</w:t>
      </w:r>
    </w:p>
    <w:p>
      <w:pPr>
        <w:pStyle w:val="Normal"/>
        <w:jc w:val="both"/>
        <w:rPr>
          <w:rFonts w:ascii="Times New Roman" w:hAnsi="Times New Roman" w:eastAsia="Times New Roman" w:cs="Times New Roman"/>
          <w:shd w:fill="FFFFFF" w:val="clear"/>
        </w:rPr>
      </w:pPr>
      <w:r>
        <w:rPr>
          <w:rFonts w:eastAsia="Times New Roman" w:cs="Times New Roman" w:ascii="Times New Roman" w:hAnsi="Times New Roman"/>
          <w:shd w:fill="FFFFFF" w:val="clear"/>
        </w:rPr>
        <w:t>As subvencións faranse efectivas con cargo as seguintes aplicacións do orzamento municipal do Concello de Cedeira para o exercicio 202</w:t>
      </w:r>
      <w:r>
        <w:rPr>
          <w:rFonts w:eastAsia="Times New Roman" w:cs="Times New Roman" w:ascii="Times New Roman" w:hAnsi="Times New Roman"/>
          <w:shd w:fill="FFFFFF" w:val="clear"/>
        </w:rPr>
        <w:t>3</w:t>
      </w:r>
      <w:r>
        <w:rPr>
          <w:rFonts w:eastAsia="Times New Roman" w:cs="Times New Roman" w:ascii="Times New Roman" w:hAnsi="Times New Roman"/>
          <w:shd w:fill="FFFFFF" w:val="clear"/>
        </w:rPr>
        <w:t>:</w:t>
      </w:r>
    </w:p>
    <w:p>
      <w:pPr>
        <w:pStyle w:val="ListParagraph"/>
        <w:widowControl w:val="false"/>
        <w:numPr>
          <w:ilvl w:val="0"/>
          <w:numId w:val="1"/>
        </w:numPr>
        <w:suppressAutoHyphens w:val="true"/>
        <w:spacing w:lineRule="auto" w:line="240" w:before="0" w:after="0"/>
        <w:contextualSpacing/>
        <w:jc w:val="both"/>
        <w:rPr>
          <w:rFonts w:ascii="Times New Roman" w:hAnsi="Times New Roman" w:eastAsia="Times New Roman" w:cs="Times New Roman"/>
          <w:shd w:fill="FFFFFF" w:val="clear"/>
        </w:rPr>
      </w:pPr>
      <w:r>
        <w:rPr>
          <w:rFonts w:eastAsia="Times New Roman" w:cs="Times New Roman" w:ascii="Times New Roman" w:hAnsi="Times New Roman"/>
          <w:shd w:fill="FFFFFF" w:val="clear"/>
        </w:rPr>
        <w:t xml:space="preserve">341.489.00 por importe de </w:t>
      </w:r>
      <w:r>
        <w:rPr>
          <w:rFonts w:eastAsia="Times New Roman" w:cs="Times New Roman" w:ascii="Times New Roman" w:hAnsi="Times New Roman"/>
          <w:shd w:fill="FFFFFF" w:val="clear"/>
        </w:rPr>
        <w:t>45</w:t>
      </w:r>
      <w:r>
        <w:rPr>
          <w:rFonts w:eastAsia="Times New Roman" w:cs="Times New Roman" w:ascii="Times New Roman" w:hAnsi="Times New Roman"/>
          <w:shd w:fill="FFFFFF" w:val="clear"/>
        </w:rPr>
        <w:t xml:space="preserve">.000,00 euros para actividades deportivas. </w:t>
      </w:r>
    </w:p>
    <w:p>
      <w:pPr>
        <w:pStyle w:val="ListParagraph"/>
        <w:widowControl w:val="false"/>
        <w:numPr>
          <w:ilvl w:val="0"/>
          <w:numId w:val="1"/>
        </w:numPr>
        <w:suppressAutoHyphens w:val="true"/>
        <w:spacing w:lineRule="auto" w:line="240" w:before="0" w:after="0"/>
        <w:contextualSpacing/>
        <w:jc w:val="both"/>
        <w:rPr>
          <w:rFonts w:ascii="Times New Roman" w:hAnsi="Times New Roman" w:eastAsia="Times New Roman" w:cs="Times New Roman"/>
          <w:shd w:fill="FFFFFF" w:val="clear"/>
        </w:rPr>
      </w:pPr>
      <w:r>
        <w:rPr>
          <w:rFonts w:eastAsia="Times New Roman" w:cs="Times New Roman" w:ascii="Times New Roman" w:hAnsi="Times New Roman"/>
          <w:shd w:fill="FFFFFF" w:val="clear"/>
        </w:rPr>
        <w:t xml:space="preserve">341.789.00 por importe de </w:t>
      </w:r>
      <w:r>
        <w:rPr>
          <w:rFonts w:eastAsia="Times New Roman" w:cs="Times New Roman" w:ascii="Times New Roman" w:hAnsi="Times New Roman"/>
          <w:shd w:fill="FFFFFF" w:val="clear"/>
        </w:rPr>
        <w:t>15</w:t>
      </w:r>
      <w:r>
        <w:rPr>
          <w:rFonts w:eastAsia="Times New Roman" w:cs="Times New Roman" w:ascii="Times New Roman" w:hAnsi="Times New Roman"/>
          <w:shd w:fill="FFFFFF" w:val="clear"/>
        </w:rPr>
        <w:t xml:space="preserve">.000,00 euros para investimentos que realicen as entidades. </w:t>
      </w:r>
    </w:p>
    <w:p>
      <w:pPr>
        <w:pStyle w:val="Normal"/>
        <w:spacing w:before="0" w:after="102"/>
        <w:jc w:val="both"/>
        <w:rPr>
          <w:rFonts w:ascii="Times New Roman" w:hAnsi="Times New Roman" w:eastAsia="Franklin Gothic" w:cs="Times New Roman"/>
          <w:b/>
          <w:b/>
          <w:color w:val="auto"/>
        </w:rPr>
      </w:pPr>
      <w:r>
        <w:rPr>
          <w:rFonts w:eastAsia="Franklin Gothic" w:cs="Times New Roman" w:ascii="Times New Roman" w:hAnsi="Times New Roman"/>
          <w:b/>
          <w:color w:val="auto"/>
        </w:rPr>
      </w:r>
    </w:p>
    <w:p>
      <w:pPr>
        <w:pStyle w:val="Normal"/>
        <w:spacing w:before="0" w:after="102"/>
        <w:jc w:val="both"/>
        <w:rPr>
          <w:rFonts w:ascii="Times New Roman" w:hAnsi="Times New Roman" w:cs="Times New Roman"/>
          <w:color w:val="auto"/>
        </w:rPr>
      </w:pPr>
      <w:r>
        <w:rPr>
          <w:rFonts w:eastAsia="Franklin Gothic" w:cs="Times New Roman" w:ascii="Times New Roman" w:hAnsi="Times New Roman"/>
          <w:b/>
          <w:color w:val="auto"/>
        </w:rPr>
        <w:t>3.–FINALIDADE.</w:t>
      </w:r>
      <w:bookmarkStart w:id="0" w:name="_Hlk70697427"/>
      <w:bookmarkEnd w:id="0"/>
    </w:p>
    <w:p>
      <w:pPr>
        <w:pStyle w:val="ListParagraph"/>
        <w:ind w:left="0" w:hanging="0"/>
        <w:jc w:val="both"/>
        <w:rPr>
          <w:rFonts w:ascii="Times New Roman" w:hAnsi="Times New Roman" w:eastAsia="Times New Roman" w:cs="Times New Roman"/>
          <w:bCs/>
          <w:iCs/>
        </w:rPr>
      </w:pPr>
      <w:r>
        <w:rPr>
          <w:rFonts w:eastAsia="Times New Roman" w:cs="Times New Roman" w:ascii="Times New Roman" w:hAnsi="Times New Roman"/>
          <w:bCs/>
        </w:rPr>
        <w:t xml:space="preserve">1. </w:t>
      </w:r>
      <w:r>
        <w:rPr>
          <w:rFonts w:eastAsia="Times New Roman" w:cs="Times New Roman" w:ascii="Times New Roman" w:hAnsi="Times New Roman"/>
          <w:bCs/>
          <w:iCs/>
        </w:rPr>
        <w:t xml:space="preserve">Considéranse gastos subvencionables, en caso de solicitar a subvención para a </w:t>
      </w:r>
      <w:r>
        <w:rPr>
          <w:rFonts w:eastAsia="Times New Roman" w:cs="Times New Roman" w:ascii="Times New Roman" w:hAnsi="Times New Roman"/>
          <w:b/>
          <w:bCs/>
          <w:iCs/>
          <w:u w:val="single"/>
        </w:rPr>
        <w:t>realización de actividades</w:t>
      </w:r>
      <w:r>
        <w:rPr>
          <w:rFonts w:eastAsia="Times New Roman" w:cs="Times New Roman" w:ascii="Times New Roman" w:hAnsi="Times New Roman"/>
          <w:bCs/>
          <w:iCs/>
        </w:rPr>
        <w:t xml:space="preserve">, os seguintes: </w:t>
      </w:r>
    </w:p>
    <w:p>
      <w:pPr>
        <w:pStyle w:val="Normal"/>
        <w:numPr>
          <w:ilvl w:val="0"/>
          <w:numId w:val="4"/>
        </w:numPr>
        <w:spacing w:lineRule="auto" w:line="276" w:before="0" w:after="0"/>
        <w:contextualSpacing/>
        <w:jc w:val="both"/>
        <w:rPr>
          <w:rFonts w:ascii="Times New Roman" w:hAnsi="Times New Roman" w:eastAsia="Times New Roman" w:cs="Times New Roman"/>
          <w:bCs/>
          <w:iCs/>
        </w:rPr>
      </w:pPr>
      <w:r>
        <w:rPr>
          <w:rFonts w:eastAsia="Times New Roman" w:cs="Times New Roman" w:ascii="Times New Roman" w:hAnsi="Times New Roman"/>
          <w:bCs/>
          <w:iCs/>
        </w:rPr>
        <w:t>Compra de trofeos</w:t>
      </w:r>
    </w:p>
    <w:p>
      <w:pPr>
        <w:pStyle w:val="Normal"/>
        <w:numPr>
          <w:ilvl w:val="0"/>
          <w:numId w:val="4"/>
        </w:numPr>
        <w:spacing w:lineRule="auto" w:line="276" w:before="0" w:after="0"/>
        <w:contextualSpacing/>
        <w:jc w:val="both"/>
        <w:rPr>
          <w:rFonts w:ascii="Times New Roman" w:hAnsi="Times New Roman" w:eastAsia="Times New Roman" w:cs="Times New Roman"/>
          <w:bCs/>
          <w:iCs/>
        </w:rPr>
      </w:pPr>
      <w:r>
        <w:rPr>
          <w:rFonts w:eastAsia="Times New Roman" w:cs="Times New Roman" w:ascii="Times New Roman" w:hAnsi="Times New Roman"/>
          <w:bCs/>
          <w:iCs/>
        </w:rPr>
        <w:t xml:space="preserve">Compra de matenerial no inventariable o fungible con un importe unitario inferior a 100,00 € (balones, redes, camisetas, etc.) </w:t>
      </w:r>
      <w:r>
        <w:rPr>
          <w:rFonts w:eastAsia="Times New Roman" w:cs="Times New Roman" w:ascii="Times New Roman" w:hAnsi="Times New Roman"/>
          <w:bCs/>
          <w:iCs/>
          <w:szCs w:val="22"/>
        </w:rPr>
        <w:t xml:space="preserve">Para que sexan subvencionables a vestimenta da práctica deportiva deberá levar impreso os logos do concello e do Xeoparque. </w:t>
      </w:r>
    </w:p>
    <w:p>
      <w:pPr>
        <w:pStyle w:val="Standard"/>
        <w:widowControl/>
        <w:numPr>
          <w:ilvl w:val="0"/>
          <w:numId w:val="4"/>
        </w:numPr>
        <w:suppressAutoHyphens w:val="false"/>
        <w:spacing w:lineRule="auto" w:line="276"/>
        <w:jc w:val="both"/>
        <w:rPr>
          <w:rFonts w:eastAsia="Times New Roman"/>
          <w:bCs/>
          <w:iCs/>
          <w:szCs w:val="22"/>
        </w:rPr>
      </w:pPr>
      <w:r>
        <w:rPr>
          <w:rFonts w:eastAsia="Times New Roman"/>
          <w:bCs/>
          <w:iCs/>
          <w:szCs w:val="22"/>
        </w:rPr>
        <w:t>Gastos de aluguer de instalacións deportivas.</w:t>
      </w:r>
    </w:p>
    <w:p>
      <w:pPr>
        <w:pStyle w:val="Standard"/>
        <w:widowControl/>
        <w:numPr>
          <w:ilvl w:val="0"/>
          <w:numId w:val="4"/>
        </w:numPr>
        <w:suppressAutoHyphens w:val="false"/>
        <w:spacing w:lineRule="auto" w:line="276"/>
        <w:jc w:val="both"/>
        <w:rPr>
          <w:rFonts w:eastAsia="Times New Roman"/>
          <w:bCs/>
          <w:iCs/>
          <w:szCs w:val="22"/>
        </w:rPr>
      </w:pPr>
      <w:r>
        <w:rPr>
          <w:rFonts w:eastAsia="Times New Roman"/>
          <w:bCs/>
          <w:iCs/>
          <w:szCs w:val="22"/>
        </w:rPr>
        <w:t>Gastos federativos, mutuas, arbitraxes das competicións, etc. Os gastos derivados da participación habitual en competicións oficiais federadas (arbitraxes, taxas federativas, etc.) que non foran aboados polos deportistas.</w:t>
      </w:r>
    </w:p>
    <w:p>
      <w:pPr>
        <w:pStyle w:val="Standard"/>
        <w:widowControl/>
        <w:numPr>
          <w:ilvl w:val="0"/>
          <w:numId w:val="4"/>
        </w:numPr>
        <w:suppressAutoHyphens w:val="false"/>
        <w:spacing w:lineRule="auto" w:line="276"/>
        <w:jc w:val="both"/>
        <w:rPr>
          <w:rFonts w:eastAsia="Times New Roman"/>
          <w:bCs/>
          <w:iCs/>
          <w:szCs w:val="22"/>
        </w:rPr>
      </w:pPr>
      <w:r>
        <w:rPr>
          <w:rFonts w:eastAsia="Times New Roman"/>
          <w:bCs/>
          <w:iCs/>
          <w:szCs w:val="22"/>
        </w:rPr>
        <w:t>Nóminas do persoal técnico e seguridade social, cos requisitos legais.</w:t>
      </w:r>
    </w:p>
    <w:p>
      <w:pPr>
        <w:pStyle w:val="Standard"/>
        <w:widowControl/>
        <w:numPr>
          <w:ilvl w:val="0"/>
          <w:numId w:val="4"/>
        </w:numPr>
        <w:suppressAutoHyphens w:val="false"/>
        <w:spacing w:lineRule="auto" w:line="276"/>
        <w:jc w:val="both"/>
        <w:rPr>
          <w:rFonts w:eastAsia="Times New Roman"/>
          <w:bCs/>
          <w:iCs/>
          <w:szCs w:val="22"/>
        </w:rPr>
      </w:pPr>
      <w:r>
        <w:rPr>
          <w:rFonts w:eastAsia="Times New Roman"/>
          <w:bCs/>
          <w:iCs/>
          <w:szCs w:val="22"/>
        </w:rPr>
        <w:t>Gastos do mantemento do club. Os gastos de mantemento e funcionamento da entidade solicitante (telefonía, luz, auga, material de oficina funxible, administración, seguros e outros directamente relacionados coa actividade do club).</w:t>
      </w:r>
    </w:p>
    <w:p>
      <w:pPr>
        <w:pStyle w:val="Standard"/>
        <w:widowControl/>
        <w:numPr>
          <w:ilvl w:val="0"/>
          <w:numId w:val="4"/>
        </w:numPr>
        <w:suppressAutoHyphens w:val="false"/>
        <w:spacing w:lineRule="auto" w:line="276" w:before="0" w:after="0"/>
        <w:contextualSpacing/>
        <w:jc w:val="both"/>
        <w:rPr>
          <w:rFonts w:ascii="Times New Roman" w:hAnsi="Times New Roman" w:eastAsia="Times New Roman" w:cs="Times New Roman"/>
          <w:bCs/>
          <w:iCs/>
        </w:rPr>
      </w:pPr>
      <w:r>
        <w:rPr>
          <w:rFonts w:eastAsia="Times New Roman" w:cs="Times New Roman"/>
          <w:bCs/>
          <w:iCs/>
          <w:szCs w:val="22"/>
        </w:rPr>
        <w:t>Carteis, impresos, pancartas, publicidade de medios de comunicación para a divulgación das actividades e actos da entidade.</w:t>
      </w:r>
    </w:p>
    <w:p>
      <w:pPr>
        <w:pStyle w:val="Standard"/>
        <w:widowControl/>
        <w:numPr>
          <w:ilvl w:val="0"/>
          <w:numId w:val="4"/>
        </w:numPr>
        <w:suppressAutoHyphens w:val="false"/>
        <w:spacing w:lineRule="auto" w:line="276" w:before="0" w:after="0"/>
        <w:contextualSpacing/>
        <w:jc w:val="both"/>
        <w:rPr>
          <w:rFonts w:eastAsia="Times New Roman"/>
          <w:bCs/>
          <w:iCs/>
          <w:szCs w:val="22"/>
        </w:rPr>
      </w:pPr>
      <w:r>
        <w:rPr>
          <w:rFonts w:eastAsia="Times New Roman" w:cs="Times New Roman"/>
          <w:bCs/>
          <w:iCs/>
          <w:szCs w:val="22"/>
        </w:rPr>
        <w:t>Seguros para a práctica e organización deportiva: Responsabilidade civil, accidente deportivo, asistencias sanitarias federativas.</w:t>
      </w:r>
    </w:p>
    <w:p>
      <w:pPr>
        <w:pStyle w:val="Normal"/>
        <w:tabs>
          <w:tab w:val="clear" w:pos="708"/>
          <w:tab w:val="left" w:pos="720" w:leader="none"/>
        </w:tabs>
        <w:jc w:val="both"/>
        <w:rPr>
          <w:rFonts w:ascii="Times New Roman" w:hAnsi="Times New Roman" w:eastAsia="'Times New Roman', serif" w:cs="Times New Roman"/>
        </w:rPr>
      </w:pPr>
      <w:r>
        <w:rPr>
          <w:rFonts w:eastAsia="'Times New Roman', serif" w:cs="Times New Roman" w:ascii="Times New Roman" w:hAnsi="Times New Roman"/>
        </w:rPr>
      </w:r>
    </w:p>
    <w:p>
      <w:pPr>
        <w:pStyle w:val="ListParagraph"/>
        <w:ind w:left="0" w:hanging="0"/>
        <w:jc w:val="both"/>
        <w:rPr>
          <w:rFonts w:ascii="Times New Roman" w:hAnsi="Times New Roman" w:cs="Times New Roman"/>
          <w:bCs/>
          <w:iCs/>
        </w:rPr>
      </w:pPr>
      <w:r>
        <w:rPr>
          <w:rFonts w:cs="Times New Roman" w:ascii="Times New Roman" w:hAnsi="Times New Roman"/>
          <w:bCs/>
          <w:iCs/>
        </w:rPr>
        <w:t xml:space="preserve">2. Considéranse gastos subvencionables os seguintes, no caso de solicitar a subvención para a </w:t>
      </w:r>
      <w:r>
        <w:rPr>
          <w:rFonts w:cs="Times New Roman" w:ascii="Times New Roman" w:hAnsi="Times New Roman"/>
          <w:b/>
          <w:iCs/>
          <w:u w:val="single"/>
        </w:rPr>
        <w:t>realización de investimentos:</w:t>
      </w:r>
      <w:r>
        <w:rPr>
          <w:rFonts w:cs="Times New Roman" w:ascii="Times New Roman" w:hAnsi="Times New Roman"/>
          <w:bCs/>
          <w:iCs/>
        </w:rPr>
        <w:t xml:space="preserve"> </w:t>
      </w:r>
    </w:p>
    <w:p>
      <w:pPr>
        <w:pStyle w:val="Normal"/>
        <w:ind w:left="709" w:hanging="0"/>
        <w:jc w:val="both"/>
        <w:rPr>
          <w:rFonts w:ascii="Times New Roman" w:hAnsi="Times New Roman" w:eastAsia="'Times New Roman', serif" w:cs="Times New Roman"/>
        </w:rPr>
      </w:pPr>
      <w:r>
        <w:rPr>
          <w:rFonts w:eastAsia="Times New Roman" w:cs="Times New Roman" w:ascii="Times New Roman" w:hAnsi="Times New Roman"/>
        </w:rPr>
        <w:t xml:space="preserve">a) </w:t>
      </w:r>
      <w:bookmarkStart w:id="1" w:name="_Hlk69293528"/>
      <w:r>
        <w:rPr>
          <w:rFonts w:eastAsia="Times New Roman" w:cs="Times New Roman" w:ascii="Times New Roman" w:hAnsi="Times New Roman"/>
        </w:rPr>
        <w:t>Compra de material inventariable relacionado directamente coa actividade deportiva cun importe unitario igual ou superior a 100 €.</w:t>
      </w:r>
      <w:bookmarkEnd w:id="1"/>
    </w:p>
    <w:p>
      <w:pPr>
        <w:pStyle w:val="Normal"/>
        <w:jc w:val="both"/>
        <w:rPr>
          <w:rFonts w:ascii="Times New Roman" w:hAnsi="Times New Roman" w:eastAsia="'Times New Roman', serif" w:cs="Times New Roman"/>
          <w:bCs/>
        </w:rPr>
      </w:pPr>
      <w:r>
        <w:rPr>
          <w:rFonts w:eastAsia="'Times New Roman', serif" w:cs="Times New Roman" w:ascii="Times New Roman" w:hAnsi="Times New Roman"/>
          <w:bCs/>
        </w:rPr>
      </w:r>
    </w:p>
    <w:p>
      <w:pPr>
        <w:pStyle w:val="Normal"/>
        <w:jc w:val="both"/>
        <w:rPr>
          <w:rFonts w:ascii="Times New Roman" w:hAnsi="Times New Roman" w:eastAsia="'Times New Roman', serif" w:cs="Times New Roman"/>
          <w:bCs/>
        </w:rPr>
      </w:pPr>
      <w:r>
        <w:rPr>
          <w:rFonts w:eastAsia="'Times New Roman', serif" w:cs="Times New Roman" w:ascii="Times New Roman" w:hAnsi="Times New Roman"/>
          <w:bCs/>
        </w:rPr>
        <w:t>3. En ningún caso serán subvencionables: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'Times New Roman', serif" w:cs="Times New Roman"/>
        </w:rPr>
      </w:pPr>
      <w:r>
        <w:rPr>
          <w:rFonts w:eastAsia="'Times New Roman', serif" w:cs="Times New Roman" w:ascii="Times New Roman" w:hAnsi="Times New Roman"/>
        </w:rPr>
        <w:t>a) Intereses debedores de contas bancarias.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'Times New Roman', serif" w:cs="Times New Roman"/>
        </w:rPr>
      </w:pPr>
      <w:r>
        <w:rPr>
          <w:rFonts w:eastAsia="'Times New Roman', serif" w:cs="Times New Roman" w:ascii="Times New Roman" w:hAnsi="Times New Roman"/>
        </w:rPr>
        <w:t>b) Sancións administrativas e penais, así como intereses e recargas que se poidan derivar das mesmas.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'Times New Roman', serif" w:cs="Times New Roman"/>
        </w:rPr>
      </w:pPr>
      <w:r>
        <w:rPr>
          <w:rFonts w:eastAsia="'Times New Roman', serif" w:cs="Times New Roman" w:ascii="Times New Roman" w:hAnsi="Times New Roman"/>
        </w:rPr>
        <w:t>c) Gastos de procedementos xudiciais.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'Times New Roman', serif" w:cs="Times New Roman"/>
        </w:rPr>
      </w:pPr>
      <w:r>
        <w:rPr>
          <w:rFonts w:eastAsia="'Times New Roman', serif" w:cs="Times New Roman" w:ascii="Times New Roman" w:hAnsi="Times New Roman"/>
        </w:rPr>
        <w:t>d) Gastos derivados de celebracións gastronómicas particulares das entidades ou asociacións (xantares, comidas, ceas, pinchos, etcétera).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'Times New Roman', serif" w:cs="Times New Roman"/>
        </w:rPr>
      </w:pPr>
      <w:r>
        <w:rPr>
          <w:rFonts w:eastAsia="'Times New Roman', serif" w:cs="Times New Roman" w:ascii="Times New Roman" w:hAnsi="Times New Roman"/>
        </w:rPr>
        <w:t xml:space="preserve">e) Gastos pola adquisición de bebidas alcohólicas de calquera tipo, así como tabaco ou outros produtos considerados lesivos para a saúde. 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'Times New Roman', serif" w:cs="Times New Roman"/>
        </w:rPr>
      </w:pPr>
      <w:r>
        <w:rPr>
          <w:rFonts w:eastAsia="'Times New Roman', serif" w:cs="Times New Roman" w:ascii="Times New Roman" w:hAnsi="Times New Roman"/>
        </w:rPr>
        <w:t>f) Gastos que contraveñan o disposto no  artigo 68 do RD 887/2006 e no artigo 29.7-d da Lei xeral de subvencións.</w:t>
      </w:r>
    </w:p>
    <w:p>
      <w:pPr>
        <w:pStyle w:val="Normal"/>
        <w:jc w:val="both"/>
        <w:rPr>
          <w:rFonts w:eastAsia="'Times New Roman', serif"/>
        </w:rPr>
      </w:pPr>
      <w:r>
        <w:rPr>
          <w:rFonts w:eastAsia="'Times New Roman', serif"/>
        </w:rPr>
      </w:r>
    </w:p>
    <w:p>
      <w:pPr>
        <w:pStyle w:val="Normal"/>
        <w:spacing w:lineRule="auto" w:line="240" w:before="0" w:after="102"/>
        <w:jc w:val="both"/>
        <w:rPr>
          <w:rFonts w:ascii="Times New Roman" w:hAnsi="Times New Roman" w:cs="Times New Roman"/>
          <w:color w:val="auto"/>
        </w:rPr>
      </w:pPr>
      <w:r>
        <w:rPr>
          <w:rFonts w:eastAsia="Franklin Gothic" w:cs="Times New Roman" w:ascii="Times New Roman" w:hAnsi="Times New Roman"/>
          <w:b/>
          <w:color w:val="auto"/>
        </w:rPr>
        <w:t>4.–MODALIDADE DE CONCESIÓN.</w:t>
      </w:r>
    </w:p>
    <w:p>
      <w:pPr>
        <w:pStyle w:val="Normal"/>
        <w:spacing w:lineRule="auto" w:line="240" w:before="0" w:after="102"/>
        <w:jc w:val="both"/>
        <w:rPr>
          <w:rFonts w:ascii="Times New Roman" w:hAnsi="Times New Roman" w:eastAsia="Franklin Gothic" w:cs="Times New Roman"/>
          <w:color w:val="auto"/>
        </w:rPr>
      </w:pPr>
      <w:r>
        <w:rPr>
          <w:rFonts w:eastAsia="Franklin Gothic" w:cs="Times New Roman" w:ascii="Times New Roman" w:hAnsi="Times New Roman"/>
          <w:color w:val="auto"/>
        </w:rPr>
        <w:t>Réxime de concorrencia competitiva.</w:t>
      </w:r>
    </w:p>
    <w:p>
      <w:pPr>
        <w:pStyle w:val="Normal"/>
        <w:spacing w:lineRule="auto" w:line="240" w:before="0" w:after="102"/>
        <w:jc w:val="both"/>
        <w:rPr>
          <w:rFonts w:ascii="Times New Roman" w:hAnsi="Times New Roman" w:cs="Times New Roman"/>
          <w:color w:val="auto"/>
        </w:rPr>
      </w:pPr>
      <w:r>
        <w:rPr>
          <w:rFonts w:cs="Times New Roman" w:ascii="Times New Roman" w:hAnsi="Times New Roman"/>
          <w:color w:val="auto"/>
        </w:rPr>
      </w:r>
    </w:p>
    <w:p>
      <w:pPr>
        <w:pStyle w:val="Normal"/>
        <w:spacing w:lineRule="auto" w:line="240" w:before="0" w:after="102"/>
        <w:jc w:val="both"/>
        <w:rPr>
          <w:rFonts w:ascii="Times New Roman" w:hAnsi="Times New Roman" w:cs="Times New Roman"/>
          <w:color w:val="auto"/>
        </w:rPr>
      </w:pPr>
      <w:r>
        <w:rPr>
          <w:rFonts w:eastAsia="Franklin Gothic" w:cs="Times New Roman" w:ascii="Times New Roman" w:hAnsi="Times New Roman"/>
          <w:b/>
          <w:color w:val="auto"/>
        </w:rPr>
        <w:t>5.–REQUISITOS PARA SOLICITAR AS SUBVENCIÓNS.</w:t>
      </w:r>
    </w:p>
    <w:p>
      <w:pPr>
        <w:pStyle w:val="Normal"/>
        <w:spacing w:lineRule="auto" w:line="240" w:before="0" w:after="102"/>
        <w:jc w:val="both"/>
        <w:rPr>
          <w:rFonts w:ascii="Times New Roman" w:hAnsi="Times New Roman"/>
        </w:rPr>
      </w:pPr>
      <w:r>
        <w:rPr>
          <w:rFonts w:eastAsia="Times New Roman" w:ascii="Times New Roman" w:hAnsi="Times New Roman"/>
        </w:rPr>
        <w:t>Poderán solicitar esta subvención todos os clubs e asociacións deportivas de Cedeira que reúnan, no momento de presentar a solicitude de subvención</w:t>
      </w:r>
      <w:r>
        <w:rPr>
          <w:rFonts w:eastAsia="Franklin Gothic" w:cs="Times New Roman" w:ascii="Times New Roman" w:hAnsi="Times New Roman"/>
          <w:b/>
          <w:color w:val="auto"/>
        </w:rPr>
        <w:t xml:space="preserve"> </w:t>
      </w:r>
      <w:r>
        <w:rPr>
          <w:rFonts w:eastAsia="Franklin Gothic" w:cs="Times New Roman" w:ascii="Times New Roman" w:hAnsi="Times New Roman"/>
          <w:color w:val="auto"/>
        </w:rPr>
        <w:t>os requisitos sinalados na base 3 das bases reguladoras específicas que acompañan a esta convocatoria.</w:t>
      </w:r>
    </w:p>
    <w:p>
      <w:pPr>
        <w:pStyle w:val="Normal"/>
        <w:spacing w:lineRule="auto" w:line="240" w:before="0" w:after="102"/>
        <w:jc w:val="both"/>
        <w:rPr>
          <w:rFonts w:ascii="Times New Roman" w:hAnsi="Times New Roman" w:cs="Times New Roman"/>
          <w:color w:val="auto"/>
        </w:rPr>
      </w:pPr>
      <w:r>
        <w:rPr>
          <w:rFonts w:cs="Times New Roman" w:ascii="Times New Roman" w:hAnsi="Times New Roman"/>
          <w:color w:val="auto"/>
        </w:rPr>
      </w:r>
    </w:p>
    <w:p>
      <w:pPr>
        <w:pStyle w:val="Normal"/>
        <w:spacing w:lineRule="auto" w:line="240" w:before="0" w:after="102"/>
        <w:jc w:val="both"/>
        <w:rPr>
          <w:rFonts w:ascii="Times New Roman" w:hAnsi="Times New Roman" w:cs="Times New Roman"/>
          <w:color w:val="auto"/>
        </w:rPr>
      </w:pPr>
      <w:r>
        <w:rPr>
          <w:rFonts w:eastAsia="Franklin Gothic" w:cs="Times New Roman" w:ascii="Times New Roman" w:hAnsi="Times New Roman"/>
          <w:b/>
          <w:color w:val="auto"/>
        </w:rPr>
        <w:t>6.–ÓRGANOS COMPETENTES PARA A INSTRUCIÓN E RESOLUCIÓN DO PROCEDEMENTO.</w:t>
      </w:r>
    </w:p>
    <w:p>
      <w:pPr>
        <w:pStyle w:val="ListParagraph"/>
        <w:ind w:left="0" w:hanging="0"/>
        <w:jc w:val="both"/>
        <w:rPr>
          <w:rFonts w:ascii="Times New Roman" w:hAnsi="Times New Roman"/>
        </w:rPr>
      </w:pPr>
      <w:r>
        <w:rPr>
          <w:rFonts w:ascii="Times New Roman" w:hAnsi="Times New Roman"/>
          <w:bCs/>
          <w:iCs/>
        </w:rPr>
        <w:t xml:space="preserve">Nomearase unha Comisión de Valoración que impulsará de oficio a realización de cantas actuacións sexan necesarias para a determinación, coñecemento e comprobación dos datos en virtude das que se formulará a proposta de resolución. </w:t>
      </w:r>
    </w:p>
    <w:p>
      <w:pPr>
        <w:pStyle w:val="ListParagraph"/>
        <w:tabs>
          <w:tab w:val="clear" w:pos="708"/>
          <w:tab w:val="left" w:pos="7020" w:leader="none"/>
        </w:tabs>
        <w:ind w:left="0" w:hanging="0"/>
        <w:jc w:val="both"/>
        <w:rPr>
          <w:rFonts w:ascii="Times New Roman" w:hAnsi="Times New Roman"/>
          <w:bCs/>
          <w:iCs/>
        </w:rPr>
      </w:pPr>
      <w:r>
        <w:rPr>
          <w:rFonts w:ascii="Times New Roman" w:hAnsi="Times New Roman"/>
          <w:bCs/>
          <w:iCs/>
        </w:rPr>
      </w:r>
    </w:p>
    <w:p>
      <w:pPr>
        <w:pStyle w:val="ListParagraph"/>
        <w:ind w:left="0" w:hanging="0"/>
        <w:jc w:val="both"/>
        <w:rPr>
          <w:rFonts w:ascii="Times New Roman" w:hAnsi="Times New Roman"/>
        </w:rPr>
      </w:pPr>
      <w:r>
        <w:rPr>
          <w:rFonts w:ascii="Times New Roman" w:hAnsi="Times New Roman"/>
          <w:bCs/>
          <w:iCs/>
        </w:rPr>
        <w:t>A Comisión de valoración estará composta por:</w:t>
      </w:r>
    </w:p>
    <w:p>
      <w:pPr>
        <w:pStyle w:val="ListParagraph"/>
        <w:widowControl w:val="false"/>
        <w:numPr>
          <w:ilvl w:val="0"/>
          <w:numId w:val="3"/>
        </w:numPr>
        <w:suppressAutoHyphens w:val="true"/>
        <w:spacing w:lineRule="auto" w:line="240" w:before="0" w:after="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Cs/>
          <w:iCs/>
        </w:rPr>
        <w:t>Presidencia: a persoa titular da Concellería de Deportes ou persoa en quen delegue</w:t>
      </w:r>
    </w:p>
    <w:p>
      <w:pPr>
        <w:pStyle w:val="ListParagraph"/>
        <w:widowControl w:val="false"/>
        <w:numPr>
          <w:ilvl w:val="0"/>
          <w:numId w:val="3"/>
        </w:numPr>
        <w:suppressAutoHyphens w:val="true"/>
        <w:spacing w:lineRule="auto" w:line="240" w:before="0" w:after="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Cs/>
          <w:iCs/>
        </w:rPr>
        <w:t>Vocais:</w:t>
      </w:r>
    </w:p>
    <w:p>
      <w:pPr>
        <w:pStyle w:val="Prrafodelista"/>
        <w:widowControl w:val="false"/>
        <w:numPr>
          <w:ilvl w:val="2"/>
          <w:numId w:val="2"/>
        </w:numPr>
        <w:spacing w:before="0" w:after="0"/>
        <w:ind w:left="720" w:right="0" w:hanging="360"/>
        <w:contextualSpacing/>
        <w:jc w:val="both"/>
        <w:rPr>
          <w:rFonts w:ascii="Times New Roman" w:hAnsi="Times New Roman"/>
          <w:bCs/>
          <w:iCs/>
          <w:sz w:val="22"/>
          <w:szCs w:val="22"/>
        </w:rPr>
      </w:pPr>
      <w:r>
        <w:rPr>
          <w:rFonts w:ascii="Times New Roman" w:hAnsi="Times New Roman"/>
          <w:bCs/>
          <w:iCs/>
          <w:sz w:val="22"/>
          <w:szCs w:val="22"/>
        </w:rPr>
        <w:t>a persoa</w:t>
      </w:r>
      <w:r>
        <w:rPr>
          <w:rFonts w:ascii="Times New Roman" w:hAnsi="Times New Roman"/>
          <w:bCs/>
          <w:iCs/>
          <w:sz w:val="22"/>
          <w:szCs w:val="22"/>
        </w:rPr>
        <w:t xml:space="preserve"> titular da Concellería de </w:t>
      </w:r>
      <w:r>
        <w:rPr>
          <w:rFonts w:ascii="Times New Roman" w:hAnsi="Times New Roman"/>
          <w:bCs/>
          <w:iCs/>
          <w:sz w:val="22"/>
          <w:szCs w:val="22"/>
        </w:rPr>
        <w:t>F</w:t>
      </w:r>
      <w:r>
        <w:rPr>
          <w:rFonts w:ascii="Times New Roman" w:hAnsi="Times New Roman"/>
          <w:bCs/>
          <w:iCs/>
          <w:sz w:val="22"/>
          <w:szCs w:val="22"/>
        </w:rPr>
        <w:t>acenda o</w:t>
      </w:r>
      <w:r>
        <w:rPr>
          <w:rFonts w:ascii="Times New Roman" w:hAnsi="Times New Roman"/>
          <w:bCs/>
          <w:iCs/>
          <w:sz w:val="22"/>
          <w:szCs w:val="22"/>
        </w:rPr>
        <w:t>u</w:t>
      </w:r>
      <w:r>
        <w:rPr>
          <w:rFonts w:ascii="Times New Roman" w:hAnsi="Times New Roman"/>
          <w:bCs/>
          <w:iCs/>
          <w:sz w:val="22"/>
          <w:szCs w:val="22"/>
        </w:rPr>
        <w:t xml:space="preserve"> persoa en quen delegue </w:t>
      </w:r>
    </w:p>
    <w:p>
      <w:pPr>
        <w:pStyle w:val="Prrafodelista"/>
        <w:widowControl w:val="false"/>
        <w:numPr>
          <w:ilvl w:val="2"/>
          <w:numId w:val="2"/>
        </w:numPr>
        <w:spacing w:before="0" w:after="0"/>
        <w:ind w:left="720" w:right="0" w:hanging="360"/>
        <w:contextualSpacing/>
        <w:jc w:val="both"/>
        <w:rPr>
          <w:rFonts w:ascii="Times New Roman" w:hAnsi="Times New Roman"/>
          <w:bCs/>
          <w:iCs/>
          <w:sz w:val="22"/>
          <w:szCs w:val="22"/>
        </w:rPr>
      </w:pPr>
      <w:r>
        <w:rPr>
          <w:rFonts w:ascii="Times New Roman" w:hAnsi="Times New Roman"/>
          <w:bCs/>
          <w:iCs/>
          <w:sz w:val="22"/>
          <w:szCs w:val="22"/>
        </w:rPr>
        <w:t xml:space="preserve">a AEDL </w:t>
      </w:r>
      <w:r>
        <w:rPr>
          <w:rFonts w:ascii="Times New Roman" w:hAnsi="Times New Roman"/>
          <w:bCs/>
          <w:iCs/>
          <w:sz w:val="22"/>
          <w:szCs w:val="22"/>
        </w:rPr>
        <w:t>do concello</w:t>
      </w:r>
      <w:r>
        <w:rPr>
          <w:rFonts w:ascii="Times New Roman" w:hAnsi="Times New Roman"/>
          <w:bCs/>
          <w:iCs/>
          <w:sz w:val="22"/>
          <w:szCs w:val="22"/>
        </w:rPr>
        <w:t xml:space="preserve"> o</w:t>
      </w:r>
      <w:r>
        <w:rPr>
          <w:rFonts w:ascii="Times New Roman" w:hAnsi="Times New Roman"/>
          <w:bCs/>
          <w:iCs/>
          <w:sz w:val="22"/>
          <w:szCs w:val="22"/>
        </w:rPr>
        <w:t>u</w:t>
      </w:r>
      <w:r>
        <w:rPr>
          <w:rFonts w:ascii="Times New Roman" w:hAnsi="Times New Roman"/>
          <w:bCs/>
          <w:iCs/>
          <w:sz w:val="22"/>
          <w:szCs w:val="22"/>
        </w:rPr>
        <w:t xml:space="preserve"> persoa en quen delegue</w:t>
      </w:r>
    </w:p>
    <w:p>
      <w:pPr>
        <w:pStyle w:val="Prrafodelista"/>
        <w:widowControl w:val="false"/>
        <w:numPr>
          <w:ilvl w:val="2"/>
          <w:numId w:val="2"/>
        </w:numPr>
        <w:suppressAutoHyphens w:val="true"/>
        <w:spacing w:lineRule="auto" w:line="240" w:before="0" w:after="0"/>
        <w:ind w:left="720" w:right="0" w:hanging="360"/>
        <w:contextualSpacing/>
        <w:jc w:val="both"/>
        <w:rPr>
          <w:rFonts w:ascii="Times New Roman" w:hAnsi="Times New Roman" w:cs="Times New Roman"/>
          <w:bCs/>
          <w:iCs/>
        </w:rPr>
      </w:pPr>
      <w:r>
        <w:rPr>
          <w:rFonts w:cs="Times New Roman" w:ascii="Times New Roman" w:hAnsi="Times New Roman"/>
          <w:bCs/>
          <w:iCs/>
          <w:sz w:val="22"/>
          <w:szCs w:val="22"/>
        </w:rPr>
        <w:t xml:space="preserve">a persona titular da Intervención Municipal participará na Comisión de valoración con voz </w:t>
      </w:r>
      <w:r>
        <w:rPr>
          <w:rFonts w:cs="Times New Roman" w:ascii="Times New Roman" w:hAnsi="Times New Roman"/>
          <w:bCs/>
          <w:iCs/>
          <w:sz w:val="22"/>
          <w:szCs w:val="22"/>
        </w:rPr>
        <w:t>e sen</w:t>
      </w:r>
      <w:r>
        <w:rPr>
          <w:rFonts w:cs="Times New Roman" w:ascii="Times New Roman" w:hAnsi="Times New Roman"/>
          <w:bCs/>
          <w:iCs/>
          <w:sz w:val="22"/>
          <w:szCs w:val="22"/>
        </w:rPr>
        <w:t xml:space="preserve"> voto</w:t>
      </w:r>
    </w:p>
    <w:p>
      <w:pPr>
        <w:pStyle w:val="ListParagraph"/>
        <w:ind w:left="2160" w:hanging="0"/>
        <w:jc w:val="both"/>
        <w:rPr>
          <w:rFonts w:ascii="Times New Roman" w:hAnsi="Times New Roman"/>
          <w:bCs/>
          <w:iCs/>
        </w:rPr>
      </w:pPr>
      <w:r>
        <w:rPr>
          <w:rFonts w:ascii="Times New Roman" w:hAnsi="Times New Roman"/>
          <w:bCs/>
          <w:iCs/>
        </w:rPr>
      </w:r>
    </w:p>
    <w:p>
      <w:pPr>
        <w:pStyle w:val="ListParagraph"/>
        <w:widowControl w:val="false"/>
        <w:numPr>
          <w:ilvl w:val="0"/>
          <w:numId w:val="1"/>
        </w:numPr>
        <w:suppressAutoHyphens w:val="true"/>
        <w:spacing w:lineRule="auto" w:line="240" w:before="0" w:after="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Cs/>
          <w:iCs/>
        </w:rPr>
        <w:t xml:space="preserve">Secretaría: unha administrativa dos Servizos económicos do Concello, en primeiro lugar, a de maior antigüidade, e en caso de imposibilidade ou incompatibilidade, a seguinte pola mesma orde.  </w:t>
      </w:r>
    </w:p>
    <w:p>
      <w:pPr>
        <w:pStyle w:val="Normal"/>
        <w:widowControl w:val="false"/>
        <w:suppressAutoHyphens w:val="true"/>
        <w:spacing w:lineRule="auto" w:line="240" w:before="0" w:after="200"/>
        <w:contextualSpacing/>
        <w:jc w:val="both"/>
        <w:rPr>
          <w:rFonts w:ascii="Times New Roman" w:hAnsi="Times New Roman" w:eastAsia="Lucida Sans Unicode" w:cs="Times New Roman"/>
          <w:bCs/>
          <w:iCs/>
          <w:color w:val="auto"/>
          <w:kern w:val="2"/>
          <w:lang w:eastAsia="es-ES"/>
        </w:rPr>
      </w:pPr>
      <w:r>
        <w:rPr>
          <w:rFonts w:eastAsia="Lucida Sans Unicode" w:cs="Times New Roman" w:ascii="Times New Roman" w:hAnsi="Times New Roman"/>
          <w:bCs/>
          <w:iCs/>
          <w:color w:val="auto"/>
          <w:kern w:val="2"/>
          <w:lang w:eastAsia="es-ES"/>
        </w:rPr>
      </w:r>
    </w:p>
    <w:p>
      <w:pPr>
        <w:pStyle w:val="Normal"/>
        <w:spacing w:lineRule="auto" w:line="240" w:before="0" w:after="102"/>
        <w:jc w:val="both"/>
        <w:rPr>
          <w:rFonts w:ascii="Times New Roman" w:hAnsi="Times New Roman" w:cs="Times New Roman"/>
          <w:color w:val="auto"/>
        </w:rPr>
      </w:pPr>
      <w:r>
        <w:rPr>
          <w:rFonts w:eastAsia="Franklin Gothic" w:cs="Times New Roman" w:ascii="Times New Roman" w:hAnsi="Times New Roman"/>
          <w:b/>
          <w:color w:val="auto"/>
        </w:rPr>
        <w:t>7.–PRAZO DE PRESENTACIÓN DE SOLICITUDES.</w:t>
      </w:r>
    </w:p>
    <w:p>
      <w:pPr>
        <w:pStyle w:val="Normal"/>
        <w:spacing w:lineRule="auto" w:line="240" w:before="0" w:after="102"/>
        <w:jc w:val="both"/>
        <w:rPr>
          <w:rFonts w:ascii="Times New Roman" w:hAnsi="Times New Roman" w:eastAsia="Franklin Gothic" w:cs="Times New Roman"/>
          <w:bCs/>
          <w:iCs/>
          <w:color w:val="auto"/>
        </w:rPr>
      </w:pPr>
      <w:r>
        <w:rPr>
          <w:rFonts w:eastAsia="Franklin Gothic" w:cs="Times New Roman" w:ascii="Times New Roman" w:hAnsi="Times New Roman"/>
          <w:bCs/>
          <w:iCs/>
          <w:color w:val="auto"/>
        </w:rPr>
        <w:t xml:space="preserve">O prazo de presentación de solicitudes será de </w:t>
      </w:r>
      <w:r>
        <w:rPr>
          <w:rFonts w:eastAsia="Franklin Gothic" w:cs="Times New Roman" w:ascii="Times New Roman" w:hAnsi="Times New Roman"/>
          <w:b/>
          <w:iCs/>
          <w:color w:val="auto"/>
        </w:rPr>
        <w:t xml:space="preserve">15 días hábiles a contar dende o día seguinte da publicación do extracto da convocatoria no Boletín Oficial da Provincia, </w:t>
      </w:r>
      <w:r>
        <w:rPr>
          <w:rFonts w:eastAsia="Franklin Gothic" w:cs="Times New Roman" w:ascii="Times New Roman" w:hAnsi="Times New Roman"/>
          <w:bCs/>
          <w:iCs/>
          <w:color w:val="auto"/>
        </w:rPr>
        <w:t xml:space="preserve"> unha vez publicada a convocatoria na Base de Datos Nacional de Subvencións.</w:t>
      </w:r>
    </w:p>
    <w:p>
      <w:pPr>
        <w:pStyle w:val="Normal"/>
        <w:spacing w:lineRule="auto" w:line="240" w:before="0" w:after="102"/>
        <w:jc w:val="both"/>
        <w:rPr>
          <w:rFonts w:ascii="Times New Roman" w:hAnsi="Times New Roman" w:eastAsia="Franklin Gothic" w:cs="Times New Roman"/>
          <w:bCs/>
          <w:iCs/>
          <w:color w:val="auto"/>
        </w:rPr>
      </w:pPr>
      <w:r>
        <w:rPr>
          <w:rFonts w:eastAsia="Franklin Gothic" w:cs="Times New Roman" w:ascii="Times New Roman" w:hAnsi="Times New Roman"/>
          <w:bCs/>
          <w:iCs/>
          <w:color w:val="auto"/>
        </w:rPr>
      </w:r>
    </w:p>
    <w:p>
      <w:pPr>
        <w:pStyle w:val="Normal"/>
        <w:spacing w:lineRule="auto" w:line="240" w:before="0" w:after="102"/>
        <w:jc w:val="both"/>
        <w:rPr>
          <w:rFonts w:ascii="Times New Roman" w:hAnsi="Times New Roman" w:cs="Times New Roman"/>
          <w:color w:val="auto"/>
        </w:rPr>
      </w:pPr>
      <w:r>
        <w:rPr>
          <w:rFonts w:eastAsia="Franklin Gothic" w:cs="Times New Roman" w:ascii="Times New Roman" w:hAnsi="Times New Roman"/>
          <w:b/>
          <w:color w:val="auto"/>
        </w:rPr>
        <w:t>8.–DOCUMENTACIÓN A PRESENTAR COAS SOLICITUDES.</w:t>
      </w:r>
    </w:p>
    <w:p>
      <w:pPr>
        <w:pStyle w:val="Normal"/>
        <w:spacing w:lineRule="auto" w:line="240" w:before="0" w:after="102"/>
        <w:jc w:val="both"/>
        <w:rPr>
          <w:rFonts w:ascii="Times New Roman" w:hAnsi="Times New Roman" w:eastAsia="Franklin Gothic" w:cs="Times New Roman"/>
          <w:color w:val="auto"/>
        </w:rPr>
      </w:pPr>
      <w:r>
        <w:rPr>
          <w:rFonts w:eastAsia="Franklin Gothic" w:cs="Times New Roman" w:ascii="Times New Roman" w:hAnsi="Times New Roman"/>
          <w:color w:val="auto"/>
        </w:rPr>
        <w:t>A que figura na base 5 das bases reguladoras específicas que acompañan a esta convocatoria.</w:t>
      </w:r>
    </w:p>
    <w:p>
      <w:pPr>
        <w:pStyle w:val="Normal"/>
        <w:spacing w:lineRule="auto" w:line="240" w:before="0" w:after="102"/>
        <w:jc w:val="both"/>
        <w:rPr>
          <w:rFonts w:ascii="Times New Roman" w:hAnsi="Times New Roman" w:cs="Times New Roman"/>
          <w:color w:val="auto"/>
        </w:rPr>
      </w:pPr>
      <w:r>
        <w:rPr>
          <w:rFonts w:cs="Times New Roman" w:ascii="Times New Roman" w:hAnsi="Times New Roman"/>
          <w:color w:val="auto"/>
        </w:rPr>
      </w:r>
    </w:p>
    <w:p>
      <w:pPr>
        <w:pStyle w:val="Normal"/>
        <w:spacing w:lineRule="auto" w:line="240" w:before="0" w:after="102"/>
        <w:jc w:val="both"/>
        <w:rPr>
          <w:rFonts w:ascii="Times New Roman" w:hAnsi="Times New Roman" w:cs="Times New Roman"/>
          <w:color w:val="auto"/>
        </w:rPr>
      </w:pPr>
      <w:r>
        <w:rPr>
          <w:rFonts w:eastAsia="Franklin Gothic" w:cs="Times New Roman" w:ascii="Times New Roman" w:hAnsi="Times New Roman"/>
          <w:b/>
          <w:color w:val="auto"/>
        </w:rPr>
        <w:t>9.–CRITERIOS DE VALORACIÓN.</w:t>
      </w:r>
    </w:p>
    <w:p>
      <w:pPr>
        <w:pStyle w:val="Normal"/>
        <w:spacing w:lineRule="auto" w:line="240" w:before="0" w:after="102"/>
        <w:jc w:val="both"/>
        <w:rPr>
          <w:rFonts w:ascii="Times New Roman" w:hAnsi="Times New Roman" w:cs="Times New Roman"/>
          <w:color w:val="auto"/>
        </w:rPr>
      </w:pPr>
      <w:r>
        <w:rPr>
          <w:rFonts w:eastAsia="Franklin Gothic" w:cs="Times New Roman" w:ascii="Times New Roman" w:hAnsi="Times New Roman"/>
          <w:color w:val="auto"/>
        </w:rPr>
        <w:t>Os que figuran na base 6 das bases reguladoras específicas que acompañan a esta convocatoria.</w:t>
      </w:r>
    </w:p>
    <w:p>
      <w:pPr>
        <w:pStyle w:val="Normal"/>
        <w:spacing w:before="0" w:after="102"/>
        <w:jc w:val="both"/>
        <w:rPr>
          <w:rFonts w:ascii="Times New Roman" w:hAnsi="Times New Roman" w:eastAsia="Franklin Gothic" w:cs="Times New Roman"/>
          <w:b/>
          <w:b/>
          <w:color w:val="auto"/>
        </w:rPr>
      </w:pPr>
      <w:r>
        <w:rPr>
          <w:rFonts w:eastAsia="Franklin Gothic" w:cs="Times New Roman" w:ascii="Times New Roman" w:hAnsi="Times New Roman"/>
          <w:b/>
          <w:color w:val="auto"/>
        </w:rPr>
      </w:r>
    </w:p>
    <w:p>
      <w:pPr>
        <w:pStyle w:val="Normal"/>
        <w:spacing w:before="0" w:after="102"/>
        <w:jc w:val="both"/>
        <w:rPr>
          <w:rFonts w:ascii="Times New Roman" w:hAnsi="Times New Roman" w:cs="Times New Roman"/>
          <w:color w:val="auto"/>
        </w:rPr>
      </w:pPr>
      <w:r>
        <w:rPr>
          <w:rFonts w:eastAsia="Franklin Gothic" w:cs="Times New Roman" w:ascii="Times New Roman" w:hAnsi="Times New Roman"/>
          <w:b/>
          <w:color w:val="auto"/>
        </w:rPr>
        <w:t>10.–BASES REGULADORAS ESPECÍFICAS.</w:t>
      </w:r>
    </w:p>
    <w:p>
      <w:pPr>
        <w:pStyle w:val="Normal"/>
        <w:spacing w:lineRule="auto" w:line="276" w:before="0" w:after="85"/>
        <w:ind w:right="9" w:hanging="0"/>
        <w:jc w:val="both"/>
        <w:rPr>
          <w:rFonts w:ascii="Times New Roman" w:hAnsi="Times New Roman" w:eastAsia="Franklin Gothic" w:cs="Times New Roman"/>
          <w:color w:val="FF0000"/>
        </w:rPr>
      </w:pPr>
      <w:r>
        <w:rPr>
          <w:rFonts w:eastAsia="Franklin Gothic" w:cs="Times New Roman" w:ascii="Times New Roman" w:hAnsi="Times New Roman"/>
          <w:color w:val="auto"/>
        </w:rPr>
        <w:t xml:space="preserve">A convocatoria rexerase polas Bases reguladoras da convocatoria pública de subvencións destinadas a entidades e asociacións deportivas de ámbito municipal de Cedeira para o ano 2021, aprobadas </w:t>
      </w:r>
      <w:r>
        <w:rPr>
          <w:rStyle w:val="EnlacedeInternet"/>
          <w:rFonts w:eastAsia="Franklin Gothic" w:cs="Times New Roman" w:ascii="Times New Roman" w:hAnsi="Times New Roman"/>
          <w:color w:val="auto"/>
          <w:u w:val="none"/>
        </w:rPr>
        <w:t xml:space="preserve">por </w:t>
      </w:r>
      <w:r>
        <w:rPr>
          <w:rStyle w:val="EnlacedeInternet"/>
          <w:rFonts w:eastAsia="Franklin Gothic" w:cs="Times New Roman" w:ascii="Times New Roman" w:hAnsi="Times New Roman"/>
          <w:b w:val="false"/>
          <w:bCs w:val="false"/>
          <w:color w:val="auto"/>
          <w:u w:val="none"/>
        </w:rPr>
        <w:t xml:space="preserve">resolución </w:t>
      </w:r>
      <w:r>
        <w:rPr>
          <w:rStyle w:val="EnlacedeInternet"/>
          <w:rFonts w:eastAsia="Verdana" w:cs="Verdana" w:ascii="Times New Roman" w:hAnsi="Times New Roman"/>
          <w:b w:val="false"/>
          <w:bCs w:val="false"/>
          <w:color w:val="auto"/>
          <w:sz w:val="22"/>
          <w:szCs w:val="22"/>
          <w:u w:val="none"/>
          <w:lang w:bidi="es-ES"/>
        </w:rPr>
        <w:t xml:space="preserve">de Alcaldía número 153/2023, de 30 de marzo de 2023, </w:t>
      </w:r>
      <w:r>
        <w:rPr>
          <w:rStyle w:val="EnlacedeInternet"/>
          <w:rFonts w:eastAsia="Franklin Gothic" w:cs="Times New Roman" w:ascii="Times New Roman" w:hAnsi="Times New Roman"/>
          <w:color w:val="auto"/>
          <w:u w:val="none"/>
        </w:rPr>
        <w:t xml:space="preserve">publicadas </w:t>
      </w:r>
      <w:r>
        <w:rPr>
          <w:rStyle w:val="EnlacedeInternet"/>
          <w:rFonts w:eastAsia="Franklin Gothic" w:cs="Times New Roman" w:ascii="Times New Roman" w:hAnsi="Times New Roman"/>
          <w:color w:val="auto"/>
          <w:u w:val="none"/>
        </w:rPr>
        <w:t>no</w:t>
      </w:r>
      <w:r>
        <w:rPr>
          <w:rStyle w:val="EnlacedeInternet"/>
          <w:rFonts w:eastAsia="Franklin Gothic" w:cs="Times New Roman" w:ascii="Times New Roman" w:hAnsi="Times New Roman"/>
          <w:color w:val="auto"/>
          <w:u w:val="none"/>
        </w:rPr>
        <w:t xml:space="preserve"> Boletín Oficial da Provincia da Coruña (</w:t>
      </w:r>
      <w:r>
        <w:rPr>
          <w:rStyle w:val="EnlacedeInternet"/>
          <w:rFonts w:eastAsia="Franklin Gothic" w:cs="Times New Roman" w:ascii="Times New Roman" w:hAnsi="Times New Roman"/>
          <w:color w:val="000000"/>
          <w:u w:val="none"/>
        </w:rPr>
        <w:t>BOP n.º 66, d</w:t>
      </w:r>
      <w:r>
        <w:rPr>
          <w:rStyle w:val="EnlacedeInternet"/>
          <w:rFonts w:eastAsia="Franklin Gothic" w:cs="Times New Roman" w:ascii="Times New Roman" w:hAnsi="Times New Roman"/>
          <w:color w:val="000000"/>
          <w:u w:val="none"/>
        </w:rPr>
        <w:t>o</w:t>
      </w:r>
      <w:r>
        <w:rPr>
          <w:rStyle w:val="EnlacedeInternet"/>
          <w:rFonts w:eastAsia="Franklin Gothic" w:cs="Times New Roman" w:ascii="Times New Roman" w:hAnsi="Times New Roman"/>
          <w:color w:val="000000"/>
          <w:u w:val="none"/>
        </w:rPr>
        <w:t xml:space="preserve"> 05 de abril de 2023): </w:t>
      </w:r>
      <w:r>
        <w:rPr>
          <w:rStyle w:val="EnlacedeInternet"/>
          <w:rFonts w:eastAsia="Franklin Gothic" w:cs="Times New Roman" w:ascii="Times New Roman" w:hAnsi="Times New Roman"/>
          <w:color w:val="000000"/>
        </w:rPr>
        <w:t>https://bop.dicoruna.es/bopportal/publicado/2023/04/05/2023_0000002393.pdf</w:t>
      </w:r>
    </w:p>
    <w:p>
      <w:pPr>
        <w:pStyle w:val="Normal"/>
        <w:spacing w:before="0" w:after="437"/>
        <w:ind w:left="340" w:hanging="0"/>
        <w:jc w:val="both"/>
        <w:rPr>
          <w:rFonts w:ascii="Times New Roman" w:hAnsi="Times New Roman" w:cs="Times New Roman"/>
          <w:color w:val="auto"/>
        </w:rPr>
      </w:pPr>
      <w:r>
        <w:rPr>
          <w:rFonts w:cs="Times New Roman" w:ascii="Times New Roman" w:hAnsi="Times New Roman"/>
          <w:color w:val="auto"/>
        </w:rPr>
      </w:r>
    </w:p>
    <w:p>
      <w:pPr>
        <w:pStyle w:val="Normal"/>
        <w:spacing w:before="0" w:after="0"/>
        <w:ind w:left="-1440" w:right="10466" w:hanging="0"/>
        <w:jc w:val="both"/>
        <w:rPr>
          <w:rFonts w:ascii="Times New Roman" w:hAnsi="Times New Roman" w:cs="Times New Roman"/>
          <w:color w:val="auto"/>
        </w:rPr>
      </w:pPr>
      <w:r>
        <w:rPr>
          <w:rFonts w:cs="Times New Roman" w:ascii="Times New Roman" w:hAnsi="Times New Roman"/>
          <w:color w:val="auto"/>
        </w:rPr>
      </w:r>
    </w:p>
    <w:p>
      <w:pPr>
        <w:pStyle w:val="Normal"/>
        <w:spacing w:before="0" w:after="160"/>
        <w:jc w:val="both"/>
        <w:rPr>
          <w:rFonts w:ascii="Times New Roman" w:hAnsi="Times New Roman" w:cs="Times New Roman"/>
          <w:color w:val="auto"/>
        </w:rPr>
      </w:pPr>
      <w:r>
        <w:rPr/>
      </w:r>
    </w:p>
    <w:sectPr>
      <w:type w:val="nextPage"/>
      <w:pgSz w:w="11906" w:h="16838"/>
      <w:pgMar w:left="1701" w:right="1701" w:gutter="0" w:header="0" w:top="1417" w:footer="0" w:bottom="1417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Times New Roman">
    <w:charset w:val="01"/>
    <w:family w:val="roman"/>
    <w:pitch w:val="variable"/>
  </w:font>
  <w:font w:name="DejaVu Sans">
    <w:charset w:val="01"/>
    <w:family w:val="swiss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-"/>
      <w:lvlJc w:val="left"/>
      <w:pPr>
        <w:tabs>
          <w:tab w:val="num" w:pos="0"/>
        </w:tabs>
        <w:ind w:left="1440" w:hanging="360"/>
      </w:pPr>
      <w:rPr>
        <w:rFonts w:ascii="DejaVu Sans" w:hAnsi="DejaVu Sans" w:cs="DejaVu Sans" w:hint="default"/>
        <w:dstrike w:val="false"/>
        <w:strike w:val="false"/>
        <w:vertAlign w:val="baseline"/>
        <w:position w:val="0"/>
        <w:sz w:val="22"/>
        <w:sz w:val="22"/>
        <w:i w:val="false"/>
        <w:u w:val="none" w:color="000000"/>
        <w:b w:val="false"/>
        <w:shd w:fill="auto" w:val="clear"/>
        <w:szCs w:val="22"/>
        <w:color w:val="000000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8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60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4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6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200" w:hanging="360"/>
      </w:pPr>
      <w:rPr>
        <w:rFonts w:ascii="Wingdings" w:hAnsi="Wingdings" w:cs="Wingdings" w:hint="default"/>
      </w:rPr>
    </w:lvl>
  </w:abstractNum>
  <w:abstractNum w:abstractNumId="2"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2160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lvl w:ilvl="0">
      <w:start w:val="1"/>
      <w:numFmt w:val="bullet"/>
      <w:lvlText w:val="-"/>
      <w:lvlJc w:val="left"/>
      <w:pPr>
        <w:tabs>
          <w:tab w:val="num" w:pos="0"/>
        </w:tabs>
        <w:ind w:left="1440" w:hanging="360"/>
      </w:pPr>
      <w:rPr>
        <w:rFonts w:ascii="DejaVu Sans" w:hAnsi="DejaVu Sans" w:cs="DejaVu Sans" w:hint="default"/>
        <w:dstrike w:val="false"/>
        <w:strike w:val="false"/>
        <w:vertAlign w:val="baseline"/>
        <w:position w:val="0"/>
        <w:sz w:val="22"/>
        <w:sz w:val="22"/>
        <w:i w:val="false"/>
        <w:u w:val="none" w:color="000000"/>
        <w:b w:val="false"/>
        <w:shd w:fill="auto" w:val="clear"/>
        <w:szCs w:val="22"/>
        <w:color w:val="000000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8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60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4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6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200" w:hanging="360"/>
      </w:pPr>
      <w:rPr>
        <w:rFonts w:ascii="Wingdings" w:hAnsi="Wingdings" w:cs="Wingdings" w:hint="default"/>
      </w:rPr>
    </w:lvl>
  </w:abstractNum>
  <w:abstractNum w:abstractNumId="4"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5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hyphenationZone w:val="425"/>
  <w:themeFontLang w:val="es-E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s-E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3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7a657f"/>
    <w:pPr>
      <w:widowControl/>
      <w:bidi w:val="0"/>
      <w:spacing w:lineRule="auto" w:line="254" w:before="0" w:after="160"/>
      <w:jc w:val="left"/>
    </w:pPr>
    <w:rPr>
      <w:rFonts w:ascii="Calibri" w:hAnsi="Calibri" w:eastAsia="Calibri" w:cs="Calibri"/>
      <w:color w:val="000000"/>
      <w:kern w:val="0"/>
      <w:sz w:val="22"/>
      <w:szCs w:val="22"/>
      <w:lang w:val="gl-ES" w:eastAsia="gl-E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EnlacedeInternet">
    <w:name w:val="Enlace de Internet"/>
    <w:basedOn w:val="DefaultParagraphFont"/>
    <w:uiPriority w:val="99"/>
    <w:unhideWhenUsed/>
    <w:rsid w:val="007a657f"/>
    <w:rPr>
      <w:color w:val="0563C1" w:themeColor="hyperlink"/>
      <w:u w:val="single"/>
    </w:rPr>
  </w:style>
  <w:style w:type="character" w:styleId="UnresolvedMention" w:customStyle="1">
    <w:name w:val="Unresolved Mention"/>
    <w:basedOn w:val="DefaultParagraphFont"/>
    <w:uiPriority w:val="99"/>
    <w:semiHidden/>
    <w:unhideWhenUsed/>
    <w:qFormat/>
    <w:rsid w:val="007a657f"/>
    <w:rPr>
      <w:color w:val="605E5C"/>
      <w:shd w:fill="E1DFDD" w:val="clear"/>
    </w:rPr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uerpode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uerpodetexto"/>
    <w:pPr/>
    <w:rPr>
      <w:rFonts w:cs="Lucida Sans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  <w:lang w:val="zxx" w:eastAsia="zxx" w:bidi="zxx"/>
    </w:rPr>
  </w:style>
  <w:style w:type="paragraph" w:styleId="ListParagraph">
    <w:name w:val="List Paragraph"/>
    <w:basedOn w:val="Normal"/>
    <w:uiPriority w:val="34"/>
    <w:qFormat/>
    <w:rsid w:val="000f6dd1"/>
    <w:pPr>
      <w:spacing w:before="0" w:after="160"/>
      <w:ind w:left="720" w:hanging="0"/>
      <w:contextualSpacing/>
    </w:pPr>
    <w:rPr/>
  </w:style>
  <w:style w:type="paragraph" w:styleId="Standard">
    <w:name w:val="Standard"/>
    <w:qFormat/>
    <w:pPr>
      <w:widowControl w:val="false"/>
      <w:suppressAutoHyphens w:val="true"/>
      <w:bidi w:val="0"/>
      <w:spacing w:lineRule="auto" w:line="259" w:before="0" w:after="160"/>
      <w:jc w:val="left"/>
    </w:pPr>
    <w:rPr>
      <w:rFonts w:ascii="Times New Roman" w:hAnsi="Times New Roman" w:eastAsia="Lucida Sans Unicode" w:cs="Times New Roman"/>
      <w:color w:val="auto"/>
      <w:kern w:val="2"/>
      <w:sz w:val="22"/>
      <w:szCs w:val="24"/>
      <w:lang w:val="gl-ES" w:eastAsia="zh-CN" w:bidi="ar-SA"/>
    </w:rPr>
  </w:style>
  <w:style w:type="paragraph" w:styleId="Prrafodelista">
    <w:name w:val="Párrafo de lista"/>
    <w:basedOn w:val="Normal"/>
    <w:qFormat/>
    <w:pPr>
      <w:ind w:left="708" w:right="0" w:hanging="0"/>
    </w:pPr>
    <w:rPr>
      <w:szCs w:val="21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a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">
    <w:name w:val="TableGrid"/>
    <w:rsid w:val="007a657f"/>
    <w:pPr>
      <w:spacing w:after="0" w:line="240" w:lineRule="auto"/>
    </w:pPr>
    <w:rPr>
      <w:lang w:val="gl-ES" w:eastAsia="gl-E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Application>LibreOffice/7.2.5.2$Windows_X86_64 LibreOffice_project/499f9727c189e6ef3471021d6132d4c694f357e5</Application>
  <AppVersion>15.0000</AppVersion>
  <Pages>3</Pages>
  <Words>851</Words>
  <Characters>5040</Characters>
  <CharactersWithSpaces>5830</CharactersWithSpaces>
  <Paragraphs>49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2021-05-04T11:59:00Z</dcterms:created>
  <dc:creator>Carmen Menéndez</dc:creator>
  <dc:description/>
  <dc:language>es-ES</dc:language>
  <cp:lastModifiedBy/>
  <dcterms:modified xsi:type="dcterms:W3CDTF">2023-04-11T12:06:30Z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