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420"/>
        <w:ind w:right="9" w:hanging="0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Extracto de la resolución</w:t>
      </w:r>
      <w:r>
        <w:rPr>
          <w:rFonts w:eastAsia="Franklin Gothic" w:cs="Times New Roman" w:ascii="Times New Roman" w:hAnsi="Times New Roman"/>
          <w:b/>
          <w:bCs/>
          <w:color w:val="auto"/>
        </w:rPr>
        <w:t xml:space="preserve"> </w:t>
      </w:r>
      <w:r>
        <w:rPr>
          <w:rFonts w:eastAsia="Verdana" w:cs="Verdana" w:ascii="Times New Roman" w:hAnsi="Times New Roman"/>
          <w:b/>
          <w:bCs/>
          <w:color w:val="auto"/>
          <w:sz w:val="22"/>
          <w:szCs w:val="22"/>
          <w:lang w:bidi="es-ES"/>
        </w:rPr>
        <w:t xml:space="preserve">de Alcaldía número 153/2023, de 30 de marzo de 2023, </w:t>
      </w:r>
      <w:r>
        <w:rPr>
          <w:rFonts w:eastAsia="Franklin Gothic" w:cs="Times New Roman" w:ascii="Times New Roman" w:hAnsi="Times New Roman"/>
          <w:b/>
          <w:bCs/>
          <w:color w:val="auto"/>
        </w:rPr>
        <w:t>por</w:t>
      </w:r>
      <w:r>
        <w:rPr>
          <w:rFonts w:eastAsia="Franklin Gothic" w:cs="Times New Roman" w:ascii="Times New Roman" w:hAnsi="Times New Roman"/>
          <w:b/>
          <w:color w:val="auto"/>
        </w:rPr>
        <w:t xml:space="preserve"> la que se convocan las subvenciones </w:t>
      </w:r>
      <w:r>
        <w:rPr>
          <w:rFonts w:eastAsia="Times New Roman" w:cs="Times New Roman" w:ascii="Times New Roman" w:hAnsi="Times New Roman"/>
          <w:b/>
        </w:rPr>
        <w:t>destinadas a entidades y asociaciones deportivas de ámbito municipal de Cedeira para el año 202</w:t>
      </w:r>
      <w:r>
        <w:rPr>
          <w:rFonts w:eastAsia="Times New Roman" w:cs="Times New Roman" w:ascii="Times New Roman" w:hAnsi="Times New Roman"/>
          <w:b/>
        </w:rPr>
        <w:t>3</w:t>
      </w:r>
      <w:r>
        <w:rPr>
          <w:rFonts w:eastAsia="Times New Roman" w:cs="Times New Roman" w:ascii="Times New Roman" w:hAnsi="Times New Roman"/>
          <w:b/>
        </w:rPr>
        <w:t>.</w:t>
      </w:r>
    </w:p>
    <w:p>
      <w:pPr>
        <w:pStyle w:val="Normal"/>
        <w:tabs>
          <w:tab w:val="clear" w:pos="708"/>
          <w:tab w:val="left" w:pos="567" w:leader="none"/>
        </w:tabs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1.–OBJETO.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El objeto de esta convocatoria es la promoción e impulso de actividades deportivas con la finalidad de fomentar un uso activo y creativo del ocio.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</w:rPr>
        <w:t>Estas bases tendrán como finalidad apoyar y mejorar la práctica deportiva de los clubs y entidades deportivas, subvencionando los programas de actividades deportivas a desarrollar  y las inversiones realizadas, referidas a proyectos de iniciación deportiva, fomento de la práctica y competición deportiva; pudiendo consistir en programas, eventos o competiciones deportivas concretas o en la actividad ordinaria anual del club o entidad deportiva solicitante.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El Ayuntamiento podrá excluír de la concesión, cualquier actividad que considere que no sirve a las finalidades señaladas, así como las que promuevan, faciliten o permitan la discriminación de cualquier tipo (étnica, social, sexual, ideológica, lingüística, etc.) o sean incompatibles con los valores de igualdad, libre desarrollo de la personalidad, laicidad y protección al medio ambiente.</w:t>
      </w:r>
    </w:p>
    <w:p>
      <w:pPr>
        <w:pStyle w:val="Normal"/>
        <w:spacing w:lineRule="auto" w:line="276" w:before="0" w:after="85"/>
        <w:ind w:right="9" w:firstLine="340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2.–CRÉDITOS PRESUPUESTARIOS.</w:t>
      </w:r>
    </w:p>
    <w:p>
      <w:pPr>
        <w:pStyle w:val="Normal"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>Las subvenciones se harán efectivas con cargo a las siguientes aplicaciones del presupuesto municipal del Ayuntamiento de Cedeira para el ejercicio 202</w:t>
      </w:r>
      <w:r>
        <w:rPr>
          <w:rFonts w:eastAsia="Times New Roman" w:cs="Times New Roman" w:ascii="Times New Roman" w:hAnsi="Times New Roman"/>
          <w:shd w:fill="FFFFFF" w:val="clear"/>
        </w:rPr>
        <w:t>3</w:t>
      </w:r>
      <w:r>
        <w:rPr>
          <w:rFonts w:eastAsia="Times New Roman" w:cs="Times New Roman" w:ascii="Times New Roman" w:hAnsi="Times New Roman"/>
          <w:shd w:fill="FFFFFF" w:val="clear"/>
        </w:rPr>
        <w:t>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 xml:space="preserve">341.489.00 por importe de </w:t>
      </w:r>
      <w:r>
        <w:rPr>
          <w:rFonts w:eastAsia="Times New Roman" w:cs="Times New Roman" w:ascii="Times New Roman" w:hAnsi="Times New Roman"/>
          <w:shd w:fill="FFFFFF" w:val="clear"/>
        </w:rPr>
        <w:t>45</w:t>
      </w:r>
      <w:r>
        <w:rPr>
          <w:rFonts w:eastAsia="Times New Roman" w:cs="Times New Roman" w:ascii="Times New Roman" w:hAnsi="Times New Roman"/>
          <w:shd w:fill="FFFFFF" w:val="clear"/>
        </w:rPr>
        <w:t xml:space="preserve">.000,00 euros para actividades deportivas. 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 xml:space="preserve">341.789.00 por importe de </w:t>
      </w:r>
      <w:r>
        <w:rPr>
          <w:rFonts w:eastAsia="Times New Roman" w:cs="Times New Roman" w:ascii="Times New Roman" w:hAnsi="Times New Roman"/>
          <w:shd w:fill="FFFFFF" w:val="clear"/>
        </w:rPr>
        <w:t>15</w:t>
      </w:r>
      <w:r>
        <w:rPr>
          <w:rFonts w:eastAsia="Times New Roman" w:cs="Times New Roman" w:ascii="Times New Roman" w:hAnsi="Times New Roman"/>
          <w:shd w:fill="FFFFFF" w:val="clear"/>
        </w:rPr>
        <w:t xml:space="preserve">.000,00 euros para inversiones que realicen las entidades. 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b/>
          <w:b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3.–FINALIDAD.</w:t>
      </w:r>
      <w:bookmarkStart w:id="0" w:name="_Hlk70697427"/>
      <w:bookmarkEnd w:id="0"/>
    </w:p>
    <w:p>
      <w:pPr>
        <w:pStyle w:val="ListParagraph"/>
        <w:ind w:left="0" w:hanging="0"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</w:rPr>
        <w:t>1. Se c</w:t>
      </w:r>
      <w:r>
        <w:rPr>
          <w:rFonts w:eastAsia="Times New Roman" w:cs="Times New Roman" w:ascii="Times New Roman" w:hAnsi="Times New Roman"/>
          <w:bCs/>
          <w:iCs/>
        </w:rPr>
        <w:t xml:space="preserve">onsidran gastos subvencionables, en caso de solicitar la subvención para la </w:t>
      </w:r>
      <w:r>
        <w:rPr>
          <w:rFonts w:eastAsia="Times New Roman" w:cs="Times New Roman" w:ascii="Times New Roman" w:hAnsi="Times New Roman"/>
          <w:b/>
          <w:bCs/>
          <w:iCs/>
          <w:u w:val="single"/>
        </w:rPr>
        <w:t>realización de actividades</w:t>
      </w:r>
      <w:r>
        <w:rPr>
          <w:rFonts w:eastAsia="Times New Roman" w:cs="Times New Roman" w:ascii="Times New Roman" w:hAnsi="Times New Roman"/>
          <w:bCs/>
          <w:iCs/>
        </w:rPr>
        <w:t xml:space="preserve">, los siguientes: </w:t>
      </w:r>
    </w:p>
    <w:p>
      <w:pPr>
        <w:pStyle w:val="Normal"/>
        <w:numPr>
          <w:ilvl w:val="0"/>
          <w:numId w:val="4"/>
        </w:numPr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  <w:iCs/>
        </w:rPr>
        <w:t>Compra de trofeos</w:t>
      </w:r>
    </w:p>
    <w:p>
      <w:pPr>
        <w:pStyle w:val="Normal"/>
        <w:numPr>
          <w:ilvl w:val="0"/>
          <w:numId w:val="4"/>
        </w:numPr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  <w:iCs/>
        </w:rPr>
        <w:t xml:space="preserve">Compra de matenerial no inventariable o fungible con un importe unitario inferior a 100,00 € (balones, redes, camisetas, etc.) </w:t>
      </w:r>
      <w:r>
        <w:rPr>
          <w:rFonts w:eastAsia="Times New Roman" w:cs="Times New Roman" w:ascii="Times New Roman" w:hAnsi="Times New Roman"/>
          <w:bCs/>
          <w:iCs/>
          <w:szCs w:val="22"/>
        </w:rPr>
        <w:t xml:space="preserve">Para que sexan subvencionables a vestimenta da práctica deportiva deberá levar impreso os logos do concello e do Xeoparque. 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de aluguer de instalacións deportivas.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federativos, mutuas, arbitraxes das competicións, etc. Os gastos derivados da participación habitual en competicións oficiais federadas (arbitraxes, taxas federativas, etc.) que non foran aboados polos deportistas.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Nóminas do persoal técnico e seguridade social, cos requisitos legais.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do mantemento do club. Os gastos de mantemento e funcionamento da entidade solicitante (telefonía, luz, auga, material de oficina funxible, administración, seguros e outros directamente relacionados coa actividade do club).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/>
          <w:bCs/>
          <w:iCs/>
          <w:szCs w:val="22"/>
        </w:rPr>
        <w:t>Carteis, impresos, pancartas, publicidade de medios de comunicación para a divulgación das actividades e actos da entidade.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Seguros para a práctica e organización deportiva: Responsabilidade civil, accidente deportivo, asistencias sanitarias federativas.</w:t>
      </w:r>
    </w:p>
    <w:p>
      <w:pPr>
        <w:pStyle w:val="Standard"/>
        <w:widowControl/>
        <w:numPr>
          <w:ilvl w:val="0"/>
          <w:numId w:val="0"/>
        </w:numPr>
        <w:tabs>
          <w:tab w:val="clear" w:pos="708"/>
          <w:tab w:val="left" w:pos="720" w:leader="none"/>
        </w:tabs>
        <w:suppressAutoHyphens w:val="false"/>
        <w:spacing w:lineRule="auto" w:line="276" w:before="0" w:after="0"/>
        <w:ind w:left="1080" w:hanging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'Times New Roman', serif" w:cs="Times New Roman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2. Se considerarán gastos subvencionables los siguientes, en el caso de solicitar la subvención para la </w:t>
      </w:r>
      <w:r>
        <w:rPr>
          <w:rFonts w:cs="Times New Roman" w:ascii="Times New Roman" w:hAnsi="Times New Roman"/>
          <w:b/>
          <w:iCs/>
          <w:u w:val="single"/>
        </w:rPr>
        <w:t>realización de inversiones:</w:t>
      </w:r>
    </w:p>
    <w:p>
      <w:pPr>
        <w:pStyle w:val="Normal"/>
        <w:ind w:left="709" w:hanging="0"/>
        <w:jc w:val="both"/>
        <w:rPr>
          <w:rFonts w:ascii="Times New Roman" w:hAnsi="Times New Roman" w:eastAsia="'Times New Roman', serif" w:cs="Times New Roman"/>
        </w:rPr>
      </w:pPr>
      <w:r>
        <w:rPr>
          <w:rFonts w:eastAsia="Times New Roman" w:cs="Times New Roman" w:ascii="Times New Roman" w:hAnsi="Times New Roman"/>
        </w:rPr>
        <w:t xml:space="preserve">a) </w:t>
      </w:r>
      <w:bookmarkStart w:id="1" w:name="_Hlk69293528"/>
      <w:r>
        <w:rPr>
          <w:rFonts w:eastAsia="Times New Roman" w:cs="Times New Roman" w:ascii="Times New Roman" w:hAnsi="Times New Roman"/>
        </w:rPr>
        <w:t>Compra de matenerial inventariable relacionado directamente con la actividad deportiva con un importe unitario igual o superior a 100 €.</w:t>
      </w:r>
      <w:bookmarkEnd w:id="1"/>
    </w:p>
    <w:p>
      <w:pPr>
        <w:pStyle w:val="Normal"/>
        <w:jc w:val="both"/>
        <w:rPr>
          <w:rFonts w:ascii="Times New Roman" w:hAnsi="Times New Roman" w:eastAsia="'Times New Roman', serif" w:cs="Times New Roman"/>
          <w:bCs/>
        </w:rPr>
      </w:pPr>
      <w:r>
        <w:rPr>
          <w:rFonts w:eastAsia="'Times New Roman', serif" w:cs="Times New Roman" w:ascii="Times New Roman" w:hAnsi="Times New Roman"/>
          <w:bCs/>
        </w:rPr>
      </w:r>
    </w:p>
    <w:p>
      <w:pPr>
        <w:pStyle w:val="Normal"/>
        <w:jc w:val="both"/>
        <w:rPr>
          <w:rFonts w:ascii="Times New Roman" w:hAnsi="Times New Roman" w:eastAsia="'Times New Roman', serif" w:cs="Times New Roman"/>
          <w:bCs/>
        </w:rPr>
      </w:pPr>
      <w:r>
        <w:rPr>
          <w:rFonts w:eastAsia="'Times New Roman', serif" w:cs="Times New Roman" w:ascii="Times New Roman" w:hAnsi="Times New Roman"/>
          <w:bCs/>
        </w:rPr>
        <w:t>3. En ningún caso serán subvencionables: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a) Intereses deudores de cuentas bancarias.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b) Sanciones administrativas y penales, así como intereses y recargas que se puedan derivar de las mismas.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c) Gastos de procedimientos judiciales.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d) Gastos derivados de celebraciones gastronómicas particulares de las entidades o asociaciones (desayunos, comidas, cenas, pinchos, etcétera).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 xml:space="preserve">e) Gastos por la adquisición de bebidas alcohólicas de cualquier tipo, así como tabaco u otros productos considerados lesivos para la salud.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f) Gastos que contradigan lo dispuesto en el artículo 68 del RD 887/2006 y en el artículo 29.7-d de la Ley general de subvenciones.</w:t>
      </w:r>
    </w:p>
    <w:p>
      <w:pPr>
        <w:pStyle w:val="Normal"/>
        <w:spacing w:lineRule="auto" w:line="240" w:before="0" w:after="102"/>
        <w:ind w:left="340" w:hanging="0"/>
        <w:jc w:val="both"/>
        <w:rPr>
          <w:rFonts w:ascii="Times New Roman" w:hAnsi="Times New Roman" w:eastAsia="Franklin Gothic" w:cs="Times New Roman"/>
          <w:b/>
          <w:b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4.–MODALIDAD DE CONCESIÓN.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Régimen de concurrencia competitiva.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5.–REQUISITOS PARA SOLICITAR LAS SUBVENCIONES.</w:t>
      </w:r>
    </w:p>
    <w:p>
      <w:pPr>
        <w:pStyle w:val="Normal"/>
        <w:spacing w:before="0" w:after="437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Times New Roman" w:cs="Times New Roman" w:ascii="Times New Roman" w:hAnsi="Times New Roman"/>
        </w:rPr>
        <w:t>Podrán solicitar esta subvención todos los clubs y asociaciones deportivas de Cedeira que reúnan, en el momento de presentar la solicitud de subvención</w:t>
      </w:r>
      <w:r>
        <w:rPr>
          <w:rFonts w:eastAsia="Franklin Gothic" w:cs="Times New Roman" w:ascii="Times New Roman" w:hAnsi="Times New Roman"/>
          <w:color w:val="auto"/>
        </w:rPr>
        <w:t xml:space="preserve"> los requisitos señalados en la base 3 de las bases reguladoras.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6.–ÓRGANOS COMPETENTES PARA LA INSTRUCCIÓN Y RESOLUCIÓN DEL PROCEDIMIENTO.</w:t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Se nombrará una Comisión de Valoración que impulsará de oficio la realización de cuantas actuaciones sean necesarias para la determinación, conocimiento y comprobación de los datos en virtude de los que se formulará la propuesta de resolución. </w:t>
      </w:r>
    </w:p>
    <w:p>
      <w:pPr>
        <w:pStyle w:val="ListParagraph"/>
        <w:tabs>
          <w:tab w:val="clear" w:pos="708"/>
          <w:tab w:val="left" w:pos="7020" w:leader="none"/>
        </w:tabs>
        <w:ind w:left="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La Comisión de valoración estará compuesta por: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Presidencia: la persona titular de la Concejalía de Deportes o persona en quien delegue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>Vocales:</w:t>
      </w:r>
    </w:p>
    <w:p>
      <w:pPr>
        <w:pStyle w:val="Prrafodelista"/>
        <w:widowControl w:val="false"/>
        <w:numPr>
          <w:ilvl w:val="2"/>
          <w:numId w:val="2"/>
        </w:numPr>
        <w:spacing w:before="0" w:after="0"/>
        <w:contextualSpacing/>
        <w:jc w:val="both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el</w:t>
      </w:r>
      <w:r>
        <w:rPr>
          <w:rFonts w:ascii="Times New Roman" w:hAnsi="Times New Roman"/>
          <w:bCs/>
          <w:iCs/>
          <w:sz w:val="22"/>
          <w:szCs w:val="22"/>
        </w:rPr>
        <w:t xml:space="preserve"> titular d</w:t>
      </w:r>
      <w:r>
        <w:rPr>
          <w:rFonts w:ascii="Times New Roman" w:hAnsi="Times New Roman"/>
          <w:bCs/>
          <w:iCs/>
          <w:sz w:val="22"/>
          <w:szCs w:val="22"/>
        </w:rPr>
        <w:t>e l</w:t>
      </w:r>
      <w:r>
        <w:rPr>
          <w:rFonts w:ascii="Times New Roman" w:hAnsi="Times New Roman"/>
          <w:bCs/>
          <w:iCs/>
          <w:sz w:val="22"/>
          <w:szCs w:val="22"/>
        </w:rPr>
        <w:t xml:space="preserve">a Concellería de </w:t>
      </w:r>
      <w:r>
        <w:rPr>
          <w:rFonts w:ascii="Times New Roman" w:hAnsi="Times New Roman"/>
          <w:bCs/>
          <w:iCs/>
          <w:sz w:val="22"/>
          <w:szCs w:val="22"/>
        </w:rPr>
        <w:t>Hacienda</w:t>
      </w:r>
      <w:r>
        <w:rPr>
          <w:rFonts w:ascii="Times New Roman" w:hAnsi="Times New Roman"/>
          <w:bCs/>
          <w:iCs/>
          <w:sz w:val="22"/>
          <w:szCs w:val="22"/>
        </w:rPr>
        <w:t xml:space="preserve"> o perso</w:t>
      </w:r>
      <w:r>
        <w:rPr>
          <w:rFonts w:ascii="Times New Roman" w:hAnsi="Times New Roman"/>
          <w:bCs/>
          <w:iCs/>
          <w:sz w:val="22"/>
          <w:szCs w:val="22"/>
        </w:rPr>
        <w:t>n</w:t>
      </w:r>
      <w:r>
        <w:rPr>
          <w:rFonts w:ascii="Times New Roman" w:hAnsi="Times New Roman"/>
          <w:bCs/>
          <w:iCs/>
          <w:sz w:val="22"/>
          <w:szCs w:val="22"/>
        </w:rPr>
        <w:t>a en qu</w:t>
      </w:r>
      <w:r>
        <w:rPr>
          <w:rFonts w:ascii="Times New Roman" w:hAnsi="Times New Roman"/>
          <w:bCs/>
          <w:iCs/>
          <w:sz w:val="22"/>
          <w:szCs w:val="22"/>
        </w:rPr>
        <w:t>i</w:t>
      </w:r>
      <w:r>
        <w:rPr>
          <w:rFonts w:ascii="Times New Roman" w:hAnsi="Times New Roman"/>
          <w:bCs/>
          <w:iCs/>
          <w:sz w:val="22"/>
          <w:szCs w:val="22"/>
        </w:rPr>
        <w:t xml:space="preserve">en delegue </w:t>
      </w:r>
    </w:p>
    <w:p>
      <w:pPr>
        <w:pStyle w:val="Prrafodelista"/>
        <w:widowControl w:val="false"/>
        <w:numPr>
          <w:ilvl w:val="2"/>
          <w:numId w:val="2"/>
        </w:numPr>
        <w:spacing w:before="0" w:after="0"/>
        <w:contextualSpacing/>
        <w:jc w:val="both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l</w:t>
      </w:r>
      <w:r>
        <w:rPr>
          <w:rFonts w:ascii="Times New Roman" w:hAnsi="Times New Roman"/>
          <w:bCs/>
          <w:iCs/>
          <w:sz w:val="22"/>
          <w:szCs w:val="22"/>
        </w:rPr>
        <w:t xml:space="preserve">a AEDL </w:t>
      </w:r>
      <w:r>
        <w:rPr>
          <w:rFonts w:ascii="Times New Roman" w:hAnsi="Times New Roman"/>
          <w:bCs/>
          <w:iCs/>
          <w:sz w:val="22"/>
          <w:szCs w:val="22"/>
        </w:rPr>
        <w:t>del ayuntamiento</w:t>
      </w:r>
      <w:r>
        <w:rPr>
          <w:rFonts w:ascii="Times New Roman" w:hAnsi="Times New Roman"/>
          <w:bCs/>
          <w:iCs/>
          <w:sz w:val="22"/>
          <w:szCs w:val="22"/>
        </w:rPr>
        <w:t xml:space="preserve"> o perso</w:t>
      </w:r>
      <w:r>
        <w:rPr>
          <w:rFonts w:ascii="Times New Roman" w:hAnsi="Times New Roman"/>
          <w:bCs/>
          <w:iCs/>
          <w:sz w:val="22"/>
          <w:szCs w:val="22"/>
        </w:rPr>
        <w:t>n</w:t>
      </w:r>
      <w:r>
        <w:rPr>
          <w:rFonts w:ascii="Times New Roman" w:hAnsi="Times New Roman"/>
          <w:bCs/>
          <w:iCs/>
          <w:sz w:val="22"/>
          <w:szCs w:val="22"/>
        </w:rPr>
        <w:t>a en qu</w:t>
      </w:r>
      <w:r>
        <w:rPr>
          <w:rFonts w:ascii="Times New Roman" w:hAnsi="Times New Roman"/>
          <w:bCs/>
          <w:iCs/>
          <w:sz w:val="22"/>
          <w:szCs w:val="22"/>
        </w:rPr>
        <w:t>i</w:t>
      </w:r>
      <w:r>
        <w:rPr>
          <w:rFonts w:ascii="Times New Roman" w:hAnsi="Times New Roman"/>
          <w:bCs/>
          <w:iCs/>
          <w:sz w:val="22"/>
          <w:szCs w:val="22"/>
        </w:rPr>
        <w:t>en delegue</w:t>
      </w:r>
    </w:p>
    <w:p>
      <w:pPr>
        <w:pStyle w:val="Prrafodelista"/>
        <w:widowControl w:val="false"/>
        <w:numPr>
          <w:ilvl w:val="2"/>
          <w:numId w:val="2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  <w:sz w:val="22"/>
          <w:szCs w:val="22"/>
        </w:rPr>
        <w:t>l</w:t>
      </w:r>
      <w:r>
        <w:rPr>
          <w:rFonts w:cs="Times New Roman" w:ascii="Times New Roman" w:hAnsi="Times New Roman"/>
          <w:bCs/>
          <w:iCs/>
          <w:sz w:val="22"/>
          <w:szCs w:val="22"/>
        </w:rPr>
        <w:t>a perso</w:t>
      </w:r>
      <w:r>
        <w:rPr>
          <w:rFonts w:cs="Times New Roman" w:ascii="Times New Roman" w:hAnsi="Times New Roman"/>
          <w:bCs/>
          <w:iCs/>
          <w:sz w:val="22"/>
          <w:szCs w:val="22"/>
        </w:rPr>
        <w:t>n</w:t>
      </w:r>
      <w:r>
        <w:rPr>
          <w:rFonts w:cs="Times New Roman" w:ascii="Times New Roman" w:hAnsi="Times New Roman"/>
          <w:bCs/>
          <w:iCs/>
          <w:sz w:val="22"/>
          <w:szCs w:val="22"/>
        </w:rPr>
        <w:t>a titular d</w:t>
      </w:r>
      <w:r>
        <w:rPr>
          <w:rFonts w:cs="Times New Roman" w:ascii="Times New Roman" w:hAnsi="Times New Roman"/>
          <w:bCs/>
          <w:iCs/>
          <w:sz w:val="22"/>
          <w:szCs w:val="22"/>
        </w:rPr>
        <w:t>e l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a Intervención Municipal participará </w:t>
      </w:r>
      <w:r>
        <w:rPr>
          <w:rFonts w:cs="Times New Roman" w:ascii="Times New Roman" w:hAnsi="Times New Roman"/>
          <w:bCs/>
          <w:iCs/>
          <w:sz w:val="22"/>
          <w:szCs w:val="22"/>
        </w:rPr>
        <w:t>e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n </w:t>
      </w:r>
      <w:r>
        <w:rPr>
          <w:rFonts w:cs="Times New Roman" w:ascii="Times New Roman" w:hAnsi="Times New Roman"/>
          <w:bCs/>
          <w:iCs/>
          <w:sz w:val="22"/>
          <w:szCs w:val="22"/>
        </w:rPr>
        <w:t>l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a Comisión de valoración con voz </w:t>
      </w:r>
      <w:r>
        <w:rPr>
          <w:rFonts w:cs="Times New Roman" w:ascii="Times New Roman" w:hAnsi="Times New Roman"/>
          <w:bCs/>
          <w:iCs/>
          <w:sz w:val="22"/>
          <w:szCs w:val="22"/>
        </w:rPr>
        <w:t>y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 s</w:t>
      </w:r>
      <w:r>
        <w:rPr>
          <w:rFonts w:cs="Times New Roman" w:ascii="Times New Roman" w:hAnsi="Times New Roman"/>
          <w:bCs/>
          <w:iCs/>
          <w:sz w:val="22"/>
          <w:szCs w:val="22"/>
        </w:rPr>
        <w:t>i</w:t>
      </w:r>
      <w:r>
        <w:rPr>
          <w:rFonts w:cs="Times New Roman" w:ascii="Times New Roman" w:hAnsi="Times New Roman"/>
          <w:bCs/>
          <w:iCs/>
          <w:sz w:val="22"/>
          <w:szCs w:val="22"/>
        </w:rPr>
        <w:t>n voto</w:t>
      </w:r>
    </w:p>
    <w:p>
      <w:pPr>
        <w:pStyle w:val="ListParagraph"/>
        <w:ind w:left="216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Secretaría: una administrativa de los Servicios económicos del Ayuntamiento, en primer lugar, la de mayor antigüedad, y en caso de imposibilidad o incompatibilidad, la siguiente por el mismo orden.  </w:t>
      </w:r>
    </w:p>
    <w:p>
      <w:pPr>
        <w:pStyle w:val="Normal"/>
        <w:ind w:left="72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7.–PRAZO DE PRESENTACIÓN DE SOLICITUDES.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 xml:space="preserve">El plazo de presentación de solicitudes será de </w:t>
      </w:r>
      <w:r>
        <w:rPr>
          <w:rFonts w:eastAsia="Lucida Sans Unicode" w:cs="Times New Roman" w:ascii="Times New Roman" w:hAnsi="Times New Roman"/>
          <w:b/>
          <w:iCs/>
          <w:color w:val="auto"/>
          <w:kern w:val="2"/>
          <w:lang w:eastAsia="es-ES"/>
        </w:rPr>
        <w:t xml:space="preserve">15 días hábiles a contar desde el día siguiente de la publicación del extracto de la convocatoria en el Boletín Oficial de la Provincia, </w:t>
      </w: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  <w:t xml:space="preserve"> una vez publicada la convocatoria en la Base de Datos Nacional de Subvenciones.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Cs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8.–DOCUMENTACIÓN A PRESENTAR CON LAS SOLICITUDES.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La que figura en la base 5 de las bases reguladoras específicas que acompañan a esta convocatoria.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9.–CRITERIOS DE VALORACIÓN.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Los que figuran en la base 6 de las bases reguladoras específicas que acompañan a esta convocatoria.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b/>
          <w:b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10.–BASES REGULADORAS ESPECÍFICAS.</w:t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La convocatoria se regirá por las Bases reguladoras de la convocatoria pública de subvenciones destinadas a entidades y asociaciones deportivas de ámbito municipal de Cedeira para el año 202</w:t>
      </w:r>
      <w:r>
        <w:rPr>
          <w:rFonts w:eastAsia="Franklin Gothic" w:cs="Times New Roman" w:ascii="Times New Roman" w:hAnsi="Times New Roman"/>
          <w:color w:val="auto"/>
        </w:rPr>
        <w:t>3</w:t>
      </w:r>
      <w:r>
        <w:rPr>
          <w:rFonts w:eastAsia="Franklin Gothic" w:cs="Times New Roman" w:ascii="Times New Roman" w:hAnsi="Times New Roman"/>
          <w:color w:val="auto"/>
        </w:rPr>
        <w:t xml:space="preserve">, aprobadas </w:t>
      </w:r>
      <w:r>
        <w:rPr>
          <w:rFonts w:eastAsia="Franklin Gothic" w:cs="Times New Roman" w:ascii="Times New Roman" w:hAnsi="Times New Roman"/>
          <w:color w:val="auto"/>
        </w:rPr>
        <w:t xml:space="preserve">por </w:t>
      </w:r>
      <w:r>
        <w:rPr>
          <w:rFonts w:eastAsia="Franklin Gothic" w:cs="Times New Roman" w:ascii="Times New Roman" w:hAnsi="Times New Roman"/>
          <w:b w:val="false"/>
          <w:bCs w:val="false"/>
          <w:color w:val="auto"/>
        </w:rPr>
        <w:t>r</w:t>
      </w:r>
      <w:r>
        <w:rPr>
          <w:rFonts w:eastAsia="Franklin Gothic" w:cs="Times New Roman" w:ascii="Times New Roman" w:hAnsi="Times New Roman"/>
          <w:b w:val="false"/>
          <w:bCs w:val="false"/>
          <w:color w:val="auto"/>
        </w:rPr>
        <w:t xml:space="preserve">esolución </w:t>
      </w:r>
      <w:r>
        <w:rPr>
          <w:rFonts w:eastAsia="Verdana" w:cs="Verdana" w:ascii="Times New Roman" w:hAnsi="Times New Roman"/>
          <w:b w:val="false"/>
          <w:bCs w:val="false"/>
          <w:color w:val="auto"/>
          <w:sz w:val="22"/>
          <w:szCs w:val="22"/>
          <w:lang w:bidi="es-ES"/>
        </w:rPr>
        <w:t xml:space="preserve">de Alcaldía número 153/2023, de 30 de marzo de 2023, </w:t>
      </w:r>
      <w:r>
        <w:rPr>
          <w:rFonts w:eastAsia="Franklin Gothic" w:cs="Times New Roman" w:ascii="Times New Roman" w:hAnsi="Times New Roman"/>
          <w:color w:val="auto"/>
        </w:rPr>
        <w:t>publicadas en el Boletín Oficial de la Provincia da Coruña (</w:t>
      </w:r>
      <w:r>
        <w:rPr>
          <w:rFonts w:eastAsia="Franklin Gothic" w:cs="Times New Roman" w:ascii="Times New Roman" w:hAnsi="Times New Roman"/>
          <w:color w:val="000000"/>
        </w:rPr>
        <w:t xml:space="preserve">BOP n.º </w:t>
      </w:r>
      <w:r>
        <w:rPr>
          <w:rFonts w:eastAsia="Franklin Gothic" w:cs="Times New Roman" w:ascii="Times New Roman" w:hAnsi="Times New Roman"/>
          <w:color w:val="000000"/>
        </w:rPr>
        <w:t>66</w:t>
      </w:r>
      <w:r>
        <w:rPr>
          <w:rFonts w:eastAsia="Franklin Gothic" w:cs="Times New Roman" w:ascii="Times New Roman" w:hAnsi="Times New Roman"/>
          <w:color w:val="000000"/>
        </w:rPr>
        <w:t xml:space="preserve">, del </w:t>
      </w:r>
      <w:r>
        <w:rPr>
          <w:rFonts w:eastAsia="Franklin Gothic" w:cs="Times New Roman" w:ascii="Times New Roman" w:hAnsi="Times New Roman"/>
          <w:color w:val="000000"/>
        </w:rPr>
        <w:t>05</w:t>
      </w:r>
      <w:r>
        <w:rPr>
          <w:rFonts w:eastAsia="Franklin Gothic" w:cs="Times New Roman" w:ascii="Times New Roman" w:hAnsi="Times New Roman"/>
          <w:color w:val="000000"/>
        </w:rPr>
        <w:t xml:space="preserve"> de abril de 202</w:t>
      </w:r>
      <w:r>
        <w:rPr>
          <w:rFonts w:eastAsia="Franklin Gothic" w:cs="Times New Roman" w:ascii="Times New Roman" w:hAnsi="Times New Roman"/>
          <w:color w:val="000000"/>
        </w:rPr>
        <w:t>3</w:t>
      </w:r>
      <w:r>
        <w:rPr>
          <w:rFonts w:eastAsia="Franklin Gothic" w:cs="Times New Roman" w:ascii="Times New Roman" w:hAnsi="Times New Roman"/>
          <w:color w:val="000000"/>
        </w:rPr>
        <w:t xml:space="preserve">): </w:t>
      </w:r>
      <w:r>
        <w:rPr>
          <w:rStyle w:val="EnlacedeInternet"/>
          <w:rFonts w:eastAsia="Franklin Gothic" w:cs="Times New Roman" w:ascii="Times New Roman" w:hAnsi="Times New Roman"/>
          <w:color w:val="000000"/>
        </w:rPr>
        <w:t>https://bop.dicoruna.es/bopportal/publicado/2023/04/05/2023_0000002393.pdf</w:t>
      </w:r>
    </w:p>
    <w:p>
      <w:pPr>
        <w:pStyle w:val="Normal"/>
        <w:spacing w:before="0" w:after="437"/>
        <w:ind w:left="340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0"/>
        <w:ind w:left="-1440" w:right="10466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color w:val="auto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DejaVu Sans">
    <w:charset w:val="01"/>
    <w:family w:val="swiss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 w:hint="default"/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 w:hint="default"/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657f"/>
    <w:pPr>
      <w:widowControl/>
      <w:bidi w:val="0"/>
      <w:spacing w:lineRule="auto" w:line="254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gl-ES" w:eastAsia="gl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unhideWhenUsed/>
    <w:rsid w:val="007a657f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7a657f"/>
    <w:rPr>
      <w:color w:val="605E5C"/>
      <w:shd w:fill="E1DFDD" w:val="clear"/>
    </w:rPr>
  </w:style>
  <w:style w:type="character" w:styleId="WW8Num3z0">
    <w:name w:val="WW8Num3z0"/>
    <w:qFormat/>
    <w:rPr>
      <w:rFonts w:eastAsia="Times New Roman"/>
      <w:bCs/>
      <w:iCs/>
      <w:szCs w:val="22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8z0">
    <w:name w:val="WW8Num8z0"/>
    <w:qFormat/>
    <w:rPr>
      <w:rFonts w:eastAsia="Times New Roman" w:cs="Times New Roman"/>
      <w:kern w:val="2"/>
      <w:sz w:val="22"/>
      <w:szCs w:val="22"/>
      <w:lang w:eastAsia="es-ES" w:bidi="ar-SA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Symbol" w:hAnsi="Symbol" w:cs="Times New Roman"/>
      <w:sz w:val="22"/>
      <w:szCs w:val="22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8z5">
    <w:name w:val="WW8Num8z5"/>
    <w:qFormat/>
    <w:rPr>
      <w:rFonts w:ascii="Wingdings" w:hAnsi="Wingdings"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f6dd1"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Lucida Sans Unicode" w:cs="Times New Roman"/>
      <w:color w:val="auto"/>
      <w:kern w:val="2"/>
      <w:sz w:val="22"/>
      <w:szCs w:val="24"/>
      <w:lang w:val="gl-ES" w:eastAsia="zh-CN" w:bidi="ar-SA"/>
    </w:rPr>
  </w:style>
  <w:style w:type="paragraph" w:styleId="Prrafodelista">
    <w:name w:val="Párrafo de lista"/>
    <w:basedOn w:val="Normal"/>
    <w:qFormat/>
    <w:pPr>
      <w:ind w:left="708" w:right="0" w:hanging="0"/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3">
    <w:name w:val="WW8Num3"/>
    <w:qFormat/>
  </w:style>
  <w:style w:type="numbering" w:styleId="WW8Num8">
    <w:name w:val="WW8Num8"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a657f"/>
    <w:pPr>
      <w:spacing w:after="0" w:line="240" w:lineRule="auto"/>
    </w:pPr>
    <w:rPr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LibreOffice/7.2.5.2$Windows_X86_64 LibreOffice_project/499f9727c189e6ef3471021d6132d4c694f357e5</Application>
  <AppVersion>15.0000</AppVersion>
  <Pages>3</Pages>
  <Words>894</Words>
  <Characters>5159</Characters>
  <CharactersWithSpaces>5989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2021-05-04T12:29:00Z</dcterms:created>
  <dc:creator>Carmen Menéndez</dc:creator>
  <dc:description/>
  <dc:language>es-ES</dc:language>
  <cp:lastModifiedBy/>
  <dcterms:modified xsi:type="dcterms:W3CDTF">2023-04-11T12:02:07Z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