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4973A" w14:textId="77777777" w:rsidR="00682AE3" w:rsidRDefault="00682AE3">
      <w:pPr>
        <w:spacing w:after="120"/>
        <w:rPr>
          <w:rFonts w:ascii="Arial" w:hAnsi="Arial"/>
          <w:b/>
          <w:bCs/>
          <w:sz w:val="22"/>
          <w:szCs w:val="22"/>
        </w:rPr>
      </w:pPr>
    </w:p>
    <w:p w14:paraId="494A6875" w14:textId="77777777" w:rsidR="00682AE3" w:rsidRDefault="00682AE3">
      <w:pPr>
        <w:spacing w:after="120"/>
      </w:pPr>
      <w:r>
        <w:rPr>
          <w:rFonts w:ascii="Arial" w:eastAsia="Calibri" w:hAnsi="Arial" w:cs="Calibri"/>
          <w:b/>
          <w:bCs/>
          <w:sz w:val="22"/>
          <w:szCs w:val="22"/>
          <w:lang w:val="es-ES_tradnl" w:eastAsia="en-US"/>
        </w:rPr>
        <w:t>RESOLUCIÓN ALCALDÍA</w:t>
      </w:r>
    </w:p>
    <w:p w14:paraId="469628EB" w14:textId="77777777" w:rsidR="00682AE3" w:rsidRDefault="00682AE3">
      <w:pPr>
        <w:spacing w:after="120"/>
      </w:pPr>
      <w:r>
        <w:rPr>
          <w:rFonts w:ascii="Arial" w:eastAsia="Calibri" w:hAnsi="Arial" w:cs="Calibri"/>
          <w:sz w:val="22"/>
          <w:szCs w:val="22"/>
          <w:lang w:val="es-ES_tradnl" w:eastAsia="en-US"/>
        </w:rPr>
        <w:t xml:space="preserve">Visto que por Providencia de Alcaldía de 8 de febrero de 2023, se inicia la tramitación del expediente para la convocatoria de la XXI Edición de los premios literarios “Vicent Andrés Estellés” de poesía y narrativa corta en valenciano del Ayuntamiento de Benimodo. </w:t>
      </w:r>
    </w:p>
    <w:p w14:paraId="09ACA61A" w14:textId="77777777" w:rsidR="00682AE3" w:rsidRDefault="00682AE3">
      <w:pPr>
        <w:spacing w:after="240" w:line="276" w:lineRule="auto"/>
        <w:jc w:val="both"/>
      </w:pPr>
      <w:r>
        <w:rPr>
          <w:rFonts w:ascii="Arial" w:eastAsia="Calibri" w:hAnsi="Arial" w:cs="Calibri"/>
          <w:sz w:val="22"/>
          <w:szCs w:val="22"/>
          <w:lang w:val="es-ES_tradnl" w:eastAsia="en-US"/>
        </w:rPr>
        <w:t>Visto que La Ley 38/2003, de 17 de noviembre, General de Subvenciones, en su artículo 4, excluye de su ámbito de aplicación “los premios que se otorguen sin la previa solicitud del beneficiario”, por lo que, a sensu contrario, aquellas recompensas o reconocimiento que se otorgan a solicitud de interesado se encuentran sujetos a dicha normativa, y por consiguiente, se han de establecer una Bases Reguladoras conforme establece el artículo 17.2 de la citada ley. En su Disposición Adicional Décima, relativa a premios educativos, culturales, científicos o de cualquier otra naturaleza se indica que reglamentariamente se establecería el régimen especial aplicable al otorgamiento de los premios que deberá ajustarse al contenido de la ley, salvo aquellos aspectos en los que, por su naturaleza de subvenciones, no resulte aplicable.</w:t>
      </w:r>
    </w:p>
    <w:p w14:paraId="3F6CE80C" w14:textId="77777777" w:rsidR="00682AE3" w:rsidRDefault="00682AE3">
      <w:pPr>
        <w:spacing w:after="240" w:line="276" w:lineRule="auto"/>
        <w:jc w:val="both"/>
      </w:pPr>
      <w:r>
        <w:rPr>
          <w:rFonts w:ascii="Arial" w:eastAsia="Calibri" w:hAnsi="Arial" w:cs="Calibri"/>
          <w:sz w:val="22"/>
          <w:szCs w:val="22"/>
          <w:lang w:val="es-ES_tradnl" w:eastAsia="en-US"/>
        </w:rPr>
        <w:t xml:space="preserve">Visto que el procedimiento para la concesión de premios se encuentra regulado en la Base 40 de las Bases de ejecución del presupuesto general del Ayuntamiento para el ejercicio 2023, resultando asimismo de aplicación lo dispuesto en la LGS, de conformidad con su Disposición Adicional Décima. </w:t>
      </w:r>
    </w:p>
    <w:p w14:paraId="500EDB77" w14:textId="77777777" w:rsidR="00682AE3" w:rsidRDefault="00682AE3">
      <w:pPr>
        <w:spacing w:after="240" w:line="276" w:lineRule="auto"/>
        <w:jc w:val="both"/>
      </w:pPr>
      <w:r>
        <w:rPr>
          <w:rFonts w:ascii="Arial" w:eastAsia="Calibri" w:hAnsi="Arial" w:cs="Calibri"/>
          <w:sz w:val="22"/>
          <w:szCs w:val="22"/>
          <w:lang w:val="es-ES_tradnl" w:eastAsia="en-US"/>
        </w:rPr>
        <w:t>Considerando que el artículo 25.2, apartado m) de la Ley 7/1985, de 2 de abril, reguladora de las Bases del Régimen Local, atribuye a los municipios, entre otras, la competencia en materia de promoción de la cultura y de equipamientos culturales.</w:t>
      </w:r>
    </w:p>
    <w:p w14:paraId="65064C87" w14:textId="77777777" w:rsidR="00682AE3" w:rsidRDefault="00682AE3">
      <w:pPr>
        <w:spacing w:after="240" w:line="276" w:lineRule="auto"/>
        <w:jc w:val="both"/>
      </w:pPr>
      <w:r>
        <w:rPr>
          <w:rFonts w:ascii="Arial" w:eastAsia="Calibri" w:hAnsi="Arial" w:cs="Calibri"/>
          <w:sz w:val="22"/>
          <w:szCs w:val="22"/>
          <w:lang w:val="es-ES_tradnl" w:eastAsia="en-US"/>
        </w:rPr>
        <w:t>Visto el informe de Secretaría de fecha 9 de febrero de 2023.</w:t>
      </w:r>
    </w:p>
    <w:p w14:paraId="3DB2D140" w14:textId="77777777" w:rsidR="00682AE3" w:rsidRDefault="00682AE3">
      <w:pPr>
        <w:spacing w:after="240" w:line="276" w:lineRule="auto"/>
        <w:jc w:val="both"/>
      </w:pPr>
      <w:r>
        <w:rPr>
          <w:rFonts w:ascii="Arial" w:eastAsia="Calibri" w:hAnsi="Arial" w:cs="Calibri"/>
          <w:sz w:val="22"/>
          <w:szCs w:val="22"/>
          <w:lang w:val="es-ES_tradnl" w:eastAsia="en-US"/>
        </w:rPr>
        <w:t>Visto el informe de fiscalización (fase A) de fecha 9 de febrero de 2023.</w:t>
      </w:r>
    </w:p>
    <w:p w14:paraId="101267E8" w14:textId="77777777" w:rsidR="00682AE3" w:rsidRDefault="00682AE3">
      <w:pPr>
        <w:spacing w:after="120"/>
        <w:jc w:val="both"/>
      </w:pPr>
      <w:r>
        <w:rPr>
          <w:rFonts w:ascii="Arial" w:hAnsi="Arial"/>
          <w:sz w:val="22"/>
          <w:szCs w:val="22"/>
        </w:rPr>
        <w:t>Vista la resolución de la alcaldía núm. 66/2023 de fecha 9 de febrero de 2023 según la cual se aprueba la convocatoria de la XXI Edición de los premios literarios “Vicent Andrés Estellés” de poesía y narrativa corta en valenciano del Ayuntamiento de Benimodo, así como las bases que tienen que regir la  convocatoria publicadas en la Base de datos Nacional de Subvenciones, en el BOP Valencia núm. 44 de fecha 3 de marzo de 2023 ( Identificador BDNS: 676078) y en la sede electrónica municipal.</w:t>
      </w:r>
    </w:p>
    <w:p w14:paraId="2D28F916" w14:textId="77777777" w:rsidR="00682AE3" w:rsidRDefault="00682AE3">
      <w:pPr>
        <w:spacing w:after="120"/>
        <w:jc w:val="both"/>
      </w:pPr>
      <w:r>
        <w:rPr>
          <w:rFonts w:ascii="Arial" w:hAnsi="Arial"/>
          <w:sz w:val="22"/>
          <w:szCs w:val="22"/>
        </w:rPr>
        <w:t xml:space="preserve">Visto que el plazo de presentación de solicitudes es de </w:t>
      </w:r>
      <w:r>
        <w:rPr>
          <w:rFonts w:ascii="Arial" w:hAnsi="Arial"/>
          <w:b/>
          <w:bCs/>
          <w:sz w:val="22"/>
          <w:szCs w:val="22"/>
        </w:rPr>
        <w:t xml:space="preserve">30 días hábiles </w:t>
      </w:r>
      <w:r>
        <w:rPr>
          <w:rFonts w:ascii="Arial" w:hAnsi="Arial"/>
          <w:sz w:val="22"/>
          <w:szCs w:val="22"/>
        </w:rPr>
        <w:t>a contar a partir del día siguiente en la publicación de esta convocatoria en el Boletín Oficial de la Provincia de València, finalizando el plazo para la presentación de las mismas el día 18 de abril de 2023, y vista la necesidad de ampliar dicho plazo.</w:t>
      </w:r>
    </w:p>
    <w:p w14:paraId="17E8979D" w14:textId="77777777" w:rsidR="00682AE3" w:rsidRDefault="00682AE3">
      <w:pPr>
        <w:spacing w:after="120"/>
        <w:jc w:val="both"/>
      </w:pPr>
    </w:p>
    <w:p w14:paraId="510D149C" w14:textId="77777777" w:rsidR="00682AE3" w:rsidRDefault="00682AE3">
      <w:pPr>
        <w:spacing w:after="120"/>
        <w:jc w:val="both"/>
      </w:pPr>
    </w:p>
    <w:p w14:paraId="7DDC95CF" w14:textId="77777777" w:rsidR="00682AE3" w:rsidRDefault="00682AE3">
      <w:pPr>
        <w:spacing w:after="120"/>
        <w:jc w:val="both"/>
      </w:pPr>
    </w:p>
    <w:p w14:paraId="126C310B" w14:textId="77777777" w:rsidR="00682AE3" w:rsidRDefault="00682AE3">
      <w:pPr>
        <w:spacing w:after="120"/>
        <w:jc w:val="both"/>
      </w:pPr>
    </w:p>
    <w:p w14:paraId="5BA23CCD" w14:textId="77777777" w:rsidR="00682AE3" w:rsidRDefault="00682AE3">
      <w:pPr>
        <w:spacing w:after="120"/>
        <w:jc w:val="both"/>
      </w:pPr>
      <w:r>
        <w:rPr>
          <w:rFonts w:ascii="Arial" w:hAnsi="Arial"/>
          <w:b/>
          <w:bCs/>
          <w:sz w:val="22"/>
          <w:szCs w:val="22"/>
        </w:rPr>
        <w:lastRenderedPageBreak/>
        <w:t>LEGISLACIÓN APLICABLE.</w:t>
      </w:r>
    </w:p>
    <w:p w14:paraId="7A035B16" w14:textId="77777777" w:rsidR="00682AE3" w:rsidRDefault="00682AE3">
      <w:pPr>
        <w:spacing w:after="120"/>
        <w:jc w:val="both"/>
      </w:pPr>
      <w:r>
        <w:rPr>
          <w:rFonts w:ascii="Arial" w:hAnsi="Arial"/>
          <w:sz w:val="22"/>
          <w:szCs w:val="22"/>
        </w:rPr>
        <w:t>- Ley 39/2015, de 1 de octubre, del Procedimiento Administrativo Común de las Administraciones Públicas.</w:t>
      </w:r>
    </w:p>
    <w:p w14:paraId="6DCA5A4B" w14:textId="77777777" w:rsidR="00682AE3" w:rsidRDefault="00682AE3">
      <w:pPr>
        <w:spacing w:after="120"/>
        <w:jc w:val="both"/>
      </w:pPr>
      <w:r>
        <w:rPr>
          <w:rFonts w:ascii="Arial" w:hAnsi="Arial"/>
          <w:sz w:val="22"/>
          <w:szCs w:val="22"/>
        </w:rPr>
        <w:t xml:space="preserve">- </w:t>
      </w:r>
      <w:r>
        <w:rPr>
          <w:rFonts w:ascii="Arial" w:hAnsi="Arial"/>
          <w:color w:val="000000"/>
          <w:sz w:val="22"/>
          <w:szCs w:val="22"/>
        </w:rPr>
        <w:t>Ley 38/2003, de 17 de noviembre, General de Subvenciones.</w:t>
      </w:r>
    </w:p>
    <w:p w14:paraId="06F6E077" w14:textId="77777777" w:rsidR="00682AE3" w:rsidRDefault="00682AE3">
      <w:pPr>
        <w:spacing w:after="120"/>
        <w:jc w:val="both"/>
      </w:pPr>
      <w:r>
        <w:rPr>
          <w:rFonts w:ascii="Arial" w:hAnsi="Arial"/>
          <w:sz w:val="22"/>
          <w:szCs w:val="22"/>
        </w:rPr>
        <w:t>- Real Decreto 887/2006, de 21 de julio, por el que se aprueba el Reglamento de la Ley 38/2003, de 17 de noviembre, General de Subvenciones.</w:t>
      </w:r>
    </w:p>
    <w:p w14:paraId="480DFA64" w14:textId="77777777" w:rsidR="00682AE3" w:rsidRDefault="00682AE3">
      <w:pPr>
        <w:spacing w:after="120"/>
        <w:jc w:val="both"/>
      </w:pPr>
      <w:r>
        <w:rPr>
          <w:rFonts w:ascii="Arial" w:hAnsi="Arial"/>
          <w:sz w:val="22"/>
          <w:szCs w:val="22"/>
        </w:rPr>
        <w:t>- Ley 7/1985, de 2 abril, Reguladora de las Bases de Régimen Local.</w:t>
      </w:r>
    </w:p>
    <w:p w14:paraId="5B4B9AE7" w14:textId="77777777" w:rsidR="00682AE3" w:rsidRDefault="00682AE3">
      <w:pPr>
        <w:spacing w:after="120"/>
        <w:jc w:val="both"/>
      </w:pPr>
      <w:r>
        <w:rPr>
          <w:rFonts w:ascii="Arial" w:hAnsi="Arial"/>
          <w:b/>
          <w:bCs/>
          <w:sz w:val="22"/>
          <w:szCs w:val="22"/>
        </w:rPr>
        <w:t>CONSIDERACIONES JURÍDICAS.</w:t>
      </w:r>
    </w:p>
    <w:p w14:paraId="7E82822E" w14:textId="77777777" w:rsidR="00682AE3" w:rsidRDefault="00682AE3">
      <w:pPr>
        <w:spacing w:after="120"/>
        <w:jc w:val="both"/>
      </w:pPr>
      <w:r>
        <w:rPr>
          <w:rFonts w:ascii="Arial" w:hAnsi="Arial"/>
          <w:b/>
          <w:bCs/>
          <w:sz w:val="22"/>
          <w:szCs w:val="22"/>
        </w:rPr>
        <w:t>PRIMERA</w:t>
      </w:r>
      <w:r>
        <w:rPr>
          <w:rFonts w:ascii="Arial" w:hAnsi="Arial"/>
          <w:sz w:val="22"/>
          <w:szCs w:val="22"/>
        </w:rPr>
        <w:t>.- De acuerdo con el Artículo 32 de la Ley 39/2015, de 1 de octubre, del Procedimiento Administrativo Común de las Administraciones Públicas:</w:t>
      </w:r>
    </w:p>
    <w:p w14:paraId="6FC91EFC" w14:textId="77777777" w:rsidR="00682AE3" w:rsidRDefault="00682AE3">
      <w:pPr>
        <w:spacing w:after="120"/>
        <w:jc w:val="both"/>
      </w:pPr>
      <w:r>
        <w:rPr>
          <w:rFonts w:ascii="Arial" w:hAnsi="Arial"/>
          <w:i/>
          <w:iCs/>
          <w:sz w:val="22"/>
          <w:szCs w:val="22"/>
        </w:rPr>
        <w:t xml:space="preserve">“1. La Administración, salvo precepto en contrario, podrá conceder de oficio o a petición de los interesados, una ampliación de los plazos establecidos, que no exceda de la mitad de los mismos, si las circunstancias lo aconsejan y con ello no se perjudican derechos de tercero. El acuerdo de ampliación deberá ser notificado a los interesados. </w:t>
      </w:r>
    </w:p>
    <w:p w14:paraId="11B6A88E" w14:textId="77777777" w:rsidR="00682AE3" w:rsidRDefault="00682AE3">
      <w:pPr>
        <w:spacing w:after="120"/>
        <w:jc w:val="both"/>
      </w:pPr>
      <w:r>
        <w:rPr>
          <w:rFonts w:ascii="Arial" w:hAnsi="Arial"/>
          <w:i/>
          <w:iCs/>
          <w:sz w:val="22"/>
          <w:szCs w:val="22"/>
        </w:rPr>
        <w:t>2. La ampliación de los plazos por el tiempo máximo permitido se aplicará en todo caso a los procedimientos tramitados por las misiones diplomáticas y oficinas consulares, así como a aquellos que, sustanciándose en el interior, exijan cumplimentar algún trámite en el extranjero o en los que intervengan interesados residentes fuera de España. 3. Tanto la petición de los interesados como la decisión sobre la ampliación deberán producirse, en todo caso, antes del vencimiento del plazo de que se trate. En ningún caso podrá ser objeto de ampliación un plazo ya vencido. Los acuerdos sobre ampliación de plazos o sobre su denegación no serán susceptibles de recurso, sin perjuicio del procedente contra la resolución que ponga fin al procedimiento.”</w:t>
      </w:r>
    </w:p>
    <w:p w14:paraId="276CFE91" w14:textId="77777777" w:rsidR="00682AE3" w:rsidRDefault="00682AE3">
      <w:pPr>
        <w:spacing w:after="120"/>
        <w:jc w:val="both"/>
      </w:pPr>
      <w:r>
        <w:rPr>
          <w:rFonts w:ascii="Arial" w:hAnsi="Arial"/>
          <w:b/>
          <w:bCs/>
          <w:sz w:val="22"/>
          <w:szCs w:val="22"/>
        </w:rPr>
        <w:t>SEGUNDA</w:t>
      </w:r>
      <w:r>
        <w:rPr>
          <w:rFonts w:ascii="Arial" w:hAnsi="Arial"/>
          <w:sz w:val="22"/>
          <w:szCs w:val="22"/>
        </w:rPr>
        <w:t>.- El artículo 70 del RLGS que prevé que, el órgano concedente, pueda otorgar, salvo precepto en contra contenido en las bases reguladoras, una ampliación del plazo establecido para la presentación de la justificación, que no exceda de la mitad de mismo y siempre que con ello no se perjudiquen derechos de tercero, en las condiciones establecidas en el actual artículo 32 de la Ley 39/2015, de 1 de octubre, del Procedimiento Administrativo Común de las Administraciones Públicas.</w:t>
      </w:r>
    </w:p>
    <w:p w14:paraId="1B6ED63F" w14:textId="77777777" w:rsidR="00682AE3" w:rsidRDefault="00682AE3">
      <w:pPr>
        <w:spacing w:after="120"/>
        <w:jc w:val="both"/>
      </w:pPr>
      <w:r>
        <w:rPr>
          <w:rFonts w:ascii="Arial" w:hAnsi="Arial"/>
          <w:b/>
          <w:bCs/>
          <w:sz w:val="22"/>
          <w:szCs w:val="22"/>
        </w:rPr>
        <w:t>TERCERO</w:t>
      </w:r>
      <w:r>
        <w:rPr>
          <w:rFonts w:ascii="Arial" w:hAnsi="Arial"/>
          <w:sz w:val="22"/>
          <w:szCs w:val="22"/>
        </w:rPr>
        <w:t>.-   La decisión de ampliar el plazo debe de ser motivada, ya que así lo dispone el art. 35.1.e) LPAC, al establecer que serán motivados, con sucinta referencia de hechos y fundamentos de derecho los acuerdos de aplicación de la tramitación de urgencia, de ampliación de plazos y de realización de actuaciones complementarias.</w:t>
      </w:r>
    </w:p>
    <w:p w14:paraId="061DF300" w14:textId="77777777" w:rsidR="00682AE3" w:rsidRDefault="00682AE3">
      <w:pPr>
        <w:spacing w:after="120"/>
        <w:jc w:val="both"/>
      </w:pPr>
      <w:r>
        <w:rPr>
          <w:rFonts w:ascii="Arial" w:hAnsi="Arial"/>
          <w:sz w:val="22"/>
          <w:szCs w:val="22"/>
        </w:rPr>
        <w:t>En este sentido, la sentencia del Tribunal Supremo de 30 de septiembre de 2019, afirma que: “Tal obligación de motivación aparece reforzada al entrar también en liza la letra e) del artículo 54 Ley 30/1992 - hoy artículo 35 e) de la Ley 39/2015 -, relativo a la obligación de motivar los acuerdos de ampliación de plazos y que, si bien podría pensarse que el precepto alude a los casos de ampliación por iniciativa de la Administración, no se observan razones para excluir de motivación aquellas decisiones de ampliación que, de una manera u otra, con independencia de quien tuvo la iniciativa en su adopción, sean susceptibles de comprometer el derecho del administrado, en este caso, el derecho del contribuyente a que la Administración no liquide una vez haya prescrito su "derecho" a hacerlo.”</w:t>
      </w:r>
    </w:p>
    <w:p w14:paraId="45FFFEBF" w14:textId="77777777" w:rsidR="00682AE3" w:rsidRDefault="00682AE3">
      <w:pPr>
        <w:spacing w:after="120"/>
        <w:jc w:val="both"/>
        <w:rPr>
          <w:rFonts w:ascii="Arial" w:hAnsi="Arial"/>
          <w:sz w:val="22"/>
          <w:szCs w:val="22"/>
        </w:rPr>
      </w:pPr>
    </w:p>
    <w:p w14:paraId="08DCC4A0" w14:textId="77777777" w:rsidR="00682AE3" w:rsidRDefault="00682AE3">
      <w:pPr>
        <w:spacing w:after="120"/>
        <w:jc w:val="both"/>
        <w:rPr>
          <w:rFonts w:ascii="Arial" w:hAnsi="Arial"/>
          <w:sz w:val="22"/>
          <w:szCs w:val="22"/>
        </w:rPr>
      </w:pPr>
    </w:p>
    <w:p w14:paraId="186FDC6F" w14:textId="77777777" w:rsidR="00682AE3" w:rsidRDefault="00682AE3">
      <w:pPr>
        <w:spacing w:after="120"/>
        <w:jc w:val="both"/>
      </w:pPr>
      <w:r>
        <w:rPr>
          <w:rFonts w:ascii="Arial" w:hAnsi="Arial"/>
          <w:sz w:val="22"/>
          <w:szCs w:val="22"/>
        </w:rPr>
        <w:lastRenderedPageBreak/>
        <w:t xml:space="preserve">De conformidad con lo anterior, examinada la documentación que lo acompaña, y en uso de mis atribuciones, en conformidad con el artículo 21.1.h) de la Ley 7/1985, de 2 de abril, de Bases de Régimen Local, esta Alcaldía, </w:t>
      </w:r>
      <w:r>
        <w:rPr>
          <w:rFonts w:ascii="Arial" w:hAnsi="Arial"/>
          <w:b/>
          <w:bCs/>
          <w:sz w:val="22"/>
          <w:szCs w:val="22"/>
        </w:rPr>
        <w:t>RESUELVE:</w:t>
      </w:r>
    </w:p>
    <w:p w14:paraId="16684B8B" w14:textId="77777777" w:rsidR="00682AE3" w:rsidRDefault="00682AE3">
      <w:pPr>
        <w:spacing w:after="120"/>
        <w:jc w:val="both"/>
      </w:pPr>
      <w:r>
        <w:rPr>
          <w:rFonts w:ascii="Arial" w:hAnsi="Arial"/>
          <w:b/>
          <w:bCs/>
          <w:sz w:val="22"/>
          <w:szCs w:val="22"/>
        </w:rPr>
        <w:t xml:space="preserve">PRIMERO.- </w:t>
      </w:r>
      <w:r>
        <w:rPr>
          <w:rFonts w:ascii="Arial" w:hAnsi="Arial"/>
          <w:sz w:val="22"/>
          <w:szCs w:val="22"/>
        </w:rPr>
        <w:t xml:space="preserve">Ampliar el plazo </w:t>
      </w:r>
      <w:r>
        <w:rPr>
          <w:rFonts w:ascii="Arial" w:hAnsi="Arial"/>
          <w:b/>
          <w:bCs/>
          <w:sz w:val="22"/>
          <w:szCs w:val="22"/>
        </w:rPr>
        <w:t>hasta el día 10 de mayo de 2023</w:t>
      </w:r>
      <w:r>
        <w:rPr>
          <w:rFonts w:ascii="Arial" w:hAnsi="Arial"/>
          <w:sz w:val="22"/>
          <w:szCs w:val="22"/>
        </w:rPr>
        <w:t xml:space="preserve"> para la presentación de solicitudes en el expediente nº 156/202, relativo a la convocatoria de la XXI Edición de los premios literarios “Vicent Andrés Estellés” de poesía y narrativa corta en valenciano del Ayuntamiento de Benimodo con la finalidad de que los estudiantes dispongan de más tiempo para poder elaborar sus obras de poesía y/o narrativa en valenciano.</w:t>
      </w:r>
    </w:p>
    <w:p w14:paraId="3A26D655" w14:textId="77777777" w:rsidR="00682AE3" w:rsidRDefault="00682AE3">
      <w:pPr>
        <w:spacing w:after="120"/>
        <w:jc w:val="both"/>
      </w:pPr>
      <w:r>
        <w:rPr>
          <w:rFonts w:ascii="Arial" w:hAnsi="Arial"/>
          <w:b/>
          <w:bCs/>
          <w:sz w:val="22"/>
          <w:szCs w:val="22"/>
        </w:rPr>
        <w:t xml:space="preserve">SEGUNDO.- </w:t>
      </w:r>
      <w:r>
        <w:rPr>
          <w:rFonts w:ascii="Arial" w:hAnsi="Arial"/>
          <w:sz w:val="22"/>
          <w:szCs w:val="22"/>
        </w:rPr>
        <w:t>Publicar anuncio en la Base de Datos Nacional de Subvenciones según lo dispuesto en el artículo 20.8 de la L</w:t>
      </w:r>
      <w:r>
        <w:rPr>
          <w:rFonts w:ascii="Arial" w:hAnsi="Arial"/>
          <w:color w:val="000000"/>
          <w:sz w:val="22"/>
          <w:szCs w:val="22"/>
        </w:rPr>
        <w:t>ey 38/2003, de 17 de noviembre, General de Subvenciones, así como en la Sede electrónica del Ayuntamiento de Benimodo y en su portal de transparencia a los efectos oportunos.</w:t>
      </w:r>
    </w:p>
    <w:p w14:paraId="7EF9559D" w14:textId="77777777" w:rsidR="00682AE3" w:rsidRDefault="00682AE3">
      <w:pPr>
        <w:spacing w:after="120"/>
        <w:jc w:val="both"/>
      </w:pPr>
      <w:r>
        <w:rPr>
          <w:rFonts w:ascii="Arial" w:hAnsi="Arial"/>
          <w:b/>
          <w:bCs/>
          <w:sz w:val="22"/>
          <w:szCs w:val="22"/>
        </w:rPr>
        <w:t xml:space="preserve">TERCERO.- </w:t>
      </w:r>
      <w:r>
        <w:rPr>
          <w:rFonts w:ascii="Arial" w:hAnsi="Arial"/>
          <w:sz w:val="22"/>
          <w:szCs w:val="22"/>
        </w:rPr>
        <w:t>Dar cuenta de esta resolución al Pleno en la siguiente sesión ordinaria que se celebre.</w:t>
      </w:r>
    </w:p>
    <w:p w14:paraId="3E5666F7" w14:textId="77777777" w:rsidR="00682AE3" w:rsidRDefault="00682AE3">
      <w:pPr>
        <w:spacing w:after="120"/>
        <w:jc w:val="both"/>
        <w:rPr>
          <w:rFonts w:ascii="Arial" w:hAnsi="Arial"/>
          <w:sz w:val="22"/>
          <w:szCs w:val="22"/>
        </w:rPr>
      </w:pPr>
    </w:p>
    <w:p w14:paraId="13B8E02F" w14:textId="77777777" w:rsidR="00682AE3" w:rsidRDefault="00682AE3">
      <w:pPr>
        <w:spacing w:after="120"/>
        <w:jc w:val="both"/>
      </w:pPr>
      <w:r>
        <w:rPr>
          <w:rFonts w:ascii="Arial" w:hAnsi="Arial"/>
          <w:sz w:val="22"/>
          <w:szCs w:val="22"/>
        </w:rPr>
        <w:t xml:space="preserve">En Benimodo, a la fecha de la firma electrónica. </w:t>
      </w:r>
    </w:p>
    <w:p w14:paraId="367D255F" w14:textId="77777777" w:rsidR="00682AE3" w:rsidRDefault="00682AE3">
      <w:pPr>
        <w:spacing w:after="120"/>
        <w:jc w:val="both"/>
      </w:pPr>
      <w:r>
        <w:rPr>
          <w:rFonts w:ascii="Arial" w:hAnsi="Arial"/>
          <w:sz w:val="22"/>
          <w:szCs w:val="22"/>
        </w:rPr>
        <w:t xml:space="preserve">El Alcalde-Presidente, </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t xml:space="preserve">La Secretaria-Interventora, </w:t>
      </w:r>
    </w:p>
    <w:p w14:paraId="7A0F6D1F" w14:textId="77777777" w:rsidR="00682AE3" w:rsidRDefault="00682AE3">
      <w:pPr>
        <w:spacing w:after="120"/>
        <w:jc w:val="center"/>
      </w:pPr>
      <w:r>
        <w:rPr>
          <w:rFonts w:ascii="Arial" w:hAnsi="Arial"/>
          <w:b/>
          <w:bCs/>
          <w:sz w:val="22"/>
          <w:szCs w:val="22"/>
        </w:rPr>
        <w:t xml:space="preserve">(DOCUMENTO FIRMADO ELECTRÓNICAMENTE) </w:t>
      </w:r>
    </w:p>
    <w:p w14:paraId="3CDA46A2" w14:textId="77777777" w:rsidR="00682AE3" w:rsidRDefault="00682AE3">
      <w:pPr>
        <w:spacing w:after="120"/>
        <w:jc w:val="both"/>
      </w:pPr>
      <w:r>
        <w:rPr>
          <w:rFonts w:ascii="Arial" w:hAnsi="Arial"/>
          <w:sz w:val="22"/>
          <w:szCs w:val="22"/>
        </w:rPr>
        <w:t xml:space="preserve">Francisco Teruel Machí. </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t xml:space="preserve">M.ª Carmen García Quintanilla. </w:t>
      </w:r>
    </w:p>
    <w:p w14:paraId="1CD47ECF" w14:textId="77777777" w:rsidR="00682AE3" w:rsidRDefault="00682AE3">
      <w:pPr>
        <w:spacing w:after="120"/>
        <w:jc w:val="right"/>
      </w:pPr>
      <w:r>
        <w:rPr>
          <w:rFonts w:ascii="Arial" w:hAnsi="Arial"/>
          <w:i/>
          <w:iCs/>
          <w:sz w:val="22"/>
          <w:szCs w:val="22"/>
        </w:rPr>
        <w:t xml:space="preserve">(En el ejercicio de sus funciones de Fe Pública para </w:t>
      </w:r>
    </w:p>
    <w:p w14:paraId="1F118964" w14:textId="77777777" w:rsidR="00682AE3" w:rsidRDefault="00682AE3">
      <w:pPr>
        <w:spacing w:after="120"/>
        <w:jc w:val="right"/>
      </w:pPr>
      <w:r>
        <w:rPr>
          <w:rFonts w:ascii="Arial" w:hAnsi="Arial"/>
          <w:i/>
          <w:iCs/>
          <w:sz w:val="22"/>
          <w:szCs w:val="22"/>
        </w:rPr>
        <w:t xml:space="preserve">constancia que la resolución que antecede se </w:t>
      </w:r>
    </w:p>
    <w:p w14:paraId="7ED09206" w14:textId="77777777" w:rsidR="00682AE3" w:rsidRDefault="00682AE3">
      <w:pPr>
        <w:spacing w:after="120"/>
        <w:jc w:val="right"/>
      </w:pPr>
      <w:r>
        <w:rPr>
          <w:rFonts w:ascii="Arial" w:hAnsi="Arial"/>
          <w:i/>
          <w:iCs/>
          <w:sz w:val="22"/>
          <w:szCs w:val="22"/>
        </w:rPr>
        <w:t xml:space="preserve">transcribe en el Libro de Resoluciones) </w:t>
      </w:r>
    </w:p>
    <w:p w14:paraId="227EE213" w14:textId="77777777" w:rsidR="00682AE3" w:rsidRDefault="00682AE3">
      <w:pPr>
        <w:spacing w:after="120"/>
        <w:jc w:val="both"/>
      </w:pPr>
    </w:p>
    <w:sectPr w:rsidR="00682AE3">
      <w:headerReference w:type="default" r:id="rId7"/>
      <w:footerReference w:type="default" r:id="rId8"/>
      <w:headerReference w:type="first" r:id="rId9"/>
      <w:footerReference w:type="first" r:id="rId10"/>
      <w:pgSz w:w="11906" w:h="16838"/>
      <w:pgMar w:top="2593" w:right="1417" w:bottom="1354" w:left="1417" w:header="567" w:footer="567" w:gutter="0"/>
      <w:cols w:space="720"/>
      <w:docGrid w:linePitch="60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56089" w14:textId="77777777" w:rsidR="00682AE3" w:rsidRDefault="00682AE3">
      <w:r>
        <w:separator/>
      </w:r>
    </w:p>
  </w:endnote>
  <w:endnote w:type="continuationSeparator" w:id="0">
    <w:p w14:paraId="26A4A1A7" w14:textId="77777777" w:rsidR="00682AE3" w:rsidRDefault="00682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charset w:val="01"/>
    <w:family w:val="auto"/>
    <w:pitch w:val="variable"/>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93466" w14:textId="77777777" w:rsidR="00682AE3" w:rsidRDefault="00682AE3">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Ajuntament de Benimodo</w:t>
    </w:r>
  </w:p>
  <w:p w14:paraId="129BF01E" w14:textId="77777777" w:rsidR="00682AE3" w:rsidRDefault="00682AE3">
    <w:pPr>
      <w:pStyle w:val="Textoindependiente"/>
      <w:spacing w:after="0"/>
      <w:jc w:val="center"/>
    </w:pPr>
    <w:r>
      <w:rPr>
        <w:sz w:val="16"/>
        <w:szCs w:val="16"/>
      </w:rPr>
      <w:t>Plaça Major, 1, Benimodo. 46291 (València). Tel. 961818800. Fax: 962993496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C527C" w14:textId="77777777" w:rsidR="00682AE3" w:rsidRDefault="00682A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3A9F9" w14:textId="77777777" w:rsidR="00682AE3" w:rsidRDefault="00682AE3">
      <w:r>
        <w:separator/>
      </w:r>
    </w:p>
  </w:footnote>
  <w:footnote w:type="continuationSeparator" w:id="0">
    <w:p w14:paraId="714AA6EF" w14:textId="77777777" w:rsidR="00682AE3" w:rsidRDefault="00682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84C6" w14:textId="77777777" w:rsidR="00682AE3" w:rsidRDefault="00682AE3">
    <w:pPr>
      <w:pStyle w:val="Encabezado"/>
      <w:pBdr>
        <w:top w:val="none" w:sz="0" w:space="0" w:color="000000"/>
        <w:left w:val="none" w:sz="0" w:space="0" w:color="000000"/>
        <w:bottom w:val="none" w:sz="0" w:space="0" w:color="000000"/>
        <w:right w:val="none" w:sz="0" w:space="0" w:color="000000"/>
      </w:pBdr>
      <w:rPr>
        <w:b/>
        <w:bCs/>
        <w:sz w:val="28"/>
        <w:szCs w:val="28"/>
      </w:rPr>
    </w:pPr>
    <w:r>
      <w:pict w14:anchorId="03C01C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54.75pt" filled="t">
          <v:fill opacity="0" color2="black"/>
          <v:imagedata r:id="rId1" o:title="" croptop="-14f" cropbottom="-14f" cropleft="-18f" cropright="-18f"/>
        </v:shape>
      </w:pict>
    </w:r>
  </w:p>
  <w:p w14:paraId="30AD6085" w14:textId="77777777" w:rsidR="00682AE3" w:rsidRDefault="00682AE3">
    <w:pPr>
      <w:pStyle w:val="Encabezado"/>
      <w:pBdr>
        <w:top w:val="none" w:sz="0" w:space="0" w:color="000000"/>
        <w:left w:val="none" w:sz="0" w:space="0" w:color="000000"/>
        <w:bottom w:val="single" w:sz="4" w:space="5" w:color="000000"/>
        <w:right w:val="none" w:sz="0" w:space="0" w:color="000000"/>
      </w:pBdr>
      <w:jc w:val="center"/>
    </w:pPr>
    <w:r>
      <w:rPr>
        <w:b/>
        <w:bCs/>
        <w:sz w:val="28"/>
        <w:szCs w:val="28"/>
      </w:rPr>
      <w:t>Ajuntament de Benimodo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A48EA" w14:textId="77777777" w:rsidR="00682AE3" w:rsidRDefault="00682A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4480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153C"/>
    <w:rsid w:val="00682AE3"/>
    <w:rsid w:val="0074153C"/>
    <w:rsid w:val="00824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732582F"/>
  <w15:chartTrackingRefBased/>
  <w15:docId w15:val="{954081DE-53C0-4967-AB0D-151B3F16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6"/>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styleId="nfasis">
    <w:name w:val="Emphasis"/>
    <w:qFormat/>
    <w:rPr>
      <w:i/>
      <w:iCs/>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1124</Words>
  <Characters>6185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Machí</dc:creator>
  <cp:keywords/>
  <cp:lastModifiedBy>Amparo Machí</cp:lastModifiedBy>
  <cp:revision>2</cp:revision>
  <cp:lastPrinted>1995-11-21T16:41:00Z</cp:lastPrinted>
  <dcterms:created xsi:type="dcterms:W3CDTF">2023-03-29T07:24:00Z</dcterms:created>
  <dcterms:modified xsi:type="dcterms:W3CDTF">2023-03-29T07:24:00Z</dcterms:modified>
</cp:coreProperties>
</file>