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2B2" w:rsidRPr="004A6163" w:rsidRDefault="003222B2" w:rsidP="003222B2">
      <w:pPr>
        <w:suppressAutoHyphens w:val="0"/>
        <w:jc w:val="both"/>
        <w:textAlignment w:val="auto"/>
        <w:rPr>
          <w:rFonts w:asciiTheme="minorHAnsi" w:hAnsiTheme="minorHAnsi"/>
          <w:b/>
          <w:color w:val="000000"/>
          <w:sz w:val="22"/>
          <w:szCs w:val="22"/>
        </w:rPr>
      </w:pPr>
      <w:r>
        <w:rPr>
          <w:rFonts w:asciiTheme="minorHAnsi" w:hAnsiTheme="minorHAnsi"/>
          <w:b/>
          <w:color w:val="000000"/>
          <w:sz w:val="22"/>
          <w:szCs w:val="22"/>
        </w:rPr>
        <w:t xml:space="preserve">2ª </w:t>
      </w:r>
      <w:r w:rsidRPr="004A6163">
        <w:rPr>
          <w:rFonts w:asciiTheme="minorHAnsi" w:hAnsiTheme="minorHAnsi"/>
          <w:b/>
          <w:color w:val="000000"/>
          <w:sz w:val="22"/>
          <w:szCs w:val="22"/>
        </w:rPr>
        <w:t>CONVOCATORIA DE SUBVENCIONES PARA L</w:t>
      </w:r>
      <w:r>
        <w:rPr>
          <w:rFonts w:asciiTheme="minorHAnsi" w:hAnsiTheme="minorHAnsi"/>
          <w:b/>
          <w:color w:val="000000"/>
          <w:sz w:val="22"/>
          <w:szCs w:val="22"/>
        </w:rPr>
        <w:t>A</w:t>
      </w:r>
      <w:r w:rsidRPr="004A6163">
        <w:rPr>
          <w:rFonts w:asciiTheme="minorHAnsi" w:hAnsiTheme="minorHAnsi"/>
          <w:b/>
          <w:color w:val="000000"/>
          <w:sz w:val="22"/>
          <w:szCs w:val="22"/>
        </w:rPr>
        <w:t xml:space="preserve"> REHABILITACIÓN DE EDIFICIOS Y VIVIENDAS EN El ÁREA DE REHABILITACIÓN INTEGRAL DE SANTO TOMÉ, EN CALDAS DE REIS, CON FINANCIACIÓN DEL PROGRAMA DE REGENERACIÓN Y RENOVACIÓN URBANA Y RURAL DEL PLAN ESTATAL DE VIVIENDA 2018-2021.</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r w:rsidRPr="004A6163">
        <w:rPr>
          <w:rFonts w:asciiTheme="minorHAnsi" w:hAnsiTheme="minorHAnsi"/>
          <w:b/>
          <w:color w:val="000000"/>
          <w:sz w:val="22"/>
          <w:szCs w:val="22"/>
        </w:rPr>
        <w:t>PRIMERO.- Bases reguladoras de la convocatoria.</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Las bases reguladoras de la presente convocatoria fueron publicadas en el Boletín Oficial de la Provincia de Pontevedra nº 75, de 2</w:t>
      </w:r>
      <w:r>
        <w:rPr>
          <w:rFonts w:asciiTheme="minorHAnsi" w:hAnsiTheme="minorHAnsi"/>
          <w:color w:val="000000"/>
          <w:sz w:val="22"/>
          <w:szCs w:val="22"/>
        </w:rPr>
        <w:t>0</w:t>
      </w:r>
      <w:r w:rsidRPr="004A6163">
        <w:rPr>
          <w:rFonts w:asciiTheme="minorHAnsi" w:hAnsiTheme="minorHAnsi"/>
          <w:color w:val="000000"/>
          <w:sz w:val="22"/>
          <w:szCs w:val="22"/>
        </w:rPr>
        <w:t xml:space="preserve"> de abril de 2022. </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Las subvenciones se conceden en régimen de concurrencia competitiva, de acuerdo con el dispuesto en la base primera de las reguladoras de la convocatoria.</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r w:rsidRPr="004A6163">
        <w:rPr>
          <w:rFonts w:asciiTheme="minorHAnsi" w:hAnsiTheme="minorHAnsi"/>
          <w:b/>
          <w:color w:val="000000"/>
          <w:sz w:val="22"/>
          <w:szCs w:val="22"/>
        </w:rPr>
        <w:t>SEGUNDO.- Créditos presupuestarios.</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 xml:space="preserve">El crédito global que se dispone para lo otorgamiento de las subvenciones será de </w:t>
      </w:r>
      <w:r w:rsidRPr="00E2763D">
        <w:rPr>
          <w:rFonts w:asciiTheme="minorHAnsi" w:hAnsiTheme="minorHAnsi"/>
          <w:sz w:val="22"/>
          <w:szCs w:val="22"/>
          <w:lang w:val="gl-ES"/>
        </w:rPr>
        <w:t xml:space="preserve">96.523,78 </w:t>
      </w:r>
      <w:r w:rsidRPr="004A6163">
        <w:rPr>
          <w:rFonts w:asciiTheme="minorHAnsi" w:hAnsiTheme="minorHAnsi"/>
          <w:sz w:val="22"/>
          <w:szCs w:val="22"/>
          <w:lang w:val="gl-ES"/>
        </w:rPr>
        <w:t>€</w:t>
      </w:r>
      <w:r>
        <w:rPr>
          <w:rFonts w:asciiTheme="minorHAnsi" w:hAnsiTheme="minorHAnsi"/>
          <w:sz w:val="22"/>
          <w:szCs w:val="22"/>
          <w:lang w:val="gl-ES"/>
        </w:rPr>
        <w:t xml:space="preserve"> </w:t>
      </w:r>
      <w:r w:rsidRPr="004A6163">
        <w:rPr>
          <w:rFonts w:asciiTheme="minorHAnsi" w:hAnsiTheme="minorHAnsi"/>
          <w:color w:val="000000"/>
          <w:sz w:val="22"/>
          <w:szCs w:val="22"/>
        </w:rPr>
        <w:t>con cargo a la aplicación presupuestaria 1522 789.00 del presupuesto vigente.</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r w:rsidRPr="004A6163">
        <w:rPr>
          <w:rFonts w:asciiTheme="minorHAnsi" w:hAnsiTheme="minorHAnsi"/>
          <w:b/>
          <w:color w:val="000000"/>
          <w:sz w:val="22"/>
          <w:szCs w:val="22"/>
        </w:rPr>
        <w:t>TERCERO.- Objeto, condiciones y finalidad.</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El objeto de esta convocatoria es, de acuerdo con el establecido en el artículo 14 de la Ley 9/2007 del 13 de junio de Subvenciones de Galicia, es fijar los criterios para la concesión de las subvenciones previstas en el Real decreto 106/2018, del 9 de marzo, por lo que se aprueba el Plan Estatal de Vivienda 2018-2021 (BOE 10.03.2018), para el programa de regeneración y renovación urbana y rural, recogidas en el convenio firmado el 26.10.2018, entre el Ministerio de Fomento, la Xunta de Galicia y el Ayuntamiento de Caldas de Reis en el ámbito del área de Rehabilitación Integral de Santo Tomé.</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r w:rsidRPr="004A6163">
        <w:rPr>
          <w:rFonts w:asciiTheme="minorHAnsi" w:hAnsiTheme="minorHAnsi"/>
          <w:b/>
          <w:color w:val="000000"/>
          <w:sz w:val="22"/>
          <w:szCs w:val="22"/>
        </w:rPr>
        <w:t>CUARTO.- Requisitos para solicitar la subvención y manera de acreditarlos.</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Para ser beneficiarios/a de la subvención, el inmueble estará dentro del ámbito acordado en las bases reguladoras de la convocatoria y tendrá uso predominantemente residencial.</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Los edificios y viviendas deberán ser visitados por los técnicos de la Oficina de Rehabilitación y no se podrán subvencionar partidas de obra iniciadas con anterioridad a la realización de la visita sin datos fidedignos del estado previo a las obras comprobados por los técnicos de la Oficina de Rehabilitación.</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Las personas y las entidades beneficiarias de las ayudas deberán reunir los requisitos establecidos en el artículo 7.2 del Real decreto 106/2018, del 9 de marzo.</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 xml:space="preserve">Cuando la ejecución de la actuación corresponda a varias personas beneficiarias, la ayuda se distribuirá en proporción al costo asumido por cada una de ellas. Las personas beneficiarias destinarán el importe íntegro de la ayuda al pago de las correspondientes actuaciones. </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Cuando se trate de comunidades de personas propietarias, esta regla resultará igualmente de aplicación, con independencia de que, tanto su importe, como el costo de las obras, deba repercutirse en las personas propietarias y, si es el caso, en los locales comerciales o predios de otros usos compatibles, de conformidad con las reglas previstas en la legislación de propiedad horizontal.</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 xml:space="preserve">No obstante lo dispuesto en el párrafo anterior, cuando alguno de los miembros de la comunidad o de la agrupación de comunidades de personas propietarias incurra en una o varias de las prohibiciones establecidas en el artículo 13.2 de la Ley 38/2003, del 17 de noviembre, no se atribuirá </w:t>
      </w:r>
      <w:r w:rsidRPr="004A6163">
        <w:rPr>
          <w:rFonts w:asciiTheme="minorHAnsi" w:hAnsiTheme="minorHAnsi"/>
          <w:color w:val="000000"/>
          <w:sz w:val="22"/>
          <w:szCs w:val="22"/>
        </w:rPr>
        <w:lastRenderedPageBreak/>
        <w:t>a dicha propietaria la parte proporcional que le correspondería de la ayuda recibida, que se repartirá entre los restantes miembros de la comunidad o agrupación.</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No podrán obtener la condición de personas o entidades beneficiarias aquellas en que concurra alguna de las circunstancias previstas en los artículos 13 de la Ley 38/2003, del 17 de diciembre, y 10 de la Ley 9/2007, del 13 de junio, o a quien se le revocara alguna de las ayudas contenidas en este o en anteriores planes de vivienda por causas imputables a la persona o a la entidad solicitante.</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r w:rsidRPr="004A6163">
        <w:rPr>
          <w:rFonts w:asciiTheme="minorHAnsi" w:hAnsiTheme="minorHAnsi"/>
          <w:b/>
          <w:color w:val="000000"/>
          <w:sz w:val="22"/>
          <w:szCs w:val="22"/>
        </w:rPr>
        <w:t>QUINTO.- Órganos competentes para la instrucción y resolución del procedimiento.</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La Oficina de Rehabilitación Reis será el órgano competente para la instrucción de los procedimientos derivados de la convocatoria.</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La concesión de las subvenciones se realizará mediante resolución de la Alcaldía.</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r w:rsidRPr="004A6163">
        <w:rPr>
          <w:rFonts w:asciiTheme="minorHAnsi" w:hAnsiTheme="minorHAnsi"/>
          <w:b/>
          <w:color w:val="000000"/>
          <w:sz w:val="22"/>
          <w:szCs w:val="22"/>
        </w:rPr>
        <w:t>SEXTO.- Plazo de presentación de solicitudes</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 xml:space="preserve">Las solicitudes de ayuda se deberán presentar en el plazo de tres (3) meses a contar desde la publicación del Extracto de la convocatoria en el Boletín Oficial de la Provincia de Pontevedra. </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La presentación de la solicitud de subvención fuera del plazo establecido y la no utilización, en su caso, del formulario normalizado de uso obligatorio, serán causas de inadmisión de la solicitud.</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r w:rsidRPr="004A6163">
        <w:rPr>
          <w:rFonts w:asciiTheme="minorHAnsi" w:hAnsiTheme="minorHAnsi"/>
          <w:b/>
          <w:color w:val="000000"/>
          <w:sz w:val="22"/>
          <w:szCs w:val="22"/>
        </w:rPr>
        <w:t>SETIMO.- Plazo de resolución y notificación.</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El plazo para dictar y notificar la resolución sobre la calificación provisional será de dos (2) meses, contados a partir del día siguiente al de la entrada en la correspondiente área provincial del IGVS de la propuesta municipal de calificación provisional. Transcurrido dicho plazo sin que se notifique la resolución expresa, esta se entenderá denegada.</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El plazo para dictar y notificar la resolución sobre la calificación definitiva será de dos (2) meses, contados a partir del día siguiente al de la entrada en la correspondiente área provincial del IGVS de la propuesta municipal de calificación definitiva. Transcurrido dicho plazo sin que se notifique la resolución expresa, esta se entenderá denegada.</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Contra la resolución que sobre la calificación definitiva dicten las jefaturas territoriales del IGVS se podrá interponer un recurso de alzada ante la persona titular de la Presidencia del IGVS, en el plazo de un (1) mes, contado a partir del día siguiente al de su notificación.</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r w:rsidRPr="004A6163">
        <w:rPr>
          <w:rFonts w:asciiTheme="minorHAnsi" w:hAnsiTheme="minorHAnsi"/>
          <w:b/>
          <w:color w:val="000000"/>
          <w:sz w:val="22"/>
          <w:szCs w:val="22"/>
        </w:rPr>
        <w:t>OCTAVO.- Documentos e informaciones que deben acompañarse a la petición.</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Documentación relativa al solicitante</w:t>
      </w:r>
    </w:p>
    <w:p w:rsidR="003222B2" w:rsidRPr="004A6163" w:rsidRDefault="003222B2" w:rsidP="003222B2">
      <w:pPr>
        <w:pStyle w:val="Prrafodelista"/>
        <w:numPr>
          <w:ilvl w:val="0"/>
          <w:numId w:val="4"/>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Fotocopia del DNI del solicitante y representante (de ser el caso) formalmente designado.</w:t>
      </w:r>
    </w:p>
    <w:p w:rsidR="003222B2" w:rsidRPr="004A6163" w:rsidRDefault="003222B2" w:rsidP="003222B2">
      <w:pPr>
        <w:pStyle w:val="Prrafodelista"/>
        <w:numPr>
          <w:ilvl w:val="0"/>
          <w:numId w:val="4"/>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Acreditación de la titularidad del edificio o vivienda mediante certificación del Registro de la Propiedad, escritura pública de compraventa, escritura pública de aceptación o partición de la herencia, escritura pública de donación y aceptación, o sentencia judicial, según corresponda.</w:t>
      </w:r>
    </w:p>
    <w:p w:rsidR="003222B2" w:rsidRPr="004A6163" w:rsidRDefault="003222B2" w:rsidP="003222B2">
      <w:pPr>
        <w:pStyle w:val="Prrafodelista"/>
        <w:numPr>
          <w:ilvl w:val="0"/>
          <w:numId w:val="4"/>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Declaración jurada de todas las subvenciones solicitadas o concedidas para las actuaciones subvencionables para la misma actuación.</w:t>
      </w:r>
    </w:p>
    <w:p w:rsidR="003222B2" w:rsidRPr="004A6163" w:rsidRDefault="003222B2" w:rsidP="003222B2">
      <w:pPr>
        <w:pStyle w:val="Prrafodelista"/>
        <w:numPr>
          <w:ilvl w:val="0"/>
          <w:numId w:val="4"/>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Declaración jurada de no encontrarse en ninguno de los supuestos de incompatibilidad o prohibición para la percepción de subvenciones o ayudas públicas.</w:t>
      </w:r>
    </w:p>
    <w:p w:rsidR="003222B2" w:rsidRPr="004A6163" w:rsidRDefault="003222B2" w:rsidP="003222B2">
      <w:pPr>
        <w:pStyle w:val="Prrafodelista"/>
        <w:numPr>
          <w:ilvl w:val="0"/>
          <w:numId w:val="4"/>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lastRenderedPageBreak/>
        <w:t>Certificación bancaria con el número cuenta bancaria a nombre del/s beneficiario/s de la subvención.</w:t>
      </w:r>
    </w:p>
    <w:p w:rsidR="003222B2" w:rsidRPr="004A6163" w:rsidRDefault="003222B2" w:rsidP="003222B2">
      <w:pPr>
        <w:pStyle w:val="Prrafodelista"/>
        <w:numPr>
          <w:ilvl w:val="0"/>
          <w:numId w:val="4"/>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En caso de que la persona solicitante sea una entidad sin personalidad jurídica o persona jurídica, pública o personal (empresa, comunidad de propietarios, copropiedad, etc.), se aportará además:</w:t>
      </w:r>
    </w:p>
    <w:p w:rsidR="003222B2" w:rsidRPr="004A6163" w:rsidRDefault="003222B2" w:rsidP="003222B2">
      <w:pPr>
        <w:pStyle w:val="Prrafodelista"/>
        <w:numPr>
          <w:ilvl w:val="0"/>
          <w:numId w:val="3"/>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Documentación acreditativa de su constitución y NIF (en su caso)</w:t>
      </w:r>
    </w:p>
    <w:p w:rsidR="003222B2" w:rsidRPr="004A6163" w:rsidRDefault="003222B2" w:rsidP="003222B2">
      <w:pPr>
        <w:pStyle w:val="Prrafodelista"/>
        <w:numPr>
          <w:ilvl w:val="0"/>
          <w:numId w:val="3"/>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Documento acreditativo de la representación con que se actúa.</w:t>
      </w:r>
    </w:p>
    <w:p w:rsidR="003222B2" w:rsidRPr="004A6163" w:rsidRDefault="003222B2" w:rsidP="003222B2">
      <w:pPr>
        <w:pStyle w:val="Prrafodelista"/>
        <w:numPr>
          <w:ilvl w:val="0"/>
          <w:numId w:val="3"/>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Acuerdo para la ejecución de las obras y la solicitud de la subvención.</w:t>
      </w:r>
    </w:p>
    <w:p w:rsidR="003222B2" w:rsidRPr="004A6163" w:rsidRDefault="003222B2" w:rsidP="003222B2">
      <w:pPr>
        <w:pStyle w:val="Prrafodelista"/>
        <w:numPr>
          <w:ilvl w:val="0"/>
          <w:numId w:val="3"/>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Relación de personas propietarias del edificio, identificando NIF de cada una, y la referencia catastral de cada vivienda y local.</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Documentación al inmueble y las obras:</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pStyle w:val="Prrafodelista"/>
        <w:numPr>
          <w:ilvl w:val="0"/>
          <w:numId w:val="2"/>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Si la obra a realizar es de mejora de la eficiencia energética y la sostenibilidad, certificado de eficiencia energética de la vivienda que acredite las reducciones de emisiones de CO2 y la letra resultante de realizarse la obra.</w:t>
      </w:r>
    </w:p>
    <w:p w:rsidR="003222B2" w:rsidRPr="004A6163" w:rsidRDefault="003222B2" w:rsidP="003222B2">
      <w:pPr>
        <w:pStyle w:val="Prrafodelista"/>
        <w:numPr>
          <w:ilvl w:val="0"/>
          <w:numId w:val="2"/>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 xml:space="preserve">Proyecto técnico o memoria en el que se describan las obras a ejecutar y su valoración, con el desglose de las partidas, segundo lo dispuesto en los artículos 36, 43 y 51 del Real decreto 106/2018, del 9 de marzo. El proyecto o memoria deberá indicar, asimismo, los datos fundamentales del edificio: situación, número de viviendas y locales, superficie construida sobre rasante, superficie sobre rasante con uso residencial y un reportaje fotográfico de las obras que se van a realizar. </w:t>
      </w:r>
    </w:p>
    <w:p w:rsidR="003222B2" w:rsidRPr="004A6163" w:rsidRDefault="003222B2" w:rsidP="003222B2">
      <w:pPr>
        <w:pStyle w:val="Prrafodelista"/>
        <w:numPr>
          <w:ilvl w:val="0"/>
          <w:numId w:val="2"/>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 xml:space="preserve">Cuando el importe del gasto subvencionable supere la cuantía de 30.000 euros será necesario acercar 3 presupuestos, y en caso de no optarse por la oferta más ventajosa, memoria justificativa de la diferente elección, como establece el artículo 29 de la LSG. </w:t>
      </w:r>
    </w:p>
    <w:p w:rsidR="003222B2" w:rsidRPr="004A6163" w:rsidRDefault="003222B2" w:rsidP="003222B2">
      <w:pPr>
        <w:pStyle w:val="Prrafodelista"/>
        <w:numPr>
          <w:ilvl w:val="0"/>
          <w:numId w:val="2"/>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Títulos habilitantes para la ejecución de las obras (licencia o comunicación previa), o impreso de solicitud de las mismas.</w:t>
      </w:r>
    </w:p>
    <w:p w:rsidR="003222B2" w:rsidRPr="004A6163" w:rsidRDefault="003222B2" w:rsidP="003222B2">
      <w:pPr>
        <w:pStyle w:val="Prrafodelista"/>
        <w:numPr>
          <w:ilvl w:val="0"/>
          <w:numId w:val="2"/>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Otros documentos que, en su caso, el Ayuntamiento considere necesarios y hubiesen sido requeridos al beneficiario para dictar resolución.</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b/>
          <w:color w:val="000000"/>
          <w:sz w:val="22"/>
          <w:szCs w:val="22"/>
        </w:rPr>
      </w:pPr>
      <w:r w:rsidRPr="004A6163">
        <w:rPr>
          <w:rFonts w:asciiTheme="minorHAnsi" w:hAnsiTheme="minorHAnsi"/>
          <w:b/>
          <w:color w:val="000000"/>
          <w:sz w:val="22"/>
          <w:szCs w:val="22"/>
        </w:rPr>
        <w:t>NOVENO.- CRITERIOS DE VALORACIÓN DE LAS SOLICITUDES.</w:t>
      </w:r>
    </w:p>
    <w:p w:rsidR="003222B2" w:rsidRPr="004A6163" w:rsidRDefault="003222B2" w:rsidP="003222B2">
      <w:pPr>
        <w:suppressAutoHyphens w:val="0"/>
        <w:jc w:val="both"/>
        <w:textAlignment w:val="auto"/>
        <w:rPr>
          <w:rFonts w:asciiTheme="minorHAnsi" w:hAnsiTheme="minorHAnsi"/>
          <w:b/>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La concesión de las ayudas se graduará en atención a los siguientes criterios:</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 xml:space="preserve">1.- Estar en disposición de los títulos habilitantes exigibles para el desarrollo de los trabajos objeto de la ayuda (comunicación previa, licencia...) con fecha previa a la junta de la comisión de </w:t>
      </w:r>
      <w:proofErr w:type="spellStart"/>
      <w:r w:rsidRPr="004A6163">
        <w:rPr>
          <w:rFonts w:asciiTheme="minorHAnsi" w:hAnsiTheme="minorHAnsi"/>
          <w:color w:val="000000"/>
          <w:sz w:val="22"/>
          <w:szCs w:val="22"/>
        </w:rPr>
        <w:t>vlaoración</w:t>
      </w:r>
      <w:proofErr w:type="spellEnd"/>
      <w:r w:rsidRPr="004A6163">
        <w:rPr>
          <w:rFonts w:asciiTheme="minorHAnsi" w:hAnsiTheme="minorHAnsi"/>
          <w:color w:val="000000"/>
          <w:sz w:val="22"/>
          <w:szCs w:val="22"/>
        </w:rPr>
        <w:t>, 20 puntos.</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2.- Nivel de protección del edificio segundo el PGOM, máximo 30 puntos:</w:t>
      </w:r>
    </w:p>
    <w:p w:rsidR="003222B2" w:rsidRPr="004A6163" w:rsidRDefault="003222B2" w:rsidP="003222B2">
      <w:pPr>
        <w:pStyle w:val="Prrafodelista"/>
        <w:numPr>
          <w:ilvl w:val="0"/>
          <w:numId w:val="1"/>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Edificación con catalogación ambiental, 10 puntos</w:t>
      </w:r>
    </w:p>
    <w:p w:rsidR="003222B2" w:rsidRPr="004A6163" w:rsidRDefault="003222B2" w:rsidP="003222B2">
      <w:pPr>
        <w:pStyle w:val="Prrafodelista"/>
        <w:numPr>
          <w:ilvl w:val="0"/>
          <w:numId w:val="1"/>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Edificación con catalogación estructural, 20 puntos</w:t>
      </w:r>
    </w:p>
    <w:p w:rsidR="003222B2" w:rsidRPr="004A6163" w:rsidRDefault="003222B2" w:rsidP="003222B2">
      <w:pPr>
        <w:pStyle w:val="Prrafodelista"/>
        <w:numPr>
          <w:ilvl w:val="0"/>
          <w:numId w:val="1"/>
        </w:num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Edificación con catalogación integral, 30 puntos</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3.- Intervenciones en las edificaciones con frente a las calles por las que discurre el Camino de Santiago (Rúa San Roque, Rúa Real, Rúa Laureano Salgado, Rúa Ferrería, Rúa Santa Marta), 30 puntos.</w:t>
      </w:r>
    </w:p>
    <w:p w:rsidR="003222B2" w:rsidRPr="004A6163" w:rsidRDefault="003222B2" w:rsidP="003222B2">
      <w:pPr>
        <w:suppressAutoHyphens w:val="0"/>
        <w:jc w:val="both"/>
        <w:textAlignment w:val="auto"/>
        <w:rPr>
          <w:rFonts w:asciiTheme="minorHAnsi" w:hAnsiTheme="minorHAnsi"/>
          <w:color w:val="000000"/>
          <w:sz w:val="22"/>
          <w:szCs w:val="22"/>
        </w:rPr>
      </w:pPr>
    </w:p>
    <w:p w:rsidR="003222B2" w:rsidRPr="004A6163" w:rsidRDefault="003222B2" w:rsidP="003222B2">
      <w:pPr>
        <w:suppressAutoHyphens w:val="0"/>
        <w:jc w:val="both"/>
        <w:textAlignment w:val="auto"/>
        <w:rPr>
          <w:rFonts w:asciiTheme="minorHAnsi" w:hAnsiTheme="minorHAnsi"/>
          <w:color w:val="000000"/>
          <w:sz w:val="22"/>
          <w:szCs w:val="22"/>
        </w:rPr>
      </w:pPr>
      <w:r w:rsidRPr="004A6163">
        <w:rPr>
          <w:rFonts w:asciiTheme="minorHAnsi" w:hAnsiTheme="minorHAnsi"/>
          <w:color w:val="000000"/>
          <w:sz w:val="22"/>
          <w:szCs w:val="22"/>
        </w:rPr>
        <w:t>En el caso de empate tendrá preferencia la fecha y hora de entrada anterior en el Registro General del Ayuntamiento.</w:t>
      </w:r>
    </w:p>
    <w:p w:rsidR="003222B2" w:rsidRPr="004A6163" w:rsidRDefault="003222B2" w:rsidP="003222B2">
      <w:pPr>
        <w:jc w:val="both"/>
        <w:rPr>
          <w:rFonts w:asciiTheme="minorHAnsi" w:hAnsiTheme="minorHAnsi" w:cs="Arial"/>
          <w:sz w:val="22"/>
          <w:szCs w:val="22"/>
        </w:rPr>
      </w:pPr>
      <w:r w:rsidRPr="004A6163">
        <w:rPr>
          <w:rFonts w:asciiTheme="minorHAnsi" w:hAnsiTheme="minorHAnsi" w:cs="Arial"/>
          <w:sz w:val="22"/>
          <w:szCs w:val="22"/>
        </w:rPr>
        <w:t xml:space="preserve"> </w:t>
      </w:r>
    </w:p>
    <w:p w:rsidR="00E31D0E" w:rsidRDefault="00E31D0E">
      <w:bookmarkStart w:id="0" w:name="_GoBack"/>
      <w:bookmarkEnd w:id="0"/>
    </w:p>
    <w:sectPr w:rsidR="00E31D0E" w:rsidSect="00A10F06">
      <w:footerReference w:type="default" r:id="rId8"/>
      <w:pgSz w:w="11910" w:h="16840"/>
      <w:pgMar w:top="2200" w:right="1562" w:bottom="520" w:left="1280" w:header="732" w:footer="3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93E" w:rsidRDefault="006C593E" w:rsidP="003222B2">
      <w:r>
        <w:separator/>
      </w:r>
    </w:p>
  </w:endnote>
  <w:endnote w:type="continuationSeparator" w:id="0">
    <w:p w:rsidR="006C593E" w:rsidRDefault="006C593E" w:rsidP="00322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925" w:rsidRDefault="006C593E">
    <w:pPr>
      <w:pStyle w:val="Piedepgina1"/>
      <w:pBdr>
        <w:top w:val="single" w:sz="4" w:space="0" w:color="000001"/>
      </w:pBdr>
      <w:ind w:left="-720"/>
      <w:jc w:val="both"/>
      <w:rPr>
        <w:sz w:val="12"/>
        <w:szCs w:val="12"/>
      </w:rPr>
    </w:pPr>
  </w:p>
  <w:p w:rsidR="00222925" w:rsidRDefault="006C593E">
    <w:pPr>
      <w:pStyle w:val="Piedepgina1"/>
      <w:pBdr>
        <w:top w:val="single" w:sz="4" w:space="0" w:color="000001"/>
      </w:pBdr>
      <w:ind w:left="-720"/>
      <w:jc w:val="both"/>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93E" w:rsidRDefault="006C593E" w:rsidP="003222B2">
      <w:r>
        <w:separator/>
      </w:r>
    </w:p>
  </w:footnote>
  <w:footnote w:type="continuationSeparator" w:id="0">
    <w:p w:rsidR="006C593E" w:rsidRDefault="006C593E" w:rsidP="003222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5520EB"/>
    <w:multiLevelType w:val="hybridMultilevel"/>
    <w:tmpl w:val="3BB29A1A"/>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5D27DC3"/>
    <w:multiLevelType w:val="hybridMultilevel"/>
    <w:tmpl w:val="06204C9A"/>
    <w:lvl w:ilvl="0" w:tplc="D5F6C5AE">
      <w:start w:val="1"/>
      <w:numFmt w:val="bullet"/>
      <w:lvlText w:val=""/>
      <w:lvlJc w:val="left"/>
      <w:pPr>
        <w:ind w:left="1069" w:hanging="360"/>
      </w:pPr>
      <w:rPr>
        <w:rFonts w:ascii="Symbol" w:hAnsi="Symbol" w:hint="default"/>
        <w:color w:val="auto"/>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
    <w:nsid w:val="40F075BE"/>
    <w:multiLevelType w:val="hybridMultilevel"/>
    <w:tmpl w:val="8F10F06E"/>
    <w:lvl w:ilvl="0" w:tplc="00000003">
      <w:start w:val="1"/>
      <w:numFmt w:val="bullet"/>
      <w:lvlText w:val=""/>
      <w:lvlJc w:val="left"/>
      <w:pPr>
        <w:ind w:left="720" w:hanging="360"/>
      </w:pPr>
      <w:rPr>
        <w:rFonts w:ascii="Symbol" w:hAnsi="Symbol" w:cs="Symbol" w:hint="default"/>
        <w:color w:val="auto"/>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100213A"/>
    <w:multiLevelType w:val="hybridMultilevel"/>
    <w:tmpl w:val="EF2029C4"/>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2B2"/>
    <w:rsid w:val="003222B2"/>
    <w:rsid w:val="006C593E"/>
    <w:rsid w:val="00E31D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2B2"/>
    <w:pPr>
      <w:suppressAutoHyphens/>
      <w:spacing w:after="0" w:line="240" w:lineRule="auto"/>
      <w:textAlignment w:val="baseline"/>
    </w:pPr>
    <w:rPr>
      <w:rFonts w:ascii="Times New Roman" w:eastAsia="SimSun" w:hAnsi="Times New Roman" w:cs="Mang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3222B2"/>
    <w:rPr>
      <w:color w:val="000080"/>
      <w:u w:val="single"/>
    </w:rPr>
  </w:style>
  <w:style w:type="paragraph" w:customStyle="1" w:styleId="Standard">
    <w:name w:val="Standard"/>
    <w:qFormat/>
    <w:rsid w:val="003222B2"/>
    <w:pPr>
      <w:spacing w:after="0" w:line="240" w:lineRule="auto"/>
    </w:pPr>
    <w:rPr>
      <w:rFonts w:ascii="Times New Roman" w:eastAsia="SimSun" w:hAnsi="Times New Roman" w:cs="Mangal"/>
      <w:kern w:val="2"/>
      <w:sz w:val="24"/>
      <w:szCs w:val="24"/>
      <w:lang w:eastAsia="zh-CN" w:bidi="hi-IN"/>
    </w:rPr>
  </w:style>
  <w:style w:type="paragraph" w:customStyle="1" w:styleId="Encabezado1">
    <w:name w:val="Encabezado1"/>
    <w:basedOn w:val="Standard"/>
    <w:qFormat/>
    <w:rsid w:val="003222B2"/>
    <w:pPr>
      <w:keepNext/>
      <w:spacing w:before="240" w:after="120"/>
    </w:pPr>
    <w:rPr>
      <w:rFonts w:ascii="Arial" w:eastAsia="Microsoft YaHei" w:hAnsi="Arial"/>
      <w:sz w:val="28"/>
      <w:szCs w:val="28"/>
    </w:rPr>
  </w:style>
  <w:style w:type="paragraph" w:customStyle="1" w:styleId="Textbody">
    <w:name w:val="Text body"/>
    <w:basedOn w:val="Standard"/>
    <w:qFormat/>
    <w:rsid w:val="003222B2"/>
    <w:pPr>
      <w:spacing w:after="120"/>
    </w:pPr>
  </w:style>
  <w:style w:type="paragraph" w:customStyle="1" w:styleId="Piedepgina1">
    <w:name w:val="Pie de página1"/>
    <w:basedOn w:val="Standard"/>
    <w:qFormat/>
    <w:rsid w:val="003222B2"/>
    <w:pPr>
      <w:tabs>
        <w:tab w:val="center" w:pos="4252"/>
        <w:tab w:val="right" w:pos="8504"/>
      </w:tabs>
    </w:pPr>
  </w:style>
  <w:style w:type="paragraph" w:styleId="Prrafodelista">
    <w:name w:val="List Paragraph"/>
    <w:basedOn w:val="Normal"/>
    <w:uiPriority w:val="1"/>
    <w:qFormat/>
    <w:rsid w:val="003222B2"/>
    <w:pPr>
      <w:ind w:left="720"/>
      <w:contextualSpacing/>
    </w:pPr>
    <w:rPr>
      <w:szCs w:val="21"/>
    </w:rPr>
  </w:style>
  <w:style w:type="paragraph" w:styleId="Encabezado">
    <w:name w:val="header"/>
    <w:basedOn w:val="Normal"/>
    <w:link w:val="EncabezadoCar"/>
    <w:uiPriority w:val="99"/>
    <w:unhideWhenUsed/>
    <w:rsid w:val="003222B2"/>
    <w:pPr>
      <w:tabs>
        <w:tab w:val="center" w:pos="4252"/>
        <w:tab w:val="right" w:pos="8504"/>
      </w:tabs>
    </w:pPr>
    <w:rPr>
      <w:szCs w:val="21"/>
    </w:rPr>
  </w:style>
  <w:style w:type="character" w:customStyle="1" w:styleId="EncabezadoCar">
    <w:name w:val="Encabezado Car"/>
    <w:basedOn w:val="Fuentedeprrafopredeter"/>
    <w:link w:val="Encabezado"/>
    <w:uiPriority w:val="99"/>
    <w:rsid w:val="003222B2"/>
    <w:rPr>
      <w:rFonts w:ascii="Times New Roman" w:eastAsia="SimSun" w:hAnsi="Times New Roman" w:cs="Mangal"/>
      <w:kern w:val="2"/>
      <w:sz w:val="24"/>
      <w:szCs w:val="21"/>
      <w:lang w:eastAsia="zh-CN" w:bidi="hi-IN"/>
    </w:rPr>
  </w:style>
  <w:style w:type="paragraph" w:styleId="Piedepgina">
    <w:name w:val="footer"/>
    <w:basedOn w:val="Normal"/>
    <w:link w:val="PiedepginaCar"/>
    <w:uiPriority w:val="99"/>
    <w:unhideWhenUsed/>
    <w:rsid w:val="003222B2"/>
    <w:pPr>
      <w:tabs>
        <w:tab w:val="center" w:pos="4252"/>
        <w:tab w:val="right" w:pos="8504"/>
      </w:tabs>
    </w:pPr>
    <w:rPr>
      <w:szCs w:val="21"/>
    </w:rPr>
  </w:style>
  <w:style w:type="character" w:customStyle="1" w:styleId="PiedepginaCar">
    <w:name w:val="Pie de página Car"/>
    <w:basedOn w:val="Fuentedeprrafopredeter"/>
    <w:link w:val="Piedepgina"/>
    <w:uiPriority w:val="99"/>
    <w:rsid w:val="003222B2"/>
    <w:rPr>
      <w:rFonts w:ascii="Times New Roman" w:eastAsia="SimSun" w:hAnsi="Times New Roman" w:cs="Mangal"/>
      <w:kern w:val="2"/>
      <w:sz w:val="24"/>
      <w:szCs w:val="21"/>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2B2"/>
    <w:pPr>
      <w:suppressAutoHyphens/>
      <w:spacing w:after="0" w:line="240" w:lineRule="auto"/>
      <w:textAlignment w:val="baseline"/>
    </w:pPr>
    <w:rPr>
      <w:rFonts w:ascii="Times New Roman" w:eastAsia="SimSun" w:hAnsi="Times New Roman" w:cs="Mang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3222B2"/>
    <w:rPr>
      <w:color w:val="000080"/>
      <w:u w:val="single"/>
    </w:rPr>
  </w:style>
  <w:style w:type="paragraph" w:customStyle="1" w:styleId="Standard">
    <w:name w:val="Standard"/>
    <w:qFormat/>
    <w:rsid w:val="003222B2"/>
    <w:pPr>
      <w:spacing w:after="0" w:line="240" w:lineRule="auto"/>
    </w:pPr>
    <w:rPr>
      <w:rFonts w:ascii="Times New Roman" w:eastAsia="SimSun" w:hAnsi="Times New Roman" w:cs="Mangal"/>
      <w:kern w:val="2"/>
      <w:sz w:val="24"/>
      <w:szCs w:val="24"/>
      <w:lang w:eastAsia="zh-CN" w:bidi="hi-IN"/>
    </w:rPr>
  </w:style>
  <w:style w:type="paragraph" w:customStyle="1" w:styleId="Encabezado1">
    <w:name w:val="Encabezado1"/>
    <w:basedOn w:val="Standard"/>
    <w:qFormat/>
    <w:rsid w:val="003222B2"/>
    <w:pPr>
      <w:keepNext/>
      <w:spacing w:before="240" w:after="120"/>
    </w:pPr>
    <w:rPr>
      <w:rFonts w:ascii="Arial" w:eastAsia="Microsoft YaHei" w:hAnsi="Arial"/>
      <w:sz w:val="28"/>
      <w:szCs w:val="28"/>
    </w:rPr>
  </w:style>
  <w:style w:type="paragraph" w:customStyle="1" w:styleId="Textbody">
    <w:name w:val="Text body"/>
    <w:basedOn w:val="Standard"/>
    <w:qFormat/>
    <w:rsid w:val="003222B2"/>
    <w:pPr>
      <w:spacing w:after="120"/>
    </w:pPr>
  </w:style>
  <w:style w:type="paragraph" w:customStyle="1" w:styleId="Piedepgina1">
    <w:name w:val="Pie de página1"/>
    <w:basedOn w:val="Standard"/>
    <w:qFormat/>
    <w:rsid w:val="003222B2"/>
    <w:pPr>
      <w:tabs>
        <w:tab w:val="center" w:pos="4252"/>
        <w:tab w:val="right" w:pos="8504"/>
      </w:tabs>
    </w:pPr>
  </w:style>
  <w:style w:type="paragraph" w:styleId="Prrafodelista">
    <w:name w:val="List Paragraph"/>
    <w:basedOn w:val="Normal"/>
    <w:uiPriority w:val="1"/>
    <w:qFormat/>
    <w:rsid w:val="003222B2"/>
    <w:pPr>
      <w:ind w:left="720"/>
      <w:contextualSpacing/>
    </w:pPr>
    <w:rPr>
      <w:szCs w:val="21"/>
    </w:rPr>
  </w:style>
  <w:style w:type="paragraph" w:styleId="Encabezado">
    <w:name w:val="header"/>
    <w:basedOn w:val="Normal"/>
    <w:link w:val="EncabezadoCar"/>
    <w:uiPriority w:val="99"/>
    <w:unhideWhenUsed/>
    <w:rsid w:val="003222B2"/>
    <w:pPr>
      <w:tabs>
        <w:tab w:val="center" w:pos="4252"/>
        <w:tab w:val="right" w:pos="8504"/>
      </w:tabs>
    </w:pPr>
    <w:rPr>
      <w:szCs w:val="21"/>
    </w:rPr>
  </w:style>
  <w:style w:type="character" w:customStyle="1" w:styleId="EncabezadoCar">
    <w:name w:val="Encabezado Car"/>
    <w:basedOn w:val="Fuentedeprrafopredeter"/>
    <w:link w:val="Encabezado"/>
    <w:uiPriority w:val="99"/>
    <w:rsid w:val="003222B2"/>
    <w:rPr>
      <w:rFonts w:ascii="Times New Roman" w:eastAsia="SimSun" w:hAnsi="Times New Roman" w:cs="Mangal"/>
      <w:kern w:val="2"/>
      <w:sz w:val="24"/>
      <w:szCs w:val="21"/>
      <w:lang w:eastAsia="zh-CN" w:bidi="hi-IN"/>
    </w:rPr>
  </w:style>
  <w:style w:type="paragraph" w:styleId="Piedepgina">
    <w:name w:val="footer"/>
    <w:basedOn w:val="Normal"/>
    <w:link w:val="PiedepginaCar"/>
    <w:uiPriority w:val="99"/>
    <w:unhideWhenUsed/>
    <w:rsid w:val="003222B2"/>
    <w:pPr>
      <w:tabs>
        <w:tab w:val="center" w:pos="4252"/>
        <w:tab w:val="right" w:pos="8504"/>
      </w:tabs>
    </w:pPr>
    <w:rPr>
      <w:szCs w:val="21"/>
    </w:rPr>
  </w:style>
  <w:style w:type="character" w:customStyle="1" w:styleId="PiedepginaCar">
    <w:name w:val="Pie de página Car"/>
    <w:basedOn w:val="Fuentedeprrafopredeter"/>
    <w:link w:val="Piedepgina"/>
    <w:uiPriority w:val="99"/>
    <w:rsid w:val="003222B2"/>
    <w:rPr>
      <w:rFonts w:ascii="Times New Roman" w:eastAsia="SimSun" w:hAnsi="Times New Roman"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1396</Words>
  <Characters>7683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Intervencion Caldas de Reis</dc:creator>
  <cp:lastModifiedBy>Intervencion Caldas de Reis</cp:lastModifiedBy>
  <cp:revision>1</cp:revision>
  <dcterms:created xsi:type="dcterms:W3CDTF">2023-03-15T08:39:00Z</dcterms:created>
  <dcterms:modified xsi:type="dcterms:W3CDTF">2023-03-15T08:40:00Z</dcterms:modified>
</cp:coreProperties>
</file>