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4324E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694B5DA0" w14:textId="4B983391" w:rsidR="00930178"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4324E0">
        <w:rPr>
          <w:rFonts w:ascii="Calibri" w:hAnsi="Calibri" w:cs="Calibri"/>
          <w:color w:val="A51632"/>
          <w:sz w:val="24"/>
          <w:szCs w:val="24"/>
        </w:rPr>
        <w:t xml:space="preserve"> </w:t>
      </w:r>
      <w:r w:rsidR="004324E0">
        <w:rPr>
          <w:rFonts w:asciiTheme="minorHAnsi" w:hAnsiTheme="minorHAnsi" w:cstheme="minorHAnsi"/>
          <w:b/>
          <w:bCs w:val="0"/>
          <w:sz w:val="22"/>
          <w:szCs w:val="22"/>
        </w:rPr>
        <w:t>MISION COMERCIAL ON LINE TASTYWINES SHENZHEN – CHINA 2023, que se celebrará el día 16 de mayo de 2023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24E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1417</Words>
  <Characters>7596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Alberto De Paz Urueña</cp:lastModifiedBy>
  <cp:revision>34</cp:revision>
  <cp:lastPrinted>2016-02-08T08:19:00Z</cp:lastPrinted>
  <dcterms:created xsi:type="dcterms:W3CDTF">2021-03-18T13:16:00Z</dcterms:created>
  <dcterms:modified xsi:type="dcterms:W3CDTF">2023-02-27T15:40:00Z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