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668" w:rsidRDefault="00482668"/>
    <w:p w:rsidR="00482668" w:rsidRDefault="00762B21" w:rsidP="007A65F6">
      <w:pPr>
        <w:pBdr>
          <w:top w:val="single" w:sz="4" w:space="1" w:color="000000"/>
          <w:left w:val="single" w:sz="4" w:space="4" w:color="000000"/>
          <w:bottom w:val="single" w:sz="4" w:space="1" w:color="000000"/>
          <w:right w:val="single" w:sz="4" w:space="4" w:color="000000"/>
        </w:pBdr>
        <w:ind w:firstLine="0"/>
        <w:jc w:val="both"/>
        <w:rPr>
          <w:b/>
        </w:rPr>
      </w:pPr>
      <w:r>
        <w:rPr>
          <w:b/>
        </w:rPr>
        <w:t xml:space="preserve">CONVOCATORIA Y BASES ESPECÍFICAS PARA LA </w:t>
      </w:r>
      <w:bookmarkStart w:id="0" w:name="_Hlk98932891"/>
      <w:r>
        <w:rPr>
          <w:b/>
        </w:rPr>
        <w:t xml:space="preserve">CONCESIÓN DE SUBVENCIONES A COMUNIDADES DE PROPIETARIOS </w:t>
      </w:r>
      <w:bookmarkStart w:id="1" w:name="Texto72"/>
      <w:bookmarkEnd w:id="0"/>
      <w:r>
        <w:rPr>
          <w:b/>
        </w:rPr>
        <w:t xml:space="preserve">Y ADICIONALES A PARTICULARES VULNERABLES PARA LA REHABILITACIÓN ENERGÉTICA </w:t>
      </w:r>
      <w:bookmarkEnd w:id="1"/>
      <w:r>
        <w:rPr>
          <w:b/>
        </w:rPr>
        <w:t>DE EDIFICIOS RESIDENCIALES INCLUIDOS EN EL BARRIO DE BASAUNDI BAILARA, EN EL MUNICIPIO DE LASARTE-ORIA, EN APLICACIÓN DEL PROGRAMA 1 DEL RD 853/2021</w:t>
      </w:r>
    </w:p>
    <w:p w:rsidR="00482668" w:rsidRDefault="00482668">
      <w:pPr>
        <w:ind w:firstLine="0"/>
        <w:jc w:val="both"/>
        <w:rPr>
          <w:b/>
        </w:rPr>
      </w:pPr>
    </w:p>
    <w:p w:rsidR="00482668" w:rsidRDefault="00482668">
      <w:pPr>
        <w:ind w:firstLine="0"/>
        <w:jc w:val="both"/>
        <w:rPr>
          <w:b/>
        </w:rPr>
      </w:pPr>
    </w:p>
    <w:p w:rsidR="006F472F" w:rsidRPr="006F472F" w:rsidRDefault="00762B21" w:rsidP="006F472F">
      <w:pPr>
        <w:pStyle w:val="TOCizenburua"/>
        <w:ind w:hanging="284"/>
        <w:rPr>
          <w:color w:val="auto"/>
        </w:rPr>
      </w:pPr>
      <w:bookmarkStart w:id="2" w:name="_Toc121128523"/>
      <w:r w:rsidRPr="006F472F">
        <w:rPr>
          <w:color w:val="auto"/>
        </w:rPr>
        <w:t>ÍNDICE</w:t>
      </w:r>
      <w:bookmarkStart w:id="3" w:name="_Toc120089389"/>
      <w:bookmarkEnd w:id="2"/>
    </w:p>
    <w:sdt>
      <w:sdtPr>
        <w:id w:val="166628235"/>
        <w:docPartObj>
          <w:docPartGallery w:val="Table of Contents"/>
          <w:docPartUnique/>
        </w:docPartObj>
      </w:sdtPr>
      <w:sdtContent>
        <w:bookmarkEnd w:id="3" w:displacedByCustomXml="prev"/>
        <w:p w:rsidR="00762B21" w:rsidRPr="00762B21" w:rsidRDefault="00762B21" w:rsidP="006F472F">
          <w:pPr>
            <w:ind w:firstLine="0"/>
            <w:jc w:val="both"/>
            <w:rPr>
              <w:sz w:val="36"/>
              <w:szCs w:val="36"/>
            </w:rPr>
          </w:pPr>
        </w:p>
        <w:p w:rsidR="00904A83" w:rsidRDefault="000723F6">
          <w:pPr>
            <w:pStyle w:val="EA1"/>
            <w:rPr>
              <w:rFonts w:asciiTheme="minorHAnsi" w:eastAsiaTheme="minorEastAsia" w:hAnsiTheme="minorHAnsi" w:cstheme="minorBidi"/>
              <w:noProof/>
              <w:lang w:eastAsia="es-ES"/>
            </w:rPr>
          </w:pPr>
          <w:r>
            <w:fldChar w:fldCharType="begin"/>
          </w:r>
          <w:r w:rsidR="00762B21">
            <w:instrText xml:space="preserve"> TOC \o "1-3" \h \z \u </w:instrText>
          </w:r>
          <w:r>
            <w:fldChar w:fldCharType="separate"/>
          </w:r>
          <w:hyperlink w:anchor="_Toc121128523" w:history="1">
            <w:r w:rsidR="00904A83" w:rsidRPr="00DA7B2F">
              <w:rPr>
                <w:rStyle w:val="Hiperesteka"/>
                <w:noProof/>
                <w:lang w:bidi="en-US"/>
              </w:rPr>
              <w:t>ÍNDICE</w:t>
            </w:r>
            <w:r w:rsidR="00904A83">
              <w:rPr>
                <w:noProof/>
                <w:webHidden/>
              </w:rPr>
              <w:tab/>
            </w:r>
            <w:r w:rsidR="00904A83">
              <w:rPr>
                <w:noProof/>
                <w:webHidden/>
              </w:rPr>
              <w:fldChar w:fldCharType="begin"/>
            </w:r>
            <w:r w:rsidR="00904A83">
              <w:rPr>
                <w:noProof/>
                <w:webHidden/>
              </w:rPr>
              <w:instrText xml:space="preserve"> PAGEREF _Toc121128523 \h </w:instrText>
            </w:r>
            <w:r w:rsidR="00904A83">
              <w:rPr>
                <w:noProof/>
                <w:webHidden/>
              </w:rPr>
            </w:r>
            <w:r w:rsidR="00904A83">
              <w:rPr>
                <w:noProof/>
                <w:webHidden/>
              </w:rPr>
              <w:fldChar w:fldCharType="separate"/>
            </w:r>
            <w:r w:rsidR="00904A83">
              <w:rPr>
                <w:noProof/>
                <w:webHidden/>
              </w:rPr>
              <w:t>1</w:t>
            </w:r>
            <w:r w:rsidR="00904A83">
              <w:rPr>
                <w:noProof/>
                <w:webHidden/>
              </w:rPr>
              <w:fldChar w:fldCharType="end"/>
            </w:r>
          </w:hyperlink>
        </w:p>
        <w:p w:rsidR="00904A83" w:rsidRDefault="00904A83">
          <w:pPr>
            <w:pStyle w:val="EA1"/>
            <w:rPr>
              <w:rFonts w:asciiTheme="minorHAnsi" w:eastAsiaTheme="minorEastAsia" w:hAnsiTheme="minorHAnsi" w:cstheme="minorBidi"/>
              <w:noProof/>
              <w:lang w:eastAsia="es-ES"/>
            </w:rPr>
          </w:pPr>
          <w:hyperlink w:anchor="_Toc121128524" w:history="1">
            <w:r w:rsidRPr="00DA7B2F">
              <w:rPr>
                <w:rStyle w:val="Hiperesteka"/>
                <w:noProof/>
              </w:rPr>
              <w:t>CAPÍTULO I. DISPOSICIONES GENERALES</w:t>
            </w:r>
            <w:r>
              <w:rPr>
                <w:noProof/>
                <w:webHidden/>
              </w:rPr>
              <w:tab/>
            </w:r>
            <w:r>
              <w:rPr>
                <w:noProof/>
                <w:webHidden/>
              </w:rPr>
              <w:fldChar w:fldCharType="begin"/>
            </w:r>
            <w:r>
              <w:rPr>
                <w:noProof/>
                <w:webHidden/>
              </w:rPr>
              <w:instrText xml:space="preserve"> PAGEREF _Toc121128524 \h </w:instrText>
            </w:r>
            <w:r>
              <w:rPr>
                <w:noProof/>
                <w:webHidden/>
              </w:rPr>
            </w:r>
            <w:r>
              <w:rPr>
                <w:noProof/>
                <w:webHidden/>
              </w:rPr>
              <w:fldChar w:fldCharType="separate"/>
            </w:r>
            <w:r>
              <w:rPr>
                <w:noProof/>
                <w:webHidden/>
              </w:rPr>
              <w:t>3</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25" w:history="1">
            <w:r w:rsidRPr="00DA7B2F">
              <w:rPr>
                <w:rStyle w:val="Hiperesteka"/>
                <w:b/>
                <w:bCs/>
                <w:noProof/>
              </w:rPr>
              <w:t>1</w:t>
            </w:r>
            <w:r>
              <w:rPr>
                <w:rFonts w:asciiTheme="minorHAnsi" w:eastAsiaTheme="minorEastAsia" w:hAnsiTheme="minorHAnsi" w:cstheme="minorBidi"/>
                <w:noProof/>
                <w:lang w:eastAsia="es-ES"/>
              </w:rPr>
              <w:tab/>
            </w:r>
            <w:r w:rsidRPr="00DA7B2F">
              <w:rPr>
                <w:rStyle w:val="Hiperesteka"/>
                <w:b/>
                <w:noProof/>
              </w:rPr>
              <w:t>OBJETO DE LAS BASES REGULADORAS</w:t>
            </w:r>
            <w:r>
              <w:rPr>
                <w:noProof/>
                <w:webHidden/>
              </w:rPr>
              <w:tab/>
            </w:r>
            <w:r>
              <w:rPr>
                <w:noProof/>
                <w:webHidden/>
              </w:rPr>
              <w:fldChar w:fldCharType="begin"/>
            </w:r>
            <w:r>
              <w:rPr>
                <w:noProof/>
                <w:webHidden/>
              </w:rPr>
              <w:instrText xml:space="preserve"> PAGEREF _Toc121128525 \h </w:instrText>
            </w:r>
            <w:r>
              <w:rPr>
                <w:noProof/>
                <w:webHidden/>
              </w:rPr>
            </w:r>
            <w:r>
              <w:rPr>
                <w:noProof/>
                <w:webHidden/>
              </w:rPr>
              <w:fldChar w:fldCharType="separate"/>
            </w:r>
            <w:r>
              <w:rPr>
                <w:noProof/>
                <w:webHidden/>
              </w:rPr>
              <w:t>3</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26" w:history="1">
            <w:r w:rsidRPr="00DA7B2F">
              <w:rPr>
                <w:rStyle w:val="Hiperesteka"/>
                <w:b/>
                <w:bCs/>
                <w:noProof/>
              </w:rPr>
              <w:t>2</w:t>
            </w:r>
            <w:r>
              <w:rPr>
                <w:rFonts w:asciiTheme="minorHAnsi" w:eastAsiaTheme="minorEastAsia" w:hAnsiTheme="minorHAnsi" w:cstheme="minorBidi"/>
                <w:noProof/>
                <w:lang w:eastAsia="es-ES"/>
              </w:rPr>
              <w:tab/>
            </w:r>
            <w:r w:rsidRPr="00DA7B2F">
              <w:rPr>
                <w:rStyle w:val="Hiperesteka"/>
                <w:b/>
                <w:noProof/>
              </w:rPr>
              <w:t>NORMATIVA REGULADORA</w:t>
            </w:r>
            <w:r>
              <w:rPr>
                <w:noProof/>
                <w:webHidden/>
              </w:rPr>
              <w:tab/>
            </w:r>
            <w:r>
              <w:rPr>
                <w:noProof/>
                <w:webHidden/>
              </w:rPr>
              <w:fldChar w:fldCharType="begin"/>
            </w:r>
            <w:r>
              <w:rPr>
                <w:noProof/>
                <w:webHidden/>
              </w:rPr>
              <w:instrText xml:space="preserve"> PAGEREF _Toc121128526 \h </w:instrText>
            </w:r>
            <w:r>
              <w:rPr>
                <w:noProof/>
                <w:webHidden/>
              </w:rPr>
            </w:r>
            <w:r>
              <w:rPr>
                <w:noProof/>
                <w:webHidden/>
              </w:rPr>
              <w:fldChar w:fldCharType="separate"/>
            </w:r>
            <w:r>
              <w:rPr>
                <w:noProof/>
                <w:webHidden/>
              </w:rPr>
              <w:t>3</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27" w:history="1">
            <w:r w:rsidRPr="00DA7B2F">
              <w:rPr>
                <w:rStyle w:val="Hiperesteka"/>
                <w:b/>
                <w:bCs/>
                <w:noProof/>
              </w:rPr>
              <w:t>3</w:t>
            </w:r>
            <w:r>
              <w:rPr>
                <w:rFonts w:asciiTheme="minorHAnsi" w:eastAsiaTheme="minorEastAsia" w:hAnsiTheme="minorHAnsi" w:cstheme="minorBidi"/>
                <w:noProof/>
                <w:lang w:eastAsia="es-ES"/>
              </w:rPr>
              <w:tab/>
            </w:r>
            <w:r w:rsidRPr="00DA7B2F">
              <w:rPr>
                <w:rStyle w:val="Hiperesteka"/>
                <w:b/>
                <w:noProof/>
              </w:rPr>
              <w:t>ÁMBITO Y APLICACIÓN DE LAS BASES REGULADORAS</w:t>
            </w:r>
            <w:r>
              <w:rPr>
                <w:noProof/>
                <w:webHidden/>
              </w:rPr>
              <w:tab/>
            </w:r>
            <w:r>
              <w:rPr>
                <w:noProof/>
                <w:webHidden/>
              </w:rPr>
              <w:fldChar w:fldCharType="begin"/>
            </w:r>
            <w:r>
              <w:rPr>
                <w:noProof/>
                <w:webHidden/>
              </w:rPr>
              <w:instrText xml:space="preserve"> PAGEREF _Toc121128527 \h </w:instrText>
            </w:r>
            <w:r>
              <w:rPr>
                <w:noProof/>
                <w:webHidden/>
              </w:rPr>
            </w:r>
            <w:r>
              <w:rPr>
                <w:noProof/>
                <w:webHidden/>
              </w:rPr>
              <w:fldChar w:fldCharType="separate"/>
            </w:r>
            <w:r>
              <w:rPr>
                <w:noProof/>
                <w:webHidden/>
              </w:rPr>
              <w:t>4</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28" w:history="1">
            <w:r w:rsidRPr="00DA7B2F">
              <w:rPr>
                <w:rStyle w:val="Hiperesteka"/>
                <w:b/>
                <w:bCs/>
                <w:noProof/>
              </w:rPr>
              <w:t>4</w:t>
            </w:r>
            <w:r>
              <w:rPr>
                <w:rFonts w:asciiTheme="minorHAnsi" w:eastAsiaTheme="minorEastAsia" w:hAnsiTheme="minorHAnsi" w:cstheme="minorBidi"/>
                <w:noProof/>
                <w:lang w:eastAsia="es-ES"/>
              </w:rPr>
              <w:tab/>
            </w:r>
            <w:r w:rsidRPr="00DA7B2F">
              <w:rPr>
                <w:rStyle w:val="Hiperesteka"/>
                <w:b/>
                <w:noProof/>
              </w:rPr>
              <w:t>ACTUACIONES QUE SE DEBEN CONSIDERAR EN LA REHABILITACIÓN ENERGÉTICA EFICIENTE</w:t>
            </w:r>
            <w:r>
              <w:rPr>
                <w:noProof/>
                <w:webHidden/>
              </w:rPr>
              <w:tab/>
            </w:r>
            <w:r>
              <w:rPr>
                <w:noProof/>
                <w:webHidden/>
              </w:rPr>
              <w:fldChar w:fldCharType="begin"/>
            </w:r>
            <w:r>
              <w:rPr>
                <w:noProof/>
                <w:webHidden/>
              </w:rPr>
              <w:instrText xml:space="preserve"> PAGEREF _Toc121128528 \h </w:instrText>
            </w:r>
            <w:r>
              <w:rPr>
                <w:noProof/>
                <w:webHidden/>
              </w:rPr>
            </w:r>
            <w:r>
              <w:rPr>
                <w:noProof/>
                <w:webHidden/>
              </w:rPr>
              <w:fldChar w:fldCharType="separate"/>
            </w:r>
            <w:r>
              <w:rPr>
                <w:noProof/>
                <w:webHidden/>
              </w:rPr>
              <w:t>5</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29" w:history="1">
            <w:r w:rsidRPr="00DA7B2F">
              <w:rPr>
                <w:rStyle w:val="Hiperesteka"/>
                <w:b/>
                <w:bCs/>
                <w:noProof/>
              </w:rPr>
              <w:t>5</w:t>
            </w:r>
            <w:r>
              <w:rPr>
                <w:rFonts w:asciiTheme="minorHAnsi" w:eastAsiaTheme="minorEastAsia" w:hAnsiTheme="minorHAnsi" w:cstheme="minorBidi"/>
                <w:noProof/>
                <w:lang w:eastAsia="es-ES"/>
              </w:rPr>
              <w:tab/>
            </w:r>
            <w:r w:rsidRPr="00DA7B2F">
              <w:rPr>
                <w:rStyle w:val="Hiperesteka"/>
                <w:b/>
                <w:bCs/>
                <w:noProof/>
              </w:rPr>
              <w:t>FINANCIACIÓN, CRÉDITOS PRESUPUESTARIOS Y CUANTÍA TOTAL MÁXIMA DE LAS SUBVENCIONES DE ESTAS BASES</w:t>
            </w:r>
            <w:r>
              <w:rPr>
                <w:noProof/>
                <w:webHidden/>
              </w:rPr>
              <w:tab/>
            </w:r>
            <w:r>
              <w:rPr>
                <w:noProof/>
                <w:webHidden/>
              </w:rPr>
              <w:fldChar w:fldCharType="begin"/>
            </w:r>
            <w:r>
              <w:rPr>
                <w:noProof/>
                <w:webHidden/>
              </w:rPr>
              <w:instrText xml:space="preserve"> PAGEREF _Toc121128529 \h </w:instrText>
            </w:r>
            <w:r>
              <w:rPr>
                <w:noProof/>
                <w:webHidden/>
              </w:rPr>
            </w:r>
            <w:r>
              <w:rPr>
                <w:noProof/>
                <w:webHidden/>
              </w:rPr>
              <w:fldChar w:fldCharType="separate"/>
            </w:r>
            <w:r>
              <w:rPr>
                <w:noProof/>
                <w:webHidden/>
              </w:rPr>
              <w:t>7</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30" w:history="1">
            <w:r w:rsidRPr="00DA7B2F">
              <w:rPr>
                <w:rStyle w:val="Hiperesteka"/>
                <w:b/>
                <w:bCs/>
                <w:noProof/>
              </w:rPr>
              <w:t>6</w:t>
            </w:r>
            <w:r>
              <w:rPr>
                <w:rFonts w:asciiTheme="minorHAnsi" w:eastAsiaTheme="minorEastAsia" w:hAnsiTheme="minorHAnsi" w:cstheme="minorBidi"/>
                <w:noProof/>
                <w:lang w:eastAsia="es-ES"/>
              </w:rPr>
              <w:tab/>
            </w:r>
            <w:r w:rsidRPr="00DA7B2F">
              <w:rPr>
                <w:rStyle w:val="Hiperesteka"/>
                <w:b/>
                <w:noProof/>
              </w:rPr>
              <w:t>RÉGIMEN DE CONCESIÓN</w:t>
            </w:r>
            <w:r>
              <w:rPr>
                <w:noProof/>
                <w:webHidden/>
              </w:rPr>
              <w:tab/>
            </w:r>
            <w:r>
              <w:rPr>
                <w:noProof/>
                <w:webHidden/>
              </w:rPr>
              <w:fldChar w:fldCharType="begin"/>
            </w:r>
            <w:r>
              <w:rPr>
                <w:noProof/>
                <w:webHidden/>
              </w:rPr>
              <w:instrText xml:space="preserve"> PAGEREF _Toc121128530 \h </w:instrText>
            </w:r>
            <w:r>
              <w:rPr>
                <w:noProof/>
                <w:webHidden/>
              </w:rPr>
            </w:r>
            <w:r>
              <w:rPr>
                <w:noProof/>
                <w:webHidden/>
              </w:rPr>
              <w:fldChar w:fldCharType="separate"/>
            </w:r>
            <w:r>
              <w:rPr>
                <w:noProof/>
                <w:webHidden/>
              </w:rPr>
              <w:t>8</w:t>
            </w:r>
            <w:r>
              <w:rPr>
                <w:noProof/>
                <w:webHidden/>
              </w:rPr>
              <w:fldChar w:fldCharType="end"/>
            </w:r>
          </w:hyperlink>
        </w:p>
        <w:p w:rsidR="00904A83" w:rsidRDefault="00904A83">
          <w:pPr>
            <w:pStyle w:val="EA1"/>
            <w:rPr>
              <w:rFonts w:asciiTheme="minorHAnsi" w:eastAsiaTheme="minorEastAsia" w:hAnsiTheme="minorHAnsi" w:cstheme="minorBidi"/>
              <w:noProof/>
              <w:lang w:eastAsia="es-ES"/>
            </w:rPr>
          </w:pPr>
          <w:hyperlink w:anchor="_Toc121128531" w:history="1">
            <w:r w:rsidRPr="00DA7B2F">
              <w:rPr>
                <w:rStyle w:val="Hiperesteka"/>
                <w:rFonts w:cs="Times New Roman"/>
                <w:noProof/>
              </w:rPr>
              <w:t>CAPÍTULO II. REQUISITOS DE PERSONAS BENEFICIARIAS, OTROS ENTES INTERVINIENTES Y EDIFICIOS</w:t>
            </w:r>
            <w:r>
              <w:rPr>
                <w:noProof/>
                <w:webHidden/>
              </w:rPr>
              <w:tab/>
            </w:r>
            <w:r>
              <w:rPr>
                <w:noProof/>
                <w:webHidden/>
              </w:rPr>
              <w:fldChar w:fldCharType="begin"/>
            </w:r>
            <w:r>
              <w:rPr>
                <w:noProof/>
                <w:webHidden/>
              </w:rPr>
              <w:instrText xml:space="preserve"> PAGEREF _Toc121128531 \h </w:instrText>
            </w:r>
            <w:r>
              <w:rPr>
                <w:noProof/>
                <w:webHidden/>
              </w:rPr>
            </w:r>
            <w:r>
              <w:rPr>
                <w:noProof/>
                <w:webHidden/>
              </w:rPr>
              <w:fldChar w:fldCharType="separate"/>
            </w:r>
            <w:r>
              <w:rPr>
                <w:noProof/>
                <w:webHidden/>
              </w:rPr>
              <w:t>9</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32" w:history="1">
            <w:r w:rsidRPr="00DA7B2F">
              <w:rPr>
                <w:rStyle w:val="Hiperesteka"/>
                <w:b/>
                <w:bCs/>
                <w:noProof/>
              </w:rPr>
              <w:t>7</w:t>
            </w:r>
            <w:r>
              <w:rPr>
                <w:rFonts w:asciiTheme="minorHAnsi" w:eastAsiaTheme="minorEastAsia" w:hAnsiTheme="minorHAnsi" w:cstheme="minorBidi"/>
                <w:noProof/>
                <w:lang w:eastAsia="es-ES"/>
              </w:rPr>
              <w:tab/>
            </w:r>
            <w:r w:rsidRPr="00DA7B2F">
              <w:rPr>
                <w:rStyle w:val="Hiperesteka"/>
                <w:b/>
                <w:noProof/>
              </w:rPr>
              <w:t>DESTINATARIOS ÚLTIMOS DE LAS AYUDAS. CUMPLIMIENTO LÍMITES DE AYUDAS DE ESTADO</w:t>
            </w:r>
            <w:r>
              <w:rPr>
                <w:noProof/>
                <w:webHidden/>
              </w:rPr>
              <w:tab/>
            </w:r>
            <w:r>
              <w:rPr>
                <w:noProof/>
                <w:webHidden/>
              </w:rPr>
              <w:fldChar w:fldCharType="begin"/>
            </w:r>
            <w:r>
              <w:rPr>
                <w:noProof/>
                <w:webHidden/>
              </w:rPr>
              <w:instrText xml:space="preserve"> PAGEREF _Toc121128532 \h </w:instrText>
            </w:r>
            <w:r>
              <w:rPr>
                <w:noProof/>
                <w:webHidden/>
              </w:rPr>
            </w:r>
            <w:r>
              <w:rPr>
                <w:noProof/>
                <w:webHidden/>
              </w:rPr>
              <w:fldChar w:fldCharType="separate"/>
            </w:r>
            <w:r>
              <w:rPr>
                <w:noProof/>
                <w:webHidden/>
              </w:rPr>
              <w:t>9</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33" w:history="1">
            <w:r w:rsidRPr="00DA7B2F">
              <w:rPr>
                <w:rStyle w:val="Hiperesteka"/>
                <w:b/>
                <w:bCs/>
                <w:noProof/>
              </w:rPr>
              <w:t>8</w:t>
            </w:r>
            <w:r>
              <w:rPr>
                <w:rFonts w:asciiTheme="minorHAnsi" w:eastAsiaTheme="minorEastAsia" w:hAnsiTheme="minorHAnsi" w:cstheme="minorBidi"/>
                <w:noProof/>
                <w:lang w:eastAsia="es-ES"/>
              </w:rPr>
              <w:tab/>
            </w:r>
            <w:r w:rsidRPr="00DA7B2F">
              <w:rPr>
                <w:rStyle w:val="Hiperesteka"/>
                <w:b/>
                <w:noProof/>
              </w:rPr>
              <w:t>OBLIGACIONES DE LAS PERSONAS DESTINATARIAS ÚLTIMAS DE LA AYUDAS</w:t>
            </w:r>
            <w:r>
              <w:rPr>
                <w:noProof/>
                <w:webHidden/>
              </w:rPr>
              <w:tab/>
            </w:r>
            <w:r>
              <w:rPr>
                <w:noProof/>
                <w:webHidden/>
              </w:rPr>
              <w:fldChar w:fldCharType="begin"/>
            </w:r>
            <w:r>
              <w:rPr>
                <w:noProof/>
                <w:webHidden/>
              </w:rPr>
              <w:instrText xml:space="preserve"> PAGEREF _Toc121128533 \h </w:instrText>
            </w:r>
            <w:r>
              <w:rPr>
                <w:noProof/>
                <w:webHidden/>
              </w:rPr>
            </w:r>
            <w:r>
              <w:rPr>
                <w:noProof/>
                <w:webHidden/>
              </w:rPr>
              <w:fldChar w:fldCharType="separate"/>
            </w:r>
            <w:r>
              <w:rPr>
                <w:noProof/>
                <w:webHidden/>
              </w:rPr>
              <w:t>11</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34" w:history="1">
            <w:r w:rsidRPr="00DA7B2F">
              <w:rPr>
                <w:rStyle w:val="Hiperesteka"/>
                <w:b/>
                <w:bCs/>
                <w:noProof/>
              </w:rPr>
              <w:t>9</w:t>
            </w:r>
            <w:r>
              <w:rPr>
                <w:rFonts w:asciiTheme="minorHAnsi" w:eastAsiaTheme="minorEastAsia" w:hAnsiTheme="minorHAnsi" w:cstheme="minorBidi"/>
                <w:noProof/>
                <w:lang w:eastAsia="es-ES"/>
              </w:rPr>
              <w:tab/>
            </w:r>
            <w:r w:rsidRPr="00DA7B2F">
              <w:rPr>
                <w:rStyle w:val="Hiperesteka"/>
                <w:b/>
                <w:noProof/>
              </w:rPr>
              <w:t>OTROS ENTES INTERVINIENTES</w:t>
            </w:r>
            <w:r>
              <w:rPr>
                <w:noProof/>
                <w:webHidden/>
              </w:rPr>
              <w:tab/>
            </w:r>
            <w:r>
              <w:rPr>
                <w:noProof/>
                <w:webHidden/>
              </w:rPr>
              <w:fldChar w:fldCharType="begin"/>
            </w:r>
            <w:r>
              <w:rPr>
                <w:noProof/>
                <w:webHidden/>
              </w:rPr>
              <w:instrText xml:space="preserve"> PAGEREF _Toc121128534 \h </w:instrText>
            </w:r>
            <w:r>
              <w:rPr>
                <w:noProof/>
                <w:webHidden/>
              </w:rPr>
            </w:r>
            <w:r>
              <w:rPr>
                <w:noProof/>
                <w:webHidden/>
              </w:rPr>
              <w:fldChar w:fldCharType="separate"/>
            </w:r>
            <w:r>
              <w:rPr>
                <w:noProof/>
                <w:webHidden/>
              </w:rPr>
              <w:t>14</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35" w:history="1">
            <w:r w:rsidRPr="00DA7B2F">
              <w:rPr>
                <w:rStyle w:val="Hiperesteka"/>
                <w:b/>
                <w:bCs/>
                <w:noProof/>
              </w:rPr>
              <w:t>10</w:t>
            </w:r>
            <w:r>
              <w:rPr>
                <w:rFonts w:asciiTheme="minorHAnsi" w:eastAsiaTheme="minorEastAsia" w:hAnsiTheme="minorHAnsi" w:cstheme="minorBidi"/>
                <w:noProof/>
                <w:lang w:eastAsia="es-ES"/>
              </w:rPr>
              <w:tab/>
            </w:r>
            <w:r w:rsidRPr="00DA7B2F">
              <w:rPr>
                <w:rStyle w:val="Hiperesteka"/>
                <w:b/>
                <w:noProof/>
              </w:rPr>
              <w:t>OBLIGACIONES DE LOS OTROS ENTES INTERVINIENTES</w:t>
            </w:r>
            <w:r>
              <w:rPr>
                <w:noProof/>
                <w:webHidden/>
              </w:rPr>
              <w:tab/>
            </w:r>
            <w:r>
              <w:rPr>
                <w:noProof/>
                <w:webHidden/>
              </w:rPr>
              <w:fldChar w:fldCharType="begin"/>
            </w:r>
            <w:r>
              <w:rPr>
                <w:noProof/>
                <w:webHidden/>
              </w:rPr>
              <w:instrText xml:space="preserve"> PAGEREF _Toc121128535 \h </w:instrText>
            </w:r>
            <w:r>
              <w:rPr>
                <w:noProof/>
                <w:webHidden/>
              </w:rPr>
            </w:r>
            <w:r>
              <w:rPr>
                <w:noProof/>
                <w:webHidden/>
              </w:rPr>
              <w:fldChar w:fldCharType="separate"/>
            </w:r>
            <w:r>
              <w:rPr>
                <w:noProof/>
                <w:webHidden/>
              </w:rPr>
              <w:t>14</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36" w:history="1">
            <w:r w:rsidRPr="00DA7B2F">
              <w:rPr>
                <w:rStyle w:val="Hiperesteka"/>
                <w:b/>
                <w:bCs/>
                <w:noProof/>
              </w:rPr>
              <w:t>11</w:t>
            </w:r>
            <w:r>
              <w:rPr>
                <w:rFonts w:asciiTheme="minorHAnsi" w:eastAsiaTheme="minorEastAsia" w:hAnsiTheme="minorHAnsi" w:cstheme="minorBidi"/>
                <w:noProof/>
                <w:lang w:eastAsia="es-ES"/>
              </w:rPr>
              <w:tab/>
            </w:r>
            <w:r w:rsidRPr="00DA7B2F">
              <w:rPr>
                <w:rStyle w:val="Hiperesteka"/>
                <w:b/>
                <w:noProof/>
              </w:rPr>
              <w:t>REQUISITOS DE LOS EDIFICIOS OBJETO DE REHABILITACIÓN</w:t>
            </w:r>
            <w:r>
              <w:rPr>
                <w:noProof/>
                <w:webHidden/>
              </w:rPr>
              <w:tab/>
            </w:r>
            <w:r>
              <w:rPr>
                <w:noProof/>
                <w:webHidden/>
              </w:rPr>
              <w:fldChar w:fldCharType="begin"/>
            </w:r>
            <w:r>
              <w:rPr>
                <w:noProof/>
                <w:webHidden/>
              </w:rPr>
              <w:instrText xml:space="preserve"> PAGEREF _Toc121128536 \h </w:instrText>
            </w:r>
            <w:r>
              <w:rPr>
                <w:noProof/>
                <w:webHidden/>
              </w:rPr>
            </w:r>
            <w:r>
              <w:rPr>
                <w:noProof/>
                <w:webHidden/>
              </w:rPr>
              <w:fldChar w:fldCharType="separate"/>
            </w:r>
            <w:r>
              <w:rPr>
                <w:noProof/>
                <w:webHidden/>
              </w:rPr>
              <w:t>15</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37" w:history="1">
            <w:r w:rsidRPr="00DA7B2F">
              <w:rPr>
                <w:rStyle w:val="Hiperesteka"/>
                <w:b/>
                <w:bCs/>
                <w:noProof/>
              </w:rPr>
              <w:t>12</w:t>
            </w:r>
            <w:r>
              <w:rPr>
                <w:rFonts w:asciiTheme="minorHAnsi" w:eastAsiaTheme="minorEastAsia" w:hAnsiTheme="minorHAnsi" w:cstheme="minorBidi"/>
                <w:noProof/>
                <w:lang w:eastAsia="es-ES"/>
              </w:rPr>
              <w:tab/>
            </w:r>
            <w:r w:rsidRPr="00DA7B2F">
              <w:rPr>
                <w:rStyle w:val="Hiperesteka"/>
                <w:b/>
                <w:noProof/>
              </w:rPr>
              <w:t>REQUISITOS RELATIVOS A LA COMUNICACIÓN Y PUBLICIDAD</w:t>
            </w:r>
            <w:r>
              <w:rPr>
                <w:noProof/>
                <w:webHidden/>
              </w:rPr>
              <w:tab/>
            </w:r>
            <w:r>
              <w:rPr>
                <w:noProof/>
                <w:webHidden/>
              </w:rPr>
              <w:fldChar w:fldCharType="begin"/>
            </w:r>
            <w:r>
              <w:rPr>
                <w:noProof/>
                <w:webHidden/>
              </w:rPr>
              <w:instrText xml:space="preserve"> PAGEREF _Toc121128537 \h </w:instrText>
            </w:r>
            <w:r>
              <w:rPr>
                <w:noProof/>
                <w:webHidden/>
              </w:rPr>
            </w:r>
            <w:r>
              <w:rPr>
                <w:noProof/>
                <w:webHidden/>
              </w:rPr>
              <w:fldChar w:fldCharType="separate"/>
            </w:r>
            <w:r>
              <w:rPr>
                <w:noProof/>
                <w:webHidden/>
              </w:rPr>
              <w:t>17</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38" w:history="1">
            <w:r w:rsidRPr="00DA7B2F">
              <w:rPr>
                <w:rStyle w:val="Hiperesteka"/>
                <w:b/>
                <w:bCs/>
                <w:noProof/>
              </w:rPr>
              <w:t>13</w:t>
            </w:r>
            <w:r>
              <w:rPr>
                <w:rFonts w:asciiTheme="minorHAnsi" w:eastAsiaTheme="minorEastAsia" w:hAnsiTheme="minorHAnsi" w:cstheme="minorBidi"/>
                <w:noProof/>
                <w:lang w:eastAsia="es-ES"/>
              </w:rPr>
              <w:tab/>
            </w:r>
            <w:r w:rsidRPr="00DA7B2F">
              <w:rPr>
                <w:rStyle w:val="Hiperesteka"/>
                <w:b/>
                <w:noProof/>
              </w:rPr>
              <w:t>COMISIONES GESTORAS. REQUISITOS DE ADJUDICACIÓN DE LOS TRABAJOS</w:t>
            </w:r>
            <w:r>
              <w:rPr>
                <w:noProof/>
                <w:webHidden/>
              </w:rPr>
              <w:tab/>
            </w:r>
            <w:r>
              <w:rPr>
                <w:noProof/>
                <w:webHidden/>
              </w:rPr>
              <w:fldChar w:fldCharType="begin"/>
            </w:r>
            <w:r>
              <w:rPr>
                <w:noProof/>
                <w:webHidden/>
              </w:rPr>
              <w:instrText xml:space="preserve"> PAGEREF _Toc121128538 \h </w:instrText>
            </w:r>
            <w:r>
              <w:rPr>
                <w:noProof/>
                <w:webHidden/>
              </w:rPr>
            </w:r>
            <w:r>
              <w:rPr>
                <w:noProof/>
                <w:webHidden/>
              </w:rPr>
              <w:fldChar w:fldCharType="separate"/>
            </w:r>
            <w:r>
              <w:rPr>
                <w:noProof/>
                <w:webHidden/>
              </w:rPr>
              <w:t>18</w:t>
            </w:r>
            <w:r>
              <w:rPr>
                <w:noProof/>
                <w:webHidden/>
              </w:rPr>
              <w:fldChar w:fldCharType="end"/>
            </w:r>
          </w:hyperlink>
        </w:p>
        <w:p w:rsidR="00904A83" w:rsidRDefault="00904A83">
          <w:pPr>
            <w:pStyle w:val="EA1"/>
            <w:rPr>
              <w:rFonts w:asciiTheme="minorHAnsi" w:eastAsiaTheme="minorEastAsia" w:hAnsiTheme="minorHAnsi" w:cstheme="minorBidi"/>
              <w:noProof/>
              <w:lang w:eastAsia="es-ES"/>
            </w:rPr>
          </w:pPr>
          <w:hyperlink w:anchor="_Toc121128539" w:history="1">
            <w:r w:rsidRPr="00DA7B2F">
              <w:rPr>
                <w:rStyle w:val="Hiperesteka"/>
                <w:noProof/>
              </w:rPr>
              <w:t>CAPÍTULO III.  SUBVENCIONES CONVOCADAS DESDE ESTAS BASES</w:t>
            </w:r>
            <w:r>
              <w:rPr>
                <w:noProof/>
                <w:webHidden/>
              </w:rPr>
              <w:tab/>
            </w:r>
            <w:r>
              <w:rPr>
                <w:noProof/>
                <w:webHidden/>
              </w:rPr>
              <w:fldChar w:fldCharType="begin"/>
            </w:r>
            <w:r>
              <w:rPr>
                <w:noProof/>
                <w:webHidden/>
              </w:rPr>
              <w:instrText xml:space="preserve"> PAGEREF _Toc121128539 \h </w:instrText>
            </w:r>
            <w:r>
              <w:rPr>
                <w:noProof/>
                <w:webHidden/>
              </w:rPr>
            </w:r>
            <w:r>
              <w:rPr>
                <w:noProof/>
                <w:webHidden/>
              </w:rPr>
              <w:fldChar w:fldCharType="separate"/>
            </w:r>
            <w:r>
              <w:rPr>
                <w:noProof/>
                <w:webHidden/>
              </w:rPr>
              <w:t>20</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40" w:history="1">
            <w:r w:rsidRPr="00DA7B2F">
              <w:rPr>
                <w:rStyle w:val="Hiperesteka"/>
                <w:b/>
                <w:bCs/>
                <w:noProof/>
              </w:rPr>
              <w:t>14</w:t>
            </w:r>
            <w:r>
              <w:rPr>
                <w:rFonts w:asciiTheme="minorHAnsi" w:eastAsiaTheme="minorEastAsia" w:hAnsiTheme="minorHAnsi" w:cstheme="minorBidi"/>
                <w:noProof/>
                <w:lang w:eastAsia="es-ES"/>
              </w:rPr>
              <w:tab/>
            </w:r>
            <w:r w:rsidRPr="00DA7B2F">
              <w:rPr>
                <w:rStyle w:val="Hiperesteka"/>
                <w:b/>
                <w:bCs/>
                <w:noProof/>
              </w:rPr>
              <w:t>PROCEDENCIA DE LAS SUBVENCIONES CONVOCADAS</w:t>
            </w:r>
            <w:r>
              <w:rPr>
                <w:noProof/>
                <w:webHidden/>
              </w:rPr>
              <w:tab/>
            </w:r>
            <w:r>
              <w:rPr>
                <w:noProof/>
                <w:webHidden/>
              </w:rPr>
              <w:fldChar w:fldCharType="begin"/>
            </w:r>
            <w:r>
              <w:rPr>
                <w:noProof/>
                <w:webHidden/>
              </w:rPr>
              <w:instrText xml:space="preserve"> PAGEREF _Toc121128540 \h </w:instrText>
            </w:r>
            <w:r>
              <w:rPr>
                <w:noProof/>
                <w:webHidden/>
              </w:rPr>
            </w:r>
            <w:r>
              <w:rPr>
                <w:noProof/>
                <w:webHidden/>
              </w:rPr>
              <w:fldChar w:fldCharType="separate"/>
            </w:r>
            <w:r>
              <w:rPr>
                <w:noProof/>
                <w:webHidden/>
              </w:rPr>
              <w:t>20</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41" w:history="1">
            <w:r w:rsidRPr="00DA7B2F">
              <w:rPr>
                <w:rStyle w:val="Hiperesteka"/>
                <w:b/>
                <w:bCs/>
                <w:noProof/>
              </w:rPr>
              <w:t>15</w:t>
            </w:r>
            <w:r>
              <w:rPr>
                <w:rFonts w:asciiTheme="minorHAnsi" w:eastAsiaTheme="minorEastAsia" w:hAnsiTheme="minorHAnsi" w:cstheme="minorBidi"/>
                <w:noProof/>
                <w:lang w:eastAsia="es-ES"/>
              </w:rPr>
              <w:tab/>
            </w:r>
            <w:r w:rsidRPr="00DA7B2F">
              <w:rPr>
                <w:rStyle w:val="Hiperesteka"/>
                <w:b/>
                <w:noProof/>
              </w:rPr>
              <w:t>CONSIDERACIONES GENERALES</w:t>
            </w:r>
            <w:r>
              <w:rPr>
                <w:noProof/>
                <w:webHidden/>
              </w:rPr>
              <w:tab/>
            </w:r>
            <w:r>
              <w:rPr>
                <w:noProof/>
                <w:webHidden/>
              </w:rPr>
              <w:fldChar w:fldCharType="begin"/>
            </w:r>
            <w:r>
              <w:rPr>
                <w:noProof/>
                <w:webHidden/>
              </w:rPr>
              <w:instrText xml:space="preserve"> PAGEREF _Toc121128541 \h </w:instrText>
            </w:r>
            <w:r>
              <w:rPr>
                <w:noProof/>
                <w:webHidden/>
              </w:rPr>
            </w:r>
            <w:r>
              <w:rPr>
                <w:noProof/>
                <w:webHidden/>
              </w:rPr>
              <w:fldChar w:fldCharType="separate"/>
            </w:r>
            <w:r>
              <w:rPr>
                <w:noProof/>
                <w:webHidden/>
              </w:rPr>
              <w:t>20</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42" w:history="1">
            <w:r w:rsidRPr="00DA7B2F">
              <w:rPr>
                <w:rStyle w:val="Hiperesteka"/>
                <w:b/>
                <w:bCs/>
                <w:noProof/>
              </w:rPr>
              <w:t>16</w:t>
            </w:r>
            <w:r>
              <w:rPr>
                <w:rFonts w:asciiTheme="minorHAnsi" w:eastAsiaTheme="minorEastAsia" w:hAnsiTheme="minorHAnsi" w:cstheme="minorBidi"/>
                <w:noProof/>
                <w:lang w:eastAsia="es-ES"/>
              </w:rPr>
              <w:tab/>
            </w:r>
            <w:r w:rsidRPr="00DA7B2F">
              <w:rPr>
                <w:rStyle w:val="Hiperesteka"/>
                <w:b/>
                <w:bCs/>
                <w:noProof/>
              </w:rPr>
              <w:t>AYUDAS ADICIONALES PARA PERSONAS FÍSICAS O UNIDADES DE CONVIVENCIA EN SITUACIÓN DE VULNERABILIDAD ECONÓMICA</w:t>
            </w:r>
            <w:r>
              <w:rPr>
                <w:noProof/>
                <w:webHidden/>
              </w:rPr>
              <w:tab/>
            </w:r>
            <w:r>
              <w:rPr>
                <w:noProof/>
                <w:webHidden/>
              </w:rPr>
              <w:fldChar w:fldCharType="begin"/>
            </w:r>
            <w:r>
              <w:rPr>
                <w:noProof/>
                <w:webHidden/>
              </w:rPr>
              <w:instrText xml:space="preserve"> PAGEREF _Toc121128542 \h </w:instrText>
            </w:r>
            <w:r>
              <w:rPr>
                <w:noProof/>
                <w:webHidden/>
              </w:rPr>
            </w:r>
            <w:r>
              <w:rPr>
                <w:noProof/>
                <w:webHidden/>
              </w:rPr>
              <w:fldChar w:fldCharType="separate"/>
            </w:r>
            <w:r>
              <w:rPr>
                <w:noProof/>
                <w:webHidden/>
              </w:rPr>
              <w:t>21</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43" w:history="1">
            <w:r w:rsidRPr="00DA7B2F">
              <w:rPr>
                <w:rStyle w:val="Hiperesteka"/>
                <w:b/>
                <w:bCs/>
                <w:noProof/>
              </w:rPr>
              <w:t>17</w:t>
            </w:r>
            <w:r>
              <w:rPr>
                <w:rFonts w:asciiTheme="minorHAnsi" w:eastAsiaTheme="minorEastAsia" w:hAnsiTheme="minorHAnsi" w:cstheme="minorBidi"/>
                <w:noProof/>
                <w:lang w:eastAsia="es-ES"/>
              </w:rPr>
              <w:tab/>
            </w:r>
            <w:r w:rsidRPr="00DA7B2F">
              <w:rPr>
                <w:rStyle w:val="Hiperesteka"/>
                <w:b/>
                <w:bCs/>
                <w:noProof/>
              </w:rPr>
              <w:t>AYUDAS A COMUNIDADES DE PROPIETARIOS EN LAS ACTUACIONES DESTINADAS A LA REDUCCIÓN DEL CONSUMO DE ENERGÍA PRIMARIA NO RENOVABLE DEL EDIFICIO</w:t>
            </w:r>
            <w:r>
              <w:rPr>
                <w:noProof/>
                <w:webHidden/>
              </w:rPr>
              <w:tab/>
            </w:r>
            <w:r>
              <w:rPr>
                <w:noProof/>
                <w:webHidden/>
              </w:rPr>
              <w:fldChar w:fldCharType="begin"/>
            </w:r>
            <w:r>
              <w:rPr>
                <w:noProof/>
                <w:webHidden/>
              </w:rPr>
              <w:instrText xml:space="preserve"> PAGEREF _Toc121128543 \h </w:instrText>
            </w:r>
            <w:r>
              <w:rPr>
                <w:noProof/>
                <w:webHidden/>
              </w:rPr>
            </w:r>
            <w:r>
              <w:rPr>
                <w:noProof/>
                <w:webHidden/>
              </w:rPr>
              <w:fldChar w:fldCharType="separate"/>
            </w:r>
            <w:r>
              <w:rPr>
                <w:noProof/>
                <w:webHidden/>
              </w:rPr>
              <w:t>23</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44" w:history="1">
            <w:r w:rsidRPr="00DA7B2F">
              <w:rPr>
                <w:rStyle w:val="Hiperesteka"/>
                <w:b/>
                <w:bCs/>
                <w:noProof/>
              </w:rPr>
              <w:t>18</w:t>
            </w:r>
            <w:r>
              <w:rPr>
                <w:rFonts w:asciiTheme="minorHAnsi" w:eastAsiaTheme="minorEastAsia" w:hAnsiTheme="minorHAnsi" w:cstheme="minorBidi"/>
                <w:noProof/>
                <w:lang w:eastAsia="es-ES"/>
              </w:rPr>
              <w:tab/>
            </w:r>
            <w:r w:rsidRPr="00DA7B2F">
              <w:rPr>
                <w:rStyle w:val="Hiperesteka"/>
                <w:b/>
                <w:bCs/>
                <w:noProof/>
              </w:rPr>
              <w:t>AYUDAS A COMUNIDADES DE PROPIETARIOS EN LA RETIRADA, MANIPULACIÓN, TRANSPORTE Y GESTIÓN DE RESIDUOS DE AMIANTO</w:t>
            </w:r>
            <w:r>
              <w:rPr>
                <w:noProof/>
                <w:webHidden/>
              </w:rPr>
              <w:tab/>
            </w:r>
            <w:r>
              <w:rPr>
                <w:noProof/>
                <w:webHidden/>
              </w:rPr>
              <w:fldChar w:fldCharType="begin"/>
            </w:r>
            <w:r>
              <w:rPr>
                <w:noProof/>
                <w:webHidden/>
              </w:rPr>
              <w:instrText xml:space="preserve"> PAGEREF _Toc121128544 \h </w:instrText>
            </w:r>
            <w:r>
              <w:rPr>
                <w:noProof/>
                <w:webHidden/>
              </w:rPr>
            </w:r>
            <w:r>
              <w:rPr>
                <w:noProof/>
                <w:webHidden/>
              </w:rPr>
              <w:fldChar w:fldCharType="separate"/>
            </w:r>
            <w:r>
              <w:rPr>
                <w:noProof/>
                <w:webHidden/>
              </w:rPr>
              <w:t>24</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45" w:history="1">
            <w:r w:rsidRPr="00DA7B2F">
              <w:rPr>
                <w:rStyle w:val="Hiperesteka"/>
                <w:b/>
                <w:bCs/>
                <w:noProof/>
              </w:rPr>
              <w:t>19</w:t>
            </w:r>
            <w:r>
              <w:rPr>
                <w:rFonts w:asciiTheme="minorHAnsi" w:eastAsiaTheme="minorEastAsia" w:hAnsiTheme="minorHAnsi" w:cstheme="minorBidi"/>
                <w:noProof/>
                <w:lang w:eastAsia="es-ES"/>
              </w:rPr>
              <w:tab/>
            </w:r>
            <w:r w:rsidRPr="00DA7B2F">
              <w:rPr>
                <w:rStyle w:val="Hiperesteka"/>
                <w:b/>
                <w:bCs/>
                <w:noProof/>
              </w:rPr>
              <w:t>ESTUDIOS PREVIOS Y PROYECTOS TÉCNICOS</w:t>
            </w:r>
            <w:r>
              <w:rPr>
                <w:noProof/>
                <w:webHidden/>
              </w:rPr>
              <w:tab/>
            </w:r>
            <w:r>
              <w:rPr>
                <w:noProof/>
                <w:webHidden/>
              </w:rPr>
              <w:fldChar w:fldCharType="begin"/>
            </w:r>
            <w:r>
              <w:rPr>
                <w:noProof/>
                <w:webHidden/>
              </w:rPr>
              <w:instrText xml:space="preserve"> PAGEREF _Toc121128545 \h </w:instrText>
            </w:r>
            <w:r>
              <w:rPr>
                <w:noProof/>
                <w:webHidden/>
              </w:rPr>
            </w:r>
            <w:r>
              <w:rPr>
                <w:noProof/>
                <w:webHidden/>
              </w:rPr>
              <w:fldChar w:fldCharType="separate"/>
            </w:r>
            <w:r>
              <w:rPr>
                <w:noProof/>
                <w:webHidden/>
              </w:rPr>
              <w:t>25</w:t>
            </w:r>
            <w:r>
              <w:rPr>
                <w:noProof/>
                <w:webHidden/>
              </w:rPr>
              <w:fldChar w:fldCharType="end"/>
            </w:r>
          </w:hyperlink>
        </w:p>
        <w:p w:rsidR="00904A83" w:rsidRDefault="00904A83">
          <w:pPr>
            <w:pStyle w:val="EA1"/>
            <w:rPr>
              <w:rFonts w:asciiTheme="minorHAnsi" w:eastAsiaTheme="minorEastAsia" w:hAnsiTheme="minorHAnsi" w:cstheme="minorBidi"/>
              <w:noProof/>
              <w:lang w:eastAsia="es-ES"/>
            </w:rPr>
          </w:pPr>
          <w:hyperlink w:anchor="_Toc121128546" w:history="1">
            <w:r w:rsidRPr="00DA7B2F">
              <w:rPr>
                <w:rStyle w:val="Hiperesteka"/>
                <w:noProof/>
              </w:rPr>
              <w:t>CAPÍTULO IV. CONDICIONES, SEGUIMIENTO Y REINTEGRO DE LAS SUBVENCIONES</w:t>
            </w:r>
            <w:r>
              <w:rPr>
                <w:noProof/>
                <w:webHidden/>
              </w:rPr>
              <w:tab/>
            </w:r>
            <w:r>
              <w:rPr>
                <w:noProof/>
                <w:webHidden/>
              </w:rPr>
              <w:fldChar w:fldCharType="begin"/>
            </w:r>
            <w:r>
              <w:rPr>
                <w:noProof/>
                <w:webHidden/>
              </w:rPr>
              <w:instrText xml:space="preserve"> PAGEREF _Toc121128546 \h </w:instrText>
            </w:r>
            <w:r>
              <w:rPr>
                <w:noProof/>
                <w:webHidden/>
              </w:rPr>
            </w:r>
            <w:r>
              <w:rPr>
                <w:noProof/>
                <w:webHidden/>
              </w:rPr>
              <w:fldChar w:fldCharType="separate"/>
            </w:r>
            <w:r>
              <w:rPr>
                <w:noProof/>
                <w:webHidden/>
              </w:rPr>
              <w:t>26</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47" w:history="1">
            <w:r w:rsidRPr="00DA7B2F">
              <w:rPr>
                <w:rStyle w:val="Hiperesteka"/>
                <w:b/>
                <w:bCs/>
                <w:noProof/>
              </w:rPr>
              <w:t>20</w:t>
            </w:r>
            <w:r>
              <w:rPr>
                <w:rFonts w:asciiTheme="minorHAnsi" w:eastAsiaTheme="minorEastAsia" w:hAnsiTheme="minorHAnsi" w:cstheme="minorBidi"/>
                <w:noProof/>
                <w:lang w:eastAsia="es-ES"/>
              </w:rPr>
              <w:tab/>
            </w:r>
            <w:r w:rsidRPr="00DA7B2F">
              <w:rPr>
                <w:rStyle w:val="Hiperesteka"/>
                <w:b/>
                <w:noProof/>
              </w:rPr>
              <w:t>PIGNORACIÓN O CESIÓN DEL COBRO DE TODAS LAS AYUDAS O SUBVENCIONES</w:t>
            </w:r>
            <w:r>
              <w:rPr>
                <w:noProof/>
                <w:webHidden/>
              </w:rPr>
              <w:tab/>
            </w:r>
            <w:r>
              <w:rPr>
                <w:noProof/>
                <w:webHidden/>
              </w:rPr>
              <w:fldChar w:fldCharType="begin"/>
            </w:r>
            <w:r>
              <w:rPr>
                <w:noProof/>
                <w:webHidden/>
              </w:rPr>
              <w:instrText xml:space="preserve"> PAGEREF _Toc121128547 \h </w:instrText>
            </w:r>
            <w:r>
              <w:rPr>
                <w:noProof/>
                <w:webHidden/>
              </w:rPr>
            </w:r>
            <w:r>
              <w:rPr>
                <w:noProof/>
                <w:webHidden/>
              </w:rPr>
              <w:fldChar w:fldCharType="separate"/>
            </w:r>
            <w:r>
              <w:rPr>
                <w:noProof/>
                <w:webHidden/>
              </w:rPr>
              <w:t>26</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48" w:history="1">
            <w:r w:rsidRPr="00DA7B2F">
              <w:rPr>
                <w:rStyle w:val="Hiperesteka"/>
                <w:b/>
                <w:bCs/>
                <w:noProof/>
              </w:rPr>
              <w:t>21</w:t>
            </w:r>
            <w:r>
              <w:rPr>
                <w:rFonts w:asciiTheme="minorHAnsi" w:eastAsiaTheme="minorEastAsia" w:hAnsiTheme="minorHAnsi" w:cstheme="minorBidi"/>
                <w:noProof/>
                <w:lang w:eastAsia="es-ES"/>
              </w:rPr>
              <w:tab/>
            </w:r>
            <w:r w:rsidRPr="00DA7B2F">
              <w:rPr>
                <w:rStyle w:val="Hiperesteka"/>
                <w:b/>
                <w:bCs/>
                <w:noProof/>
              </w:rPr>
              <w:t>PREVENCIÓN DEL RIESGO DE FRAUDE, CORRUPCIÓN Y CONFLICTOS DE INTERÉS</w:t>
            </w:r>
            <w:r>
              <w:rPr>
                <w:noProof/>
                <w:webHidden/>
              </w:rPr>
              <w:tab/>
            </w:r>
            <w:r>
              <w:rPr>
                <w:noProof/>
                <w:webHidden/>
              </w:rPr>
              <w:fldChar w:fldCharType="begin"/>
            </w:r>
            <w:r>
              <w:rPr>
                <w:noProof/>
                <w:webHidden/>
              </w:rPr>
              <w:instrText xml:space="preserve"> PAGEREF _Toc121128548 \h </w:instrText>
            </w:r>
            <w:r>
              <w:rPr>
                <w:noProof/>
                <w:webHidden/>
              </w:rPr>
            </w:r>
            <w:r>
              <w:rPr>
                <w:noProof/>
                <w:webHidden/>
              </w:rPr>
              <w:fldChar w:fldCharType="separate"/>
            </w:r>
            <w:r>
              <w:rPr>
                <w:noProof/>
                <w:webHidden/>
              </w:rPr>
              <w:t>26</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49" w:history="1">
            <w:r w:rsidRPr="00DA7B2F">
              <w:rPr>
                <w:rStyle w:val="Hiperesteka"/>
                <w:b/>
                <w:bCs/>
                <w:noProof/>
              </w:rPr>
              <w:t>22</w:t>
            </w:r>
            <w:r>
              <w:rPr>
                <w:rFonts w:asciiTheme="minorHAnsi" w:eastAsiaTheme="minorEastAsia" w:hAnsiTheme="minorHAnsi" w:cstheme="minorBidi"/>
                <w:noProof/>
                <w:lang w:eastAsia="es-ES"/>
              </w:rPr>
              <w:tab/>
            </w:r>
            <w:r w:rsidRPr="00DA7B2F">
              <w:rPr>
                <w:rStyle w:val="Hiperesteka"/>
                <w:b/>
                <w:noProof/>
              </w:rPr>
              <w:t>SEGUIMIENTO, CONTROL Y EVALUACIÓN. JUSTIFICACIÓN DE LA SUBVENCIÓN</w:t>
            </w:r>
            <w:r>
              <w:rPr>
                <w:noProof/>
                <w:webHidden/>
              </w:rPr>
              <w:tab/>
            </w:r>
            <w:r>
              <w:rPr>
                <w:noProof/>
                <w:webHidden/>
              </w:rPr>
              <w:fldChar w:fldCharType="begin"/>
            </w:r>
            <w:r>
              <w:rPr>
                <w:noProof/>
                <w:webHidden/>
              </w:rPr>
              <w:instrText xml:space="preserve"> PAGEREF _Toc121128549 \h </w:instrText>
            </w:r>
            <w:r>
              <w:rPr>
                <w:noProof/>
                <w:webHidden/>
              </w:rPr>
            </w:r>
            <w:r>
              <w:rPr>
                <w:noProof/>
                <w:webHidden/>
              </w:rPr>
              <w:fldChar w:fldCharType="separate"/>
            </w:r>
            <w:r>
              <w:rPr>
                <w:noProof/>
                <w:webHidden/>
              </w:rPr>
              <w:t>27</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50" w:history="1">
            <w:r w:rsidRPr="00DA7B2F">
              <w:rPr>
                <w:rStyle w:val="Hiperesteka"/>
                <w:b/>
                <w:bCs/>
                <w:noProof/>
              </w:rPr>
              <w:t>23</w:t>
            </w:r>
            <w:r>
              <w:rPr>
                <w:rFonts w:asciiTheme="minorHAnsi" w:eastAsiaTheme="minorEastAsia" w:hAnsiTheme="minorHAnsi" w:cstheme="minorBidi"/>
                <w:noProof/>
                <w:lang w:eastAsia="es-ES"/>
              </w:rPr>
              <w:tab/>
            </w:r>
            <w:r w:rsidRPr="00DA7B2F">
              <w:rPr>
                <w:rStyle w:val="Hiperesteka"/>
                <w:b/>
                <w:noProof/>
              </w:rPr>
              <w:t>REINTEGRO DE LAS AYUDAS CONCEDIDAS A LA COMUNIDAD DE PROPIETARIOS POR DISPOSICIÓN VOLUNTARIA INTERVIVOS DE ELEMENTOS PRIVATIVOS</w:t>
            </w:r>
            <w:r>
              <w:rPr>
                <w:noProof/>
                <w:webHidden/>
              </w:rPr>
              <w:tab/>
            </w:r>
            <w:r>
              <w:rPr>
                <w:noProof/>
                <w:webHidden/>
              </w:rPr>
              <w:fldChar w:fldCharType="begin"/>
            </w:r>
            <w:r>
              <w:rPr>
                <w:noProof/>
                <w:webHidden/>
              </w:rPr>
              <w:instrText xml:space="preserve"> PAGEREF _Toc121128550 \h </w:instrText>
            </w:r>
            <w:r>
              <w:rPr>
                <w:noProof/>
                <w:webHidden/>
              </w:rPr>
            </w:r>
            <w:r>
              <w:rPr>
                <w:noProof/>
                <w:webHidden/>
              </w:rPr>
              <w:fldChar w:fldCharType="separate"/>
            </w:r>
            <w:r>
              <w:rPr>
                <w:noProof/>
                <w:webHidden/>
              </w:rPr>
              <w:t>28</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51" w:history="1">
            <w:r w:rsidRPr="00DA7B2F">
              <w:rPr>
                <w:rStyle w:val="Hiperesteka"/>
                <w:b/>
                <w:bCs/>
                <w:noProof/>
              </w:rPr>
              <w:t>24</w:t>
            </w:r>
            <w:r>
              <w:rPr>
                <w:rFonts w:asciiTheme="minorHAnsi" w:eastAsiaTheme="minorEastAsia" w:hAnsiTheme="minorHAnsi" w:cstheme="minorBidi"/>
                <w:noProof/>
                <w:lang w:eastAsia="es-ES"/>
              </w:rPr>
              <w:tab/>
            </w:r>
            <w:r w:rsidRPr="00DA7B2F">
              <w:rPr>
                <w:rStyle w:val="Hiperesteka"/>
                <w:b/>
                <w:noProof/>
              </w:rPr>
              <w:t>REINTEGRO DE LAS AYUDAS POR CRITERIO SOCIAL</w:t>
            </w:r>
            <w:r>
              <w:rPr>
                <w:noProof/>
                <w:webHidden/>
              </w:rPr>
              <w:tab/>
            </w:r>
            <w:r>
              <w:rPr>
                <w:noProof/>
                <w:webHidden/>
              </w:rPr>
              <w:fldChar w:fldCharType="begin"/>
            </w:r>
            <w:r>
              <w:rPr>
                <w:noProof/>
                <w:webHidden/>
              </w:rPr>
              <w:instrText xml:space="preserve"> PAGEREF _Toc121128551 \h </w:instrText>
            </w:r>
            <w:r>
              <w:rPr>
                <w:noProof/>
                <w:webHidden/>
              </w:rPr>
            </w:r>
            <w:r>
              <w:rPr>
                <w:noProof/>
                <w:webHidden/>
              </w:rPr>
              <w:fldChar w:fldCharType="separate"/>
            </w:r>
            <w:r>
              <w:rPr>
                <w:noProof/>
                <w:webHidden/>
              </w:rPr>
              <w:t>29</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52" w:history="1">
            <w:r w:rsidRPr="00DA7B2F">
              <w:rPr>
                <w:rStyle w:val="Hiperesteka"/>
                <w:b/>
                <w:bCs/>
                <w:noProof/>
              </w:rPr>
              <w:t>25</w:t>
            </w:r>
            <w:r>
              <w:rPr>
                <w:rFonts w:asciiTheme="minorHAnsi" w:eastAsiaTheme="minorEastAsia" w:hAnsiTheme="minorHAnsi" w:cstheme="minorBidi"/>
                <w:noProof/>
                <w:lang w:eastAsia="es-ES"/>
              </w:rPr>
              <w:tab/>
            </w:r>
            <w:r w:rsidRPr="00DA7B2F">
              <w:rPr>
                <w:rStyle w:val="Hiperesteka"/>
                <w:b/>
                <w:bCs/>
                <w:noProof/>
              </w:rPr>
              <w:t>REINTEGRO DE LAS AYUDAS POR INCUMPLIMIENTO DEL PRINCIPIO DNSH</w:t>
            </w:r>
            <w:r>
              <w:rPr>
                <w:noProof/>
                <w:webHidden/>
              </w:rPr>
              <w:tab/>
            </w:r>
            <w:r>
              <w:rPr>
                <w:noProof/>
                <w:webHidden/>
              </w:rPr>
              <w:fldChar w:fldCharType="begin"/>
            </w:r>
            <w:r>
              <w:rPr>
                <w:noProof/>
                <w:webHidden/>
              </w:rPr>
              <w:instrText xml:space="preserve"> PAGEREF _Toc121128552 \h </w:instrText>
            </w:r>
            <w:r>
              <w:rPr>
                <w:noProof/>
                <w:webHidden/>
              </w:rPr>
            </w:r>
            <w:r>
              <w:rPr>
                <w:noProof/>
                <w:webHidden/>
              </w:rPr>
              <w:fldChar w:fldCharType="separate"/>
            </w:r>
            <w:r>
              <w:rPr>
                <w:noProof/>
                <w:webHidden/>
              </w:rPr>
              <w:t>30</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53" w:history="1">
            <w:r w:rsidRPr="00DA7B2F">
              <w:rPr>
                <w:rStyle w:val="Hiperesteka"/>
                <w:b/>
                <w:bCs/>
                <w:noProof/>
              </w:rPr>
              <w:t>26</w:t>
            </w:r>
            <w:r>
              <w:rPr>
                <w:rFonts w:asciiTheme="minorHAnsi" w:eastAsiaTheme="minorEastAsia" w:hAnsiTheme="minorHAnsi" w:cstheme="minorBidi"/>
                <w:noProof/>
                <w:lang w:eastAsia="es-ES"/>
              </w:rPr>
              <w:tab/>
            </w:r>
            <w:r w:rsidRPr="00DA7B2F">
              <w:rPr>
                <w:rStyle w:val="Hiperesteka"/>
                <w:b/>
                <w:bCs/>
                <w:noProof/>
              </w:rPr>
              <w:t>REINTEGRO DE LAS AYUDAS EN SUPUESTOS DE ADJUDICACIONES IMPROCEDENTES</w:t>
            </w:r>
            <w:r>
              <w:rPr>
                <w:noProof/>
                <w:webHidden/>
              </w:rPr>
              <w:tab/>
            </w:r>
            <w:r>
              <w:rPr>
                <w:noProof/>
                <w:webHidden/>
              </w:rPr>
              <w:fldChar w:fldCharType="begin"/>
            </w:r>
            <w:r>
              <w:rPr>
                <w:noProof/>
                <w:webHidden/>
              </w:rPr>
              <w:instrText xml:space="preserve"> PAGEREF _Toc121128553 \h </w:instrText>
            </w:r>
            <w:r>
              <w:rPr>
                <w:noProof/>
                <w:webHidden/>
              </w:rPr>
            </w:r>
            <w:r>
              <w:rPr>
                <w:noProof/>
                <w:webHidden/>
              </w:rPr>
              <w:fldChar w:fldCharType="separate"/>
            </w:r>
            <w:r>
              <w:rPr>
                <w:noProof/>
                <w:webHidden/>
              </w:rPr>
              <w:t>30</w:t>
            </w:r>
            <w:r>
              <w:rPr>
                <w:noProof/>
                <w:webHidden/>
              </w:rPr>
              <w:fldChar w:fldCharType="end"/>
            </w:r>
          </w:hyperlink>
        </w:p>
        <w:p w:rsidR="00904A83" w:rsidRDefault="00904A83">
          <w:pPr>
            <w:pStyle w:val="EA1"/>
            <w:rPr>
              <w:rFonts w:asciiTheme="minorHAnsi" w:eastAsiaTheme="minorEastAsia" w:hAnsiTheme="minorHAnsi" w:cstheme="minorBidi"/>
              <w:noProof/>
              <w:lang w:eastAsia="es-ES"/>
            </w:rPr>
          </w:pPr>
          <w:hyperlink w:anchor="_Toc121128554" w:history="1">
            <w:r w:rsidRPr="00DA7B2F">
              <w:rPr>
                <w:rStyle w:val="Hiperesteka"/>
                <w:noProof/>
              </w:rPr>
              <w:t>CAPÍTULO V. PROCEDIMIENTO, TRAMITACIÓN Y ABONO DE LAS SUBVENCIONES</w:t>
            </w:r>
            <w:r>
              <w:rPr>
                <w:noProof/>
                <w:webHidden/>
              </w:rPr>
              <w:tab/>
            </w:r>
            <w:r>
              <w:rPr>
                <w:noProof/>
                <w:webHidden/>
              </w:rPr>
              <w:fldChar w:fldCharType="begin"/>
            </w:r>
            <w:r>
              <w:rPr>
                <w:noProof/>
                <w:webHidden/>
              </w:rPr>
              <w:instrText xml:space="preserve"> PAGEREF _Toc121128554 \h </w:instrText>
            </w:r>
            <w:r>
              <w:rPr>
                <w:noProof/>
                <w:webHidden/>
              </w:rPr>
            </w:r>
            <w:r>
              <w:rPr>
                <w:noProof/>
                <w:webHidden/>
              </w:rPr>
              <w:fldChar w:fldCharType="separate"/>
            </w:r>
            <w:r>
              <w:rPr>
                <w:noProof/>
                <w:webHidden/>
              </w:rPr>
              <w:t>31</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55" w:history="1">
            <w:r w:rsidRPr="00DA7B2F">
              <w:rPr>
                <w:rStyle w:val="Hiperesteka"/>
                <w:b/>
                <w:bCs/>
                <w:noProof/>
              </w:rPr>
              <w:t>27</w:t>
            </w:r>
            <w:r>
              <w:rPr>
                <w:rFonts w:asciiTheme="minorHAnsi" w:eastAsiaTheme="minorEastAsia" w:hAnsiTheme="minorHAnsi" w:cstheme="minorBidi"/>
                <w:noProof/>
                <w:lang w:eastAsia="es-ES"/>
              </w:rPr>
              <w:tab/>
            </w:r>
            <w:r w:rsidRPr="00DA7B2F">
              <w:rPr>
                <w:rStyle w:val="Hiperesteka"/>
                <w:b/>
                <w:bCs/>
                <w:noProof/>
              </w:rPr>
              <w:t>PRESENTACIÓN Y PLAZO DE PRESENTACIÓN DE SOLICITUDES</w:t>
            </w:r>
            <w:r>
              <w:rPr>
                <w:noProof/>
                <w:webHidden/>
              </w:rPr>
              <w:tab/>
            </w:r>
            <w:r>
              <w:rPr>
                <w:noProof/>
                <w:webHidden/>
              </w:rPr>
              <w:fldChar w:fldCharType="begin"/>
            </w:r>
            <w:r>
              <w:rPr>
                <w:noProof/>
                <w:webHidden/>
              </w:rPr>
              <w:instrText xml:space="preserve"> PAGEREF _Toc121128555 \h </w:instrText>
            </w:r>
            <w:r>
              <w:rPr>
                <w:noProof/>
                <w:webHidden/>
              </w:rPr>
            </w:r>
            <w:r>
              <w:rPr>
                <w:noProof/>
                <w:webHidden/>
              </w:rPr>
              <w:fldChar w:fldCharType="separate"/>
            </w:r>
            <w:r>
              <w:rPr>
                <w:noProof/>
                <w:webHidden/>
              </w:rPr>
              <w:t>31</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56" w:history="1">
            <w:r w:rsidRPr="00DA7B2F">
              <w:rPr>
                <w:rStyle w:val="Hiperesteka"/>
                <w:b/>
                <w:bCs/>
                <w:noProof/>
              </w:rPr>
              <w:t>28</w:t>
            </w:r>
            <w:r>
              <w:rPr>
                <w:rFonts w:asciiTheme="minorHAnsi" w:eastAsiaTheme="minorEastAsia" w:hAnsiTheme="minorHAnsi" w:cstheme="minorBidi"/>
                <w:noProof/>
                <w:lang w:eastAsia="es-ES"/>
              </w:rPr>
              <w:tab/>
            </w:r>
            <w:r w:rsidRPr="00DA7B2F">
              <w:rPr>
                <w:rStyle w:val="Hiperesteka"/>
                <w:b/>
                <w:bCs/>
                <w:noProof/>
              </w:rPr>
              <w:t>SUBSANACIÓN DE ERRORES U OMISIONES</w:t>
            </w:r>
            <w:r>
              <w:rPr>
                <w:noProof/>
                <w:webHidden/>
              </w:rPr>
              <w:tab/>
            </w:r>
            <w:r>
              <w:rPr>
                <w:noProof/>
                <w:webHidden/>
              </w:rPr>
              <w:fldChar w:fldCharType="begin"/>
            </w:r>
            <w:r>
              <w:rPr>
                <w:noProof/>
                <w:webHidden/>
              </w:rPr>
              <w:instrText xml:space="preserve"> PAGEREF _Toc121128556 \h </w:instrText>
            </w:r>
            <w:r>
              <w:rPr>
                <w:noProof/>
                <w:webHidden/>
              </w:rPr>
            </w:r>
            <w:r>
              <w:rPr>
                <w:noProof/>
                <w:webHidden/>
              </w:rPr>
              <w:fldChar w:fldCharType="separate"/>
            </w:r>
            <w:r>
              <w:rPr>
                <w:noProof/>
                <w:webHidden/>
              </w:rPr>
              <w:t>32</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57" w:history="1">
            <w:r w:rsidRPr="00DA7B2F">
              <w:rPr>
                <w:rStyle w:val="Hiperesteka"/>
                <w:b/>
                <w:bCs/>
                <w:noProof/>
              </w:rPr>
              <w:t>29</w:t>
            </w:r>
            <w:r>
              <w:rPr>
                <w:rFonts w:asciiTheme="minorHAnsi" w:eastAsiaTheme="minorEastAsia" w:hAnsiTheme="minorHAnsi" w:cstheme="minorBidi"/>
                <w:noProof/>
                <w:lang w:eastAsia="es-ES"/>
              </w:rPr>
              <w:tab/>
            </w:r>
            <w:r w:rsidRPr="00DA7B2F">
              <w:rPr>
                <w:rStyle w:val="Hiperesteka"/>
                <w:b/>
                <w:bCs/>
                <w:noProof/>
              </w:rPr>
              <w:t>TRAMITACIÓN, PLAZO DE RESOLUCIÓN Y NOTIFICACIÓN</w:t>
            </w:r>
            <w:r>
              <w:rPr>
                <w:noProof/>
                <w:webHidden/>
              </w:rPr>
              <w:tab/>
            </w:r>
            <w:r>
              <w:rPr>
                <w:noProof/>
                <w:webHidden/>
              </w:rPr>
              <w:fldChar w:fldCharType="begin"/>
            </w:r>
            <w:r>
              <w:rPr>
                <w:noProof/>
                <w:webHidden/>
              </w:rPr>
              <w:instrText xml:space="preserve"> PAGEREF _Toc121128557 \h </w:instrText>
            </w:r>
            <w:r>
              <w:rPr>
                <w:noProof/>
                <w:webHidden/>
              </w:rPr>
            </w:r>
            <w:r>
              <w:rPr>
                <w:noProof/>
                <w:webHidden/>
              </w:rPr>
              <w:fldChar w:fldCharType="separate"/>
            </w:r>
            <w:r>
              <w:rPr>
                <w:noProof/>
                <w:webHidden/>
              </w:rPr>
              <w:t>32</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58" w:history="1">
            <w:r w:rsidRPr="00DA7B2F">
              <w:rPr>
                <w:rStyle w:val="Hiperesteka"/>
                <w:b/>
                <w:bCs/>
                <w:noProof/>
              </w:rPr>
              <w:t>30</w:t>
            </w:r>
            <w:r>
              <w:rPr>
                <w:rFonts w:asciiTheme="minorHAnsi" w:eastAsiaTheme="minorEastAsia" w:hAnsiTheme="minorHAnsi" w:cstheme="minorBidi"/>
                <w:noProof/>
                <w:lang w:eastAsia="es-ES"/>
              </w:rPr>
              <w:tab/>
            </w:r>
            <w:r w:rsidRPr="00DA7B2F">
              <w:rPr>
                <w:rStyle w:val="Hiperesteka"/>
                <w:b/>
                <w:bCs/>
                <w:noProof/>
              </w:rPr>
              <w:t>RECURSOS</w:t>
            </w:r>
            <w:r>
              <w:rPr>
                <w:noProof/>
                <w:webHidden/>
              </w:rPr>
              <w:tab/>
            </w:r>
            <w:r>
              <w:rPr>
                <w:noProof/>
                <w:webHidden/>
              </w:rPr>
              <w:fldChar w:fldCharType="begin"/>
            </w:r>
            <w:r>
              <w:rPr>
                <w:noProof/>
                <w:webHidden/>
              </w:rPr>
              <w:instrText xml:space="preserve"> PAGEREF _Toc121128558 \h </w:instrText>
            </w:r>
            <w:r>
              <w:rPr>
                <w:noProof/>
                <w:webHidden/>
              </w:rPr>
            </w:r>
            <w:r>
              <w:rPr>
                <w:noProof/>
                <w:webHidden/>
              </w:rPr>
              <w:fldChar w:fldCharType="separate"/>
            </w:r>
            <w:r>
              <w:rPr>
                <w:noProof/>
                <w:webHidden/>
              </w:rPr>
              <w:t>33</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59" w:history="1">
            <w:r w:rsidRPr="00DA7B2F">
              <w:rPr>
                <w:rStyle w:val="Hiperesteka"/>
                <w:b/>
                <w:bCs/>
                <w:noProof/>
              </w:rPr>
              <w:t>31</w:t>
            </w:r>
            <w:r>
              <w:rPr>
                <w:rFonts w:asciiTheme="minorHAnsi" w:eastAsiaTheme="minorEastAsia" w:hAnsiTheme="minorHAnsi" w:cstheme="minorBidi"/>
                <w:noProof/>
                <w:lang w:eastAsia="es-ES"/>
              </w:rPr>
              <w:tab/>
            </w:r>
            <w:r w:rsidRPr="00DA7B2F">
              <w:rPr>
                <w:rStyle w:val="Hiperesteka"/>
                <w:b/>
                <w:bCs/>
                <w:noProof/>
              </w:rPr>
              <w:t>ALTERACIÓN DE LAS CONDICIONES DE LAS AYUDAS</w:t>
            </w:r>
            <w:r>
              <w:rPr>
                <w:noProof/>
                <w:webHidden/>
              </w:rPr>
              <w:tab/>
            </w:r>
            <w:r>
              <w:rPr>
                <w:noProof/>
                <w:webHidden/>
              </w:rPr>
              <w:fldChar w:fldCharType="begin"/>
            </w:r>
            <w:r>
              <w:rPr>
                <w:noProof/>
                <w:webHidden/>
              </w:rPr>
              <w:instrText xml:space="preserve"> PAGEREF _Toc121128559 \h </w:instrText>
            </w:r>
            <w:r>
              <w:rPr>
                <w:noProof/>
                <w:webHidden/>
              </w:rPr>
            </w:r>
            <w:r>
              <w:rPr>
                <w:noProof/>
                <w:webHidden/>
              </w:rPr>
              <w:fldChar w:fldCharType="separate"/>
            </w:r>
            <w:r>
              <w:rPr>
                <w:noProof/>
                <w:webHidden/>
              </w:rPr>
              <w:t>33</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60" w:history="1">
            <w:r w:rsidRPr="00DA7B2F">
              <w:rPr>
                <w:rStyle w:val="Hiperesteka"/>
                <w:b/>
                <w:bCs/>
                <w:noProof/>
              </w:rPr>
              <w:t>32</w:t>
            </w:r>
            <w:r>
              <w:rPr>
                <w:rFonts w:asciiTheme="minorHAnsi" w:eastAsiaTheme="minorEastAsia" w:hAnsiTheme="minorHAnsi" w:cstheme="minorBidi"/>
                <w:noProof/>
                <w:lang w:eastAsia="es-ES"/>
              </w:rPr>
              <w:tab/>
            </w:r>
            <w:r w:rsidRPr="00DA7B2F">
              <w:rPr>
                <w:rStyle w:val="Hiperesteka"/>
                <w:b/>
                <w:bCs/>
                <w:noProof/>
              </w:rPr>
              <w:t>PUBLICIDAD</w:t>
            </w:r>
            <w:r w:rsidRPr="00DA7B2F">
              <w:rPr>
                <w:rStyle w:val="Hiperesteka"/>
                <w:b/>
                <w:noProof/>
              </w:rPr>
              <w:t xml:space="preserve"> DE LAS SUBVENCIONES CONCEDIDAS</w:t>
            </w:r>
            <w:r>
              <w:rPr>
                <w:noProof/>
                <w:webHidden/>
              </w:rPr>
              <w:tab/>
            </w:r>
            <w:r>
              <w:rPr>
                <w:noProof/>
                <w:webHidden/>
              </w:rPr>
              <w:fldChar w:fldCharType="begin"/>
            </w:r>
            <w:r>
              <w:rPr>
                <w:noProof/>
                <w:webHidden/>
              </w:rPr>
              <w:instrText xml:space="preserve"> PAGEREF _Toc121128560 \h </w:instrText>
            </w:r>
            <w:r>
              <w:rPr>
                <w:noProof/>
                <w:webHidden/>
              </w:rPr>
            </w:r>
            <w:r>
              <w:rPr>
                <w:noProof/>
                <w:webHidden/>
              </w:rPr>
              <w:fldChar w:fldCharType="separate"/>
            </w:r>
            <w:r>
              <w:rPr>
                <w:noProof/>
                <w:webHidden/>
              </w:rPr>
              <w:t>34</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61" w:history="1">
            <w:r w:rsidRPr="00DA7B2F">
              <w:rPr>
                <w:rStyle w:val="Hiperesteka"/>
                <w:b/>
                <w:bCs/>
                <w:noProof/>
              </w:rPr>
              <w:t>33</w:t>
            </w:r>
            <w:r>
              <w:rPr>
                <w:rFonts w:asciiTheme="minorHAnsi" w:eastAsiaTheme="minorEastAsia" w:hAnsiTheme="minorHAnsi" w:cstheme="minorBidi"/>
                <w:noProof/>
                <w:lang w:eastAsia="es-ES"/>
              </w:rPr>
              <w:tab/>
            </w:r>
            <w:r w:rsidRPr="00DA7B2F">
              <w:rPr>
                <w:rStyle w:val="Hiperesteka"/>
                <w:b/>
                <w:noProof/>
              </w:rPr>
              <w:t>DOCUMENTACIÓN PARA ACOMPAÑAR A LA SOLICITUD DE SUBVENCIÓN</w:t>
            </w:r>
            <w:r>
              <w:rPr>
                <w:noProof/>
                <w:webHidden/>
              </w:rPr>
              <w:tab/>
            </w:r>
            <w:r>
              <w:rPr>
                <w:noProof/>
                <w:webHidden/>
              </w:rPr>
              <w:fldChar w:fldCharType="begin"/>
            </w:r>
            <w:r>
              <w:rPr>
                <w:noProof/>
                <w:webHidden/>
              </w:rPr>
              <w:instrText xml:space="preserve"> PAGEREF _Toc121128561 \h </w:instrText>
            </w:r>
            <w:r>
              <w:rPr>
                <w:noProof/>
                <w:webHidden/>
              </w:rPr>
            </w:r>
            <w:r>
              <w:rPr>
                <w:noProof/>
                <w:webHidden/>
              </w:rPr>
              <w:fldChar w:fldCharType="separate"/>
            </w:r>
            <w:r>
              <w:rPr>
                <w:noProof/>
                <w:webHidden/>
              </w:rPr>
              <w:t>34</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62" w:history="1">
            <w:r w:rsidRPr="00DA7B2F">
              <w:rPr>
                <w:rStyle w:val="Hiperesteka"/>
                <w:b/>
                <w:bCs/>
                <w:noProof/>
              </w:rPr>
              <w:t>34</w:t>
            </w:r>
            <w:r>
              <w:rPr>
                <w:rFonts w:asciiTheme="minorHAnsi" w:eastAsiaTheme="minorEastAsia" w:hAnsiTheme="minorHAnsi" w:cstheme="minorBidi"/>
                <w:noProof/>
                <w:lang w:eastAsia="es-ES"/>
              </w:rPr>
              <w:tab/>
            </w:r>
            <w:r w:rsidRPr="00DA7B2F">
              <w:rPr>
                <w:rStyle w:val="Hiperesteka"/>
                <w:b/>
                <w:noProof/>
              </w:rPr>
              <w:t>COMPATIBILIDAD ENTRE LAS SUBVENCIONES</w:t>
            </w:r>
            <w:r>
              <w:rPr>
                <w:noProof/>
                <w:webHidden/>
              </w:rPr>
              <w:tab/>
            </w:r>
            <w:r>
              <w:rPr>
                <w:noProof/>
                <w:webHidden/>
              </w:rPr>
              <w:fldChar w:fldCharType="begin"/>
            </w:r>
            <w:r>
              <w:rPr>
                <w:noProof/>
                <w:webHidden/>
              </w:rPr>
              <w:instrText xml:space="preserve"> PAGEREF _Toc121128562 \h </w:instrText>
            </w:r>
            <w:r>
              <w:rPr>
                <w:noProof/>
                <w:webHidden/>
              </w:rPr>
            </w:r>
            <w:r>
              <w:rPr>
                <w:noProof/>
                <w:webHidden/>
              </w:rPr>
              <w:fldChar w:fldCharType="separate"/>
            </w:r>
            <w:r>
              <w:rPr>
                <w:noProof/>
                <w:webHidden/>
              </w:rPr>
              <w:t>37</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63" w:history="1">
            <w:r w:rsidRPr="00DA7B2F">
              <w:rPr>
                <w:rStyle w:val="Hiperesteka"/>
                <w:b/>
                <w:bCs/>
                <w:noProof/>
              </w:rPr>
              <w:t>35</w:t>
            </w:r>
            <w:r>
              <w:rPr>
                <w:rFonts w:asciiTheme="minorHAnsi" w:eastAsiaTheme="minorEastAsia" w:hAnsiTheme="minorHAnsi" w:cstheme="minorBidi"/>
                <w:noProof/>
                <w:lang w:eastAsia="es-ES"/>
              </w:rPr>
              <w:tab/>
            </w:r>
            <w:r w:rsidRPr="00DA7B2F">
              <w:rPr>
                <w:rStyle w:val="Hiperesteka"/>
                <w:b/>
                <w:bCs/>
                <w:noProof/>
              </w:rPr>
              <w:t>FORMA DE ABONO DE LAS SUBVENCIONES. ANTICIPOS A CUENTA</w:t>
            </w:r>
            <w:r>
              <w:rPr>
                <w:noProof/>
                <w:webHidden/>
              </w:rPr>
              <w:tab/>
            </w:r>
            <w:r>
              <w:rPr>
                <w:noProof/>
                <w:webHidden/>
              </w:rPr>
              <w:fldChar w:fldCharType="begin"/>
            </w:r>
            <w:r>
              <w:rPr>
                <w:noProof/>
                <w:webHidden/>
              </w:rPr>
              <w:instrText xml:space="preserve"> PAGEREF _Toc121128563 \h </w:instrText>
            </w:r>
            <w:r>
              <w:rPr>
                <w:noProof/>
                <w:webHidden/>
              </w:rPr>
            </w:r>
            <w:r>
              <w:rPr>
                <w:noProof/>
                <w:webHidden/>
              </w:rPr>
              <w:fldChar w:fldCharType="separate"/>
            </w:r>
            <w:r>
              <w:rPr>
                <w:noProof/>
                <w:webHidden/>
              </w:rPr>
              <w:t>38</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64" w:history="1">
            <w:r w:rsidRPr="00DA7B2F">
              <w:rPr>
                <w:rStyle w:val="Hiperesteka"/>
                <w:b/>
                <w:bCs/>
                <w:noProof/>
              </w:rPr>
              <w:t>36</w:t>
            </w:r>
            <w:r>
              <w:rPr>
                <w:rFonts w:asciiTheme="minorHAnsi" w:eastAsiaTheme="minorEastAsia" w:hAnsiTheme="minorHAnsi" w:cstheme="minorBidi"/>
                <w:noProof/>
                <w:lang w:eastAsia="es-ES"/>
              </w:rPr>
              <w:tab/>
            </w:r>
            <w:r w:rsidRPr="00DA7B2F">
              <w:rPr>
                <w:rStyle w:val="Hiperesteka"/>
                <w:b/>
                <w:noProof/>
              </w:rPr>
              <w:t>SECUENCIA DE ABONO DE LAS SUBVENCIONES</w:t>
            </w:r>
            <w:r>
              <w:rPr>
                <w:noProof/>
                <w:webHidden/>
              </w:rPr>
              <w:tab/>
            </w:r>
            <w:r>
              <w:rPr>
                <w:noProof/>
                <w:webHidden/>
              </w:rPr>
              <w:fldChar w:fldCharType="begin"/>
            </w:r>
            <w:r>
              <w:rPr>
                <w:noProof/>
                <w:webHidden/>
              </w:rPr>
              <w:instrText xml:space="preserve"> PAGEREF _Toc121128564 \h </w:instrText>
            </w:r>
            <w:r>
              <w:rPr>
                <w:noProof/>
                <w:webHidden/>
              </w:rPr>
            </w:r>
            <w:r>
              <w:rPr>
                <w:noProof/>
                <w:webHidden/>
              </w:rPr>
              <w:fldChar w:fldCharType="separate"/>
            </w:r>
            <w:r>
              <w:rPr>
                <w:noProof/>
                <w:webHidden/>
              </w:rPr>
              <w:t>39</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65" w:history="1">
            <w:r w:rsidRPr="00DA7B2F">
              <w:rPr>
                <w:rStyle w:val="Hiperesteka"/>
                <w:b/>
                <w:bCs/>
                <w:noProof/>
              </w:rPr>
              <w:t>37</w:t>
            </w:r>
            <w:r>
              <w:rPr>
                <w:rFonts w:asciiTheme="minorHAnsi" w:eastAsiaTheme="minorEastAsia" w:hAnsiTheme="minorHAnsi" w:cstheme="minorBidi"/>
                <w:noProof/>
                <w:lang w:eastAsia="es-ES"/>
              </w:rPr>
              <w:tab/>
            </w:r>
            <w:r w:rsidRPr="00DA7B2F">
              <w:rPr>
                <w:rStyle w:val="Hiperesteka"/>
                <w:b/>
                <w:noProof/>
              </w:rPr>
              <w:t>DOCUMENTACIÓN PARA LA JUSTIFICACIÓN DE LAS AYUDAS RECIBIDAS</w:t>
            </w:r>
            <w:r>
              <w:rPr>
                <w:noProof/>
                <w:webHidden/>
              </w:rPr>
              <w:tab/>
            </w:r>
            <w:r>
              <w:rPr>
                <w:noProof/>
                <w:webHidden/>
              </w:rPr>
              <w:fldChar w:fldCharType="begin"/>
            </w:r>
            <w:r>
              <w:rPr>
                <w:noProof/>
                <w:webHidden/>
              </w:rPr>
              <w:instrText xml:space="preserve"> PAGEREF _Toc121128565 \h </w:instrText>
            </w:r>
            <w:r>
              <w:rPr>
                <w:noProof/>
                <w:webHidden/>
              </w:rPr>
            </w:r>
            <w:r>
              <w:rPr>
                <w:noProof/>
                <w:webHidden/>
              </w:rPr>
              <w:fldChar w:fldCharType="separate"/>
            </w:r>
            <w:r>
              <w:rPr>
                <w:noProof/>
                <w:webHidden/>
              </w:rPr>
              <w:t>40</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66" w:history="1">
            <w:r w:rsidRPr="00DA7B2F">
              <w:rPr>
                <w:rStyle w:val="Hiperesteka"/>
                <w:b/>
                <w:bCs/>
                <w:noProof/>
              </w:rPr>
              <w:t>38</w:t>
            </w:r>
            <w:r>
              <w:rPr>
                <w:rFonts w:asciiTheme="minorHAnsi" w:eastAsiaTheme="minorEastAsia" w:hAnsiTheme="minorHAnsi" w:cstheme="minorBidi"/>
                <w:noProof/>
                <w:lang w:eastAsia="es-ES"/>
              </w:rPr>
              <w:tab/>
            </w:r>
            <w:r w:rsidRPr="00DA7B2F">
              <w:rPr>
                <w:rStyle w:val="Hiperesteka"/>
                <w:b/>
                <w:noProof/>
              </w:rPr>
              <w:t>INCUMPLIMIENTO</w:t>
            </w:r>
            <w:r w:rsidRPr="00DA7B2F">
              <w:rPr>
                <w:rStyle w:val="Hiperesteka"/>
                <w:b/>
                <w:bCs/>
                <w:noProof/>
              </w:rPr>
              <w:t xml:space="preserve"> Y PROCEDIMIENTO DE REINTEGRO DE SUBVENCIONES RECIBIDAS</w:t>
            </w:r>
            <w:r>
              <w:rPr>
                <w:noProof/>
                <w:webHidden/>
              </w:rPr>
              <w:tab/>
            </w:r>
            <w:r>
              <w:rPr>
                <w:noProof/>
                <w:webHidden/>
              </w:rPr>
              <w:fldChar w:fldCharType="begin"/>
            </w:r>
            <w:r>
              <w:rPr>
                <w:noProof/>
                <w:webHidden/>
              </w:rPr>
              <w:instrText xml:space="preserve"> PAGEREF _Toc121128566 \h </w:instrText>
            </w:r>
            <w:r>
              <w:rPr>
                <w:noProof/>
                <w:webHidden/>
              </w:rPr>
            </w:r>
            <w:r>
              <w:rPr>
                <w:noProof/>
                <w:webHidden/>
              </w:rPr>
              <w:fldChar w:fldCharType="separate"/>
            </w:r>
            <w:r>
              <w:rPr>
                <w:noProof/>
                <w:webHidden/>
              </w:rPr>
              <w:t>41</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67" w:history="1">
            <w:r w:rsidRPr="00DA7B2F">
              <w:rPr>
                <w:rStyle w:val="Hiperesteka"/>
                <w:b/>
                <w:bCs/>
                <w:noProof/>
              </w:rPr>
              <w:t>39</w:t>
            </w:r>
            <w:r>
              <w:rPr>
                <w:rFonts w:asciiTheme="minorHAnsi" w:eastAsiaTheme="minorEastAsia" w:hAnsiTheme="minorHAnsi" w:cstheme="minorBidi"/>
                <w:noProof/>
                <w:lang w:eastAsia="es-ES"/>
              </w:rPr>
              <w:tab/>
            </w:r>
            <w:r w:rsidRPr="00DA7B2F">
              <w:rPr>
                <w:rStyle w:val="Hiperesteka"/>
                <w:b/>
                <w:noProof/>
              </w:rPr>
              <w:t>INFRACCIONES Y SANCIONES ADMINISTRATIVAS EN MATERIA DE SUBVENCIONES. PROCEDIMIENTO SANCIONADOR</w:t>
            </w:r>
            <w:r>
              <w:rPr>
                <w:noProof/>
                <w:webHidden/>
              </w:rPr>
              <w:tab/>
            </w:r>
            <w:r>
              <w:rPr>
                <w:noProof/>
                <w:webHidden/>
              </w:rPr>
              <w:fldChar w:fldCharType="begin"/>
            </w:r>
            <w:r>
              <w:rPr>
                <w:noProof/>
                <w:webHidden/>
              </w:rPr>
              <w:instrText xml:space="preserve"> PAGEREF _Toc121128567 \h </w:instrText>
            </w:r>
            <w:r>
              <w:rPr>
                <w:noProof/>
                <w:webHidden/>
              </w:rPr>
            </w:r>
            <w:r>
              <w:rPr>
                <w:noProof/>
                <w:webHidden/>
              </w:rPr>
              <w:fldChar w:fldCharType="separate"/>
            </w:r>
            <w:r>
              <w:rPr>
                <w:noProof/>
                <w:webHidden/>
              </w:rPr>
              <w:t>42</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68" w:history="1">
            <w:r w:rsidRPr="00DA7B2F">
              <w:rPr>
                <w:rStyle w:val="Hiperesteka"/>
                <w:b/>
                <w:bCs/>
                <w:noProof/>
              </w:rPr>
              <w:t>40</w:t>
            </w:r>
            <w:r>
              <w:rPr>
                <w:rFonts w:asciiTheme="minorHAnsi" w:eastAsiaTheme="minorEastAsia" w:hAnsiTheme="minorHAnsi" w:cstheme="minorBidi"/>
                <w:noProof/>
                <w:lang w:eastAsia="es-ES"/>
              </w:rPr>
              <w:tab/>
            </w:r>
            <w:r w:rsidRPr="00DA7B2F">
              <w:rPr>
                <w:rStyle w:val="Hiperesteka"/>
                <w:b/>
                <w:noProof/>
              </w:rPr>
              <w:t>INDICACIÓN DEL FIN DE LA VÍA ADMINISTRATIVA</w:t>
            </w:r>
            <w:r>
              <w:rPr>
                <w:noProof/>
                <w:webHidden/>
              </w:rPr>
              <w:tab/>
            </w:r>
            <w:r>
              <w:rPr>
                <w:noProof/>
                <w:webHidden/>
              </w:rPr>
              <w:fldChar w:fldCharType="begin"/>
            </w:r>
            <w:r>
              <w:rPr>
                <w:noProof/>
                <w:webHidden/>
              </w:rPr>
              <w:instrText xml:space="preserve"> PAGEREF _Toc121128568 \h </w:instrText>
            </w:r>
            <w:r>
              <w:rPr>
                <w:noProof/>
                <w:webHidden/>
              </w:rPr>
            </w:r>
            <w:r>
              <w:rPr>
                <w:noProof/>
                <w:webHidden/>
              </w:rPr>
              <w:fldChar w:fldCharType="separate"/>
            </w:r>
            <w:r>
              <w:rPr>
                <w:noProof/>
                <w:webHidden/>
              </w:rPr>
              <w:t>42</w:t>
            </w:r>
            <w:r>
              <w:rPr>
                <w:noProof/>
                <w:webHidden/>
              </w:rPr>
              <w:fldChar w:fldCharType="end"/>
            </w:r>
          </w:hyperlink>
        </w:p>
        <w:p w:rsidR="00904A83" w:rsidRDefault="00904A83">
          <w:pPr>
            <w:pStyle w:val="EA2"/>
            <w:rPr>
              <w:rFonts w:asciiTheme="minorHAnsi" w:eastAsiaTheme="minorEastAsia" w:hAnsiTheme="minorHAnsi" w:cstheme="minorBidi"/>
              <w:noProof/>
              <w:lang w:eastAsia="es-ES"/>
            </w:rPr>
          </w:pPr>
          <w:hyperlink w:anchor="_Toc121128569" w:history="1">
            <w:r w:rsidRPr="00DA7B2F">
              <w:rPr>
                <w:rStyle w:val="Hiperesteka"/>
                <w:b/>
                <w:bCs/>
                <w:noProof/>
              </w:rPr>
              <w:t>41</w:t>
            </w:r>
            <w:r>
              <w:rPr>
                <w:rFonts w:asciiTheme="minorHAnsi" w:eastAsiaTheme="minorEastAsia" w:hAnsiTheme="minorHAnsi" w:cstheme="minorBidi"/>
                <w:noProof/>
                <w:lang w:eastAsia="es-ES"/>
              </w:rPr>
              <w:tab/>
            </w:r>
            <w:r w:rsidRPr="00DA7B2F">
              <w:rPr>
                <w:rStyle w:val="Hiperesteka"/>
                <w:b/>
                <w:noProof/>
              </w:rPr>
              <w:t>PROTECCIÓN DE DATOS DE CARÁCTER PERSONAL</w:t>
            </w:r>
            <w:r>
              <w:rPr>
                <w:noProof/>
                <w:webHidden/>
              </w:rPr>
              <w:tab/>
            </w:r>
            <w:r>
              <w:rPr>
                <w:noProof/>
                <w:webHidden/>
              </w:rPr>
              <w:fldChar w:fldCharType="begin"/>
            </w:r>
            <w:r>
              <w:rPr>
                <w:noProof/>
                <w:webHidden/>
              </w:rPr>
              <w:instrText xml:space="preserve"> PAGEREF _Toc121128569 \h </w:instrText>
            </w:r>
            <w:r>
              <w:rPr>
                <w:noProof/>
                <w:webHidden/>
              </w:rPr>
            </w:r>
            <w:r>
              <w:rPr>
                <w:noProof/>
                <w:webHidden/>
              </w:rPr>
              <w:fldChar w:fldCharType="separate"/>
            </w:r>
            <w:r>
              <w:rPr>
                <w:noProof/>
                <w:webHidden/>
              </w:rPr>
              <w:t>42</w:t>
            </w:r>
            <w:r>
              <w:rPr>
                <w:noProof/>
                <w:webHidden/>
              </w:rPr>
              <w:fldChar w:fldCharType="end"/>
            </w:r>
          </w:hyperlink>
        </w:p>
        <w:p w:rsidR="00904A83" w:rsidRDefault="00904A83">
          <w:pPr>
            <w:pStyle w:val="EA1"/>
            <w:rPr>
              <w:rFonts w:asciiTheme="minorHAnsi" w:eastAsiaTheme="minorEastAsia" w:hAnsiTheme="minorHAnsi" w:cstheme="minorBidi"/>
              <w:noProof/>
              <w:lang w:eastAsia="es-ES"/>
            </w:rPr>
          </w:pPr>
          <w:hyperlink w:anchor="_Toc121128570" w:history="1">
            <w:r w:rsidRPr="00DA7B2F">
              <w:rPr>
                <w:rStyle w:val="Hiperesteka"/>
                <w:rFonts w:ascii="Arial" w:eastAsia="Times New Roman" w:hAnsi="Arial" w:cs="Arial"/>
                <w:noProof/>
                <w:lang w:eastAsia="es-ES"/>
              </w:rPr>
              <w:t>ANEXO I</w:t>
            </w:r>
            <w:r>
              <w:rPr>
                <w:noProof/>
                <w:webHidden/>
              </w:rPr>
              <w:tab/>
            </w:r>
            <w:r>
              <w:rPr>
                <w:noProof/>
                <w:webHidden/>
              </w:rPr>
              <w:fldChar w:fldCharType="begin"/>
            </w:r>
            <w:r>
              <w:rPr>
                <w:noProof/>
                <w:webHidden/>
              </w:rPr>
              <w:instrText xml:space="preserve"> PAGEREF _Toc121128570 \h </w:instrText>
            </w:r>
            <w:r>
              <w:rPr>
                <w:noProof/>
                <w:webHidden/>
              </w:rPr>
            </w:r>
            <w:r>
              <w:rPr>
                <w:noProof/>
                <w:webHidden/>
              </w:rPr>
              <w:fldChar w:fldCharType="separate"/>
            </w:r>
            <w:r>
              <w:rPr>
                <w:noProof/>
                <w:webHidden/>
              </w:rPr>
              <w:t>43</w:t>
            </w:r>
            <w:r>
              <w:rPr>
                <w:noProof/>
                <w:webHidden/>
              </w:rPr>
              <w:fldChar w:fldCharType="end"/>
            </w:r>
          </w:hyperlink>
        </w:p>
        <w:p w:rsidR="00904A83" w:rsidRDefault="00904A83">
          <w:pPr>
            <w:pStyle w:val="EA1"/>
            <w:rPr>
              <w:rFonts w:asciiTheme="minorHAnsi" w:eastAsiaTheme="minorEastAsia" w:hAnsiTheme="minorHAnsi" w:cstheme="minorBidi"/>
              <w:noProof/>
              <w:lang w:eastAsia="es-ES"/>
            </w:rPr>
          </w:pPr>
          <w:hyperlink w:anchor="_Toc121128571" w:history="1">
            <w:r w:rsidRPr="00DA7B2F">
              <w:rPr>
                <w:rStyle w:val="Hiperesteka"/>
                <w:rFonts w:ascii="Arial" w:eastAsia="Times New Roman" w:hAnsi="Arial" w:cs="Arial"/>
                <w:noProof/>
                <w:lang w:eastAsia="es-ES"/>
              </w:rPr>
              <w:t>ANEXO II</w:t>
            </w:r>
            <w:r>
              <w:rPr>
                <w:noProof/>
                <w:webHidden/>
              </w:rPr>
              <w:tab/>
            </w:r>
            <w:r>
              <w:rPr>
                <w:noProof/>
                <w:webHidden/>
              </w:rPr>
              <w:fldChar w:fldCharType="begin"/>
            </w:r>
            <w:r>
              <w:rPr>
                <w:noProof/>
                <w:webHidden/>
              </w:rPr>
              <w:instrText xml:space="preserve"> PAGEREF _Toc121128571 \h </w:instrText>
            </w:r>
            <w:r>
              <w:rPr>
                <w:noProof/>
                <w:webHidden/>
              </w:rPr>
            </w:r>
            <w:r>
              <w:rPr>
                <w:noProof/>
                <w:webHidden/>
              </w:rPr>
              <w:fldChar w:fldCharType="separate"/>
            </w:r>
            <w:r>
              <w:rPr>
                <w:noProof/>
                <w:webHidden/>
              </w:rPr>
              <w:t>45</w:t>
            </w:r>
            <w:r>
              <w:rPr>
                <w:noProof/>
                <w:webHidden/>
              </w:rPr>
              <w:fldChar w:fldCharType="end"/>
            </w:r>
          </w:hyperlink>
        </w:p>
        <w:p w:rsidR="00904A83" w:rsidRDefault="00904A83">
          <w:pPr>
            <w:pStyle w:val="EA1"/>
            <w:rPr>
              <w:rFonts w:asciiTheme="minorHAnsi" w:eastAsiaTheme="minorEastAsia" w:hAnsiTheme="minorHAnsi" w:cstheme="minorBidi"/>
              <w:noProof/>
              <w:lang w:eastAsia="es-ES"/>
            </w:rPr>
          </w:pPr>
          <w:hyperlink w:anchor="_Toc121128572" w:history="1">
            <w:r w:rsidRPr="00DA7B2F">
              <w:rPr>
                <w:rStyle w:val="Hiperesteka"/>
                <w:rFonts w:ascii="Arial" w:eastAsia="Times New Roman" w:hAnsi="Arial" w:cs="Arial"/>
                <w:noProof/>
                <w:lang w:eastAsia="es-ES"/>
              </w:rPr>
              <w:t>ANEXO III</w:t>
            </w:r>
            <w:r>
              <w:rPr>
                <w:noProof/>
                <w:webHidden/>
              </w:rPr>
              <w:tab/>
            </w:r>
            <w:r>
              <w:rPr>
                <w:noProof/>
                <w:webHidden/>
              </w:rPr>
              <w:fldChar w:fldCharType="begin"/>
            </w:r>
            <w:r>
              <w:rPr>
                <w:noProof/>
                <w:webHidden/>
              </w:rPr>
              <w:instrText xml:space="preserve"> PAGEREF _Toc121128572 \h </w:instrText>
            </w:r>
            <w:r>
              <w:rPr>
                <w:noProof/>
                <w:webHidden/>
              </w:rPr>
            </w:r>
            <w:r>
              <w:rPr>
                <w:noProof/>
                <w:webHidden/>
              </w:rPr>
              <w:fldChar w:fldCharType="separate"/>
            </w:r>
            <w:r>
              <w:rPr>
                <w:noProof/>
                <w:webHidden/>
              </w:rPr>
              <w:t>47</w:t>
            </w:r>
            <w:r>
              <w:rPr>
                <w:noProof/>
                <w:webHidden/>
              </w:rPr>
              <w:fldChar w:fldCharType="end"/>
            </w:r>
          </w:hyperlink>
        </w:p>
        <w:p w:rsidR="00762B21" w:rsidRDefault="000723F6">
          <w:r>
            <w:fldChar w:fldCharType="end"/>
          </w:r>
        </w:p>
      </w:sdtContent>
    </w:sdt>
    <w:p w:rsidR="00762B21" w:rsidRDefault="00762B21">
      <w:pPr>
        <w:ind w:firstLine="0"/>
      </w:pPr>
      <w:r>
        <w:br w:type="page"/>
      </w:r>
    </w:p>
    <w:p w:rsidR="00482668" w:rsidRDefault="00762B21" w:rsidP="00762B21">
      <w:pPr>
        <w:pStyle w:val="Heading1"/>
        <w:numPr>
          <w:ilvl w:val="0"/>
          <w:numId w:val="0"/>
        </w:numPr>
        <w:ind w:hanging="284"/>
        <w:rPr>
          <w:color w:val="auto"/>
        </w:rPr>
      </w:pPr>
      <w:bookmarkStart w:id="4" w:name="_Hlk98932800"/>
      <w:bookmarkStart w:id="5" w:name="_Toc108763751"/>
      <w:bookmarkStart w:id="6" w:name="_Toc115897502"/>
      <w:bookmarkStart w:id="7" w:name="_Toc108599892"/>
      <w:bookmarkStart w:id="8" w:name="_Toc121128524"/>
      <w:r>
        <w:rPr>
          <w:color w:val="auto"/>
        </w:rPr>
        <w:lastRenderedPageBreak/>
        <w:t xml:space="preserve">CAPÍTULO I. DISPOSICIONES </w:t>
      </w:r>
      <w:bookmarkEnd w:id="4"/>
      <w:r>
        <w:rPr>
          <w:color w:val="auto"/>
        </w:rPr>
        <w:t>GENERALES</w:t>
      </w:r>
      <w:bookmarkEnd w:id="5"/>
      <w:bookmarkEnd w:id="6"/>
      <w:bookmarkEnd w:id="7"/>
      <w:bookmarkEnd w:id="8"/>
    </w:p>
    <w:p w:rsidR="00762B21" w:rsidRDefault="00762B21" w:rsidP="00762B21">
      <w:pPr>
        <w:ind w:firstLine="0"/>
        <w:jc w:val="both"/>
        <w:outlineLvl w:val="1"/>
      </w:pPr>
      <w:bookmarkStart w:id="9" w:name="_Ref108115949"/>
      <w:bookmarkStart w:id="10" w:name="_Ref108115956"/>
      <w:bookmarkStart w:id="11" w:name="_Ref108116610"/>
      <w:bookmarkStart w:id="12" w:name="_Ref108116616"/>
      <w:bookmarkStart w:id="13" w:name="_Toc108599893"/>
      <w:bookmarkStart w:id="14" w:name="_Toc108763752"/>
      <w:bookmarkStart w:id="15" w:name="_Toc115897503"/>
    </w:p>
    <w:p w:rsidR="00482668" w:rsidRDefault="00762B21">
      <w:pPr>
        <w:pStyle w:val="Zerrenda-paragrafoa"/>
        <w:numPr>
          <w:ilvl w:val="0"/>
          <w:numId w:val="25"/>
        </w:numPr>
        <w:jc w:val="both"/>
        <w:outlineLvl w:val="1"/>
      </w:pPr>
      <w:bookmarkStart w:id="16" w:name="_Toc121128525"/>
      <w:r>
        <w:rPr>
          <w:b/>
        </w:rPr>
        <w:t>OBJETO DE LAS BASES REGULADORAS</w:t>
      </w:r>
      <w:bookmarkEnd w:id="9"/>
      <w:bookmarkEnd w:id="10"/>
      <w:bookmarkEnd w:id="11"/>
      <w:bookmarkEnd w:id="12"/>
      <w:bookmarkEnd w:id="13"/>
      <w:bookmarkEnd w:id="14"/>
      <w:bookmarkEnd w:id="15"/>
      <w:bookmarkEnd w:id="16"/>
    </w:p>
    <w:p w:rsidR="00482668" w:rsidRDefault="00482668">
      <w:pPr>
        <w:jc w:val="both"/>
        <w:rPr>
          <w:b/>
        </w:rPr>
      </w:pPr>
    </w:p>
    <w:p w:rsidR="00482668" w:rsidRDefault="00762B21">
      <w:pPr>
        <w:ind w:firstLine="0"/>
        <w:jc w:val="both"/>
      </w:pPr>
      <w:r>
        <w:t>El objeto de las presentes bases es la regulación de la coordinación y de las condiciones de tramitación y concesión, en su caso, de las ayudas económicas a que pudieran optar los edificios residenciales situados en la c/Basaundi Bailara, números 01, 02 ,03, 04, 05, 06, 07, 08, 09, 10, 11, 12, 13, 14, 15 y 16, y los espacios libres incluidos en el barrio de Basaundi Bailara en el municipio de Lasarte-Oria, así como las ayudas individuales por situación de vulnerabilidad económica que pudieran gestionarse en el marco del Programa 1 de ayudas a las actuaciones de rehabilitación a nivel de barrio del Real Decreto 853/2021, de 5 de octubre, por el que se regulan los programas de ayuda en materia de rehabilitación residencial y vivienda social del Plan de Recuperación, Transformación y Resiliencia</w:t>
      </w:r>
      <w:r w:rsidR="006F55FD">
        <w:t>.</w:t>
      </w:r>
    </w:p>
    <w:p w:rsidR="00482668" w:rsidRDefault="00482668">
      <w:pPr>
        <w:jc w:val="both"/>
      </w:pPr>
    </w:p>
    <w:p w:rsidR="00482668" w:rsidRDefault="00482668">
      <w:pPr>
        <w:jc w:val="both"/>
        <w:rPr>
          <w:b/>
        </w:rPr>
      </w:pPr>
    </w:p>
    <w:p w:rsidR="00482668" w:rsidRDefault="00762B21">
      <w:pPr>
        <w:pStyle w:val="Zerrenda-paragrafoa"/>
        <w:numPr>
          <w:ilvl w:val="0"/>
          <w:numId w:val="25"/>
        </w:numPr>
        <w:jc w:val="both"/>
        <w:outlineLvl w:val="1"/>
      </w:pPr>
      <w:bookmarkStart w:id="17" w:name="_Toc108599894"/>
      <w:bookmarkStart w:id="18" w:name="_Toc108763753"/>
      <w:bookmarkStart w:id="19" w:name="_Toc115897504"/>
      <w:bookmarkStart w:id="20" w:name="_Toc121128526"/>
      <w:r>
        <w:rPr>
          <w:b/>
        </w:rPr>
        <w:t>NORMATIVA REGULADORA</w:t>
      </w:r>
      <w:bookmarkEnd w:id="17"/>
      <w:bookmarkEnd w:id="18"/>
      <w:bookmarkEnd w:id="19"/>
      <w:bookmarkEnd w:id="20"/>
    </w:p>
    <w:p w:rsidR="00482668" w:rsidRDefault="00482668">
      <w:pPr>
        <w:ind w:firstLine="0"/>
        <w:jc w:val="both"/>
      </w:pPr>
    </w:p>
    <w:p w:rsidR="00482668" w:rsidRDefault="00762B21">
      <w:pPr>
        <w:ind w:firstLine="0"/>
        <w:jc w:val="both"/>
      </w:pPr>
      <w:r>
        <w:t>Las subvenciones que se establecen en estas bases reguladoras se regirán, además de por lo dispuesto en las mismas, así como por la respectiva convocatoria y la resolución de concesión, por lo dispuesto en las siguientes normas:</w:t>
      </w:r>
    </w:p>
    <w:p w:rsidR="00482668" w:rsidRDefault="00482668">
      <w:pPr>
        <w:jc w:val="both"/>
      </w:pPr>
    </w:p>
    <w:p w:rsidR="00482668" w:rsidRDefault="00762B21">
      <w:pPr>
        <w:pStyle w:val="Zerrenda-paragrafoa"/>
        <w:numPr>
          <w:ilvl w:val="0"/>
          <w:numId w:val="26"/>
        </w:numPr>
        <w:ind w:left="426"/>
        <w:jc w:val="both"/>
      </w:pPr>
      <w:r>
        <w:t>Reglamento (UE) 2021/241 del Parlamento Europeo y del Consejo, de 12 de febrero de 2021, por el que se establece el Mecanismo de Recuperación y Resiliencia.</w:t>
      </w:r>
    </w:p>
    <w:p w:rsidR="00482668" w:rsidRDefault="00762B21">
      <w:pPr>
        <w:pStyle w:val="Zerrenda-paragrafoa"/>
        <w:numPr>
          <w:ilvl w:val="0"/>
          <w:numId w:val="26"/>
        </w:numPr>
        <w:ind w:left="426"/>
        <w:jc w:val="both"/>
      </w:pPr>
      <w:r>
        <w:t>Acuerdo de Financiación entre la Comisión Europea y el Reino de España.</w:t>
      </w:r>
    </w:p>
    <w:p w:rsidR="00482668" w:rsidRDefault="00762B21">
      <w:pPr>
        <w:pStyle w:val="Zerrenda-paragrafoa"/>
        <w:numPr>
          <w:ilvl w:val="0"/>
          <w:numId w:val="26"/>
        </w:numPr>
        <w:ind w:left="426"/>
        <w:jc w:val="both"/>
      </w:pPr>
      <w:r>
        <w:t>Real Decreto-ley 36/2020, de 30 de diciembre, por el que se aprueban medidas urgentes para la modernización de la Administración Pública y para la ejecución del Plan de Recuperación, Transformación y Resiliencia.</w:t>
      </w:r>
    </w:p>
    <w:p w:rsidR="00482668" w:rsidRDefault="00762B21">
      <w:pPr>
        <w:pStyle w:val="Zerrenda-paragrafoa"/>
        <w:numPr>
          <w:ilvl w:val="0"/>
          <w:numId w:val="26"/>
        </w:numPr>
        <w:ind w:left="426"/>
        <w:jc w:val="both"/>
      </w:pPr>
      <w:r>
        <w:t xml:space="preserve">Orden HFP/1030/2021 de 29 de septiembre, por la que se configura el sistema de gestión del Plan de Recuperación, Transformación y Resiliencia. </w:t>
      </w:r>
    </w:p>
    <w:p w:rsidR="00482668" w:rsidRDefault="00762B21">
      <w:pPr>
        <w:pStyle w:val="Zerrenda-paragrafoa"/>
        <w:numPr>
          <w:ilvl w:val="0"/>
          <w:numId w:val="26"/>
        </w:numPr>
        <w:ind w:left="426"/>
        <w:jc w:val="both"/>
      </w:pPr>
      <w:r>
        <w:t>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rsidR="00482668" w:rsidRDefault="00762B21">
      <w:pPr>
        <w:pStyle w:val="Zerrenda-paragrafoa"/>
        <w:numPr>
          <w:ilvl w:val="0"/>
          <w:numId w:val="26"/>
        </w:numPr>
        <w:ind w:left="426"/>
        <w:jc w:val="both"/>
      </w:pPr>
      <w:r>
        <w:t>Capítulo V de la Ley 11/2021, de 23 de diciembre, por la que se aprueban los Presupuestos Generales de la Comunidad Autónoma de Euskadi para el ejercicio 2022.</w:t>
      </w:r>
    </w:p>
    <w:p w:rsidR="00482668" w:rsidRDefault="00762B21">
      <w:pPr>
        <w:pStyle w:val="Zerrenda-paragrafoa"/>
        <w:numPr>
          <w:ilvl w:val="0"/>
          <w:numId w:val="26"/>
        </w:numPr>
        <w:ind w:left="426"/>
        <w:jc w:val="both"/>
      </w:pPr>
      <w:r>
        <w:t>Decreto Legislativo 1/1997, de 11 de noviembre, por el que se aprueba el Texto Refundido de la Ley de Principios Ordenadores de la Hacienda General del País Vasco.</w:t>
      </w:r>
    </w:p>
    <w:p w:rsidR="00482668" w:rsidRDefault="00762B21">
      <w:pPr>
        <w:pStyle w:val="Zerrenda-paragrafoa"/>
        <w:numPr>
          <w:ilvl w:val="0"/>
          <w:numId w:val="26"/>
        </w:numPr>
        <w:ind w:left="426"/>
        <w:jc w:val="both"/>
      </w:pPr>
      <w:r>
        <w:t>Ley 38/2003, de 17 de noviembre, General de Subvenciones.</w:t>
      </w:r>
    </w:p>
    <w:p w:rsidR="00482668" w:rsidRDefault="00762B21">
      <w:pPr>
        <w:pStyle w:val="Zerrenda-paragrafoa"/>
        <w:numPr>
          <w:ilvl w:val="0"/>
          <w:numId w:val="26"/>
        </w:numPr>
        <w:ind w:left="426"/>
        <w:jc w:val="both"/>
      </w:pPr>
      <w:r>
        <w:t>Real Decreto 887/2006, de 21 de julio, por el que se aprueba el Reglamento de la Ley 38/2003, de 17 de noviembre, General de Subvenciones.</w:t>
      </w:r>
    </w:p>
    <w:p w:rsidR="00482668" w:rsidRDefault="00762B21">
      <w:pPr>
        <w:pStyle w:val="Zerrenda-paragrafoa"/>
        <w:numPr>
          <w:ilvl w:val="0"/>
          <w:numId w:val="26"/>
        </w:numPr>
        <w:ind w:left="426"/>
        <w:jc w:val="both"/>
      </w:pPr>
      <w:r>
        <w:t>Decreto 698/1991, de 17 de diciembre, por el que se regula el régimen general de garantías y reintegros de las subvenciones con cargo a los Presupuestos Generales de la Comunidad Autónoma de Euskadi y se establecen los requisitos, régimen y obligaciones de las Entidades Colaboradoras que participan en su gestión.</w:t>
      </w:r>
    </w:p>
    <w:p w:rsidR="00482668" w:rsidRDefault="00762B21">
      <w:pPr>
        <w:pStyle w:val="Zerrenda-paragrafoa"/>
        <w:numPr>
          <w:ilvl w:val="0"/>
          <w:numId w:val="26"/>
        </w:numPr>
        <w:ind w:left="426"/>
        <w:jc w:val="both"/>
      </w:pPr>
      <w:r>
        <w:t>REAL DECRETO 853/2021, de 5 de octubre, por el que se regulan los programas de ayuda en materia de rehabilitación residencial y vivienda social del Plan de Recuperación, Transformación y Resiliencia.</w:t>
      </w:r>
    </w:p>
    <w:p w:rsidR="00482668" w:rsidRDefault="00762B21">
      <w:pPr>
        <w:pStyle w:val="Zerrenda-paragrafoa"/>
        <w:numPr>
          <w:ilvl w:val="0"/>
          <w:numId w:val="26"/>
        </w:numPr>
        <w:ind w:left="426"/>
        <w:jc w:val="both"/>
      </w:pPr>
      <w:r>
        <w:lastRenderedPageBreak/>
        <w:t>Acuerdo bilateral suscrito por el Ministerio de Transporte, Movilidad y Agenda Urbana (MITMA), el Gobierno Vasco (GV) y el Ayuntamiento para la gestión del ERRP dentro del marco del Programa 1 del RD 853/2021, desde la fecha de su firma.</w:t>
      </w:r>
    </w:p>
    <w:p w:rsidR="00482668" w:rsidRDefault="00762B21">
      <w:pPr>
        <w:pStyle w:val="Zerrenda-paragrafoa"/>
        <w:numPr>
          <w:ilvl w:val="0"/>
          <w:numId w:val="26"/>
        </w:numPr>
        <w:ind w:left="426"/>
        <w:jc w:val="both"/>
      </w:pPr>
      <w:r>
        <w:t>Bases de la subvención directa concedida al Ayuntamiento de Lasarte-Oria para financiar actuaciones de regeneración urbana y rehabilitación de edificios en el barrio de Basaundi Bailara del municipio, en ejecución del acuerdo bilateral suscrito entre el MITMA, el GV y el Ayuntamiento, desde su aprobación por el Consejo de Gobierno del Gobierno Vasco.</w:t>
      </w:r>
      <w:bookmarkStart w:id="21" w:name="_Hlk101171080"/>
      <w:bookmarkEnd w:id="21"/>
    </w:p>
    <w:p w:rsidR="00482668" w:rsidRDefault="00482668">
      <w:pPr>
        <w:pStyle w:val="Zerrenda-paragrafoa"/>
        <w:ind w:left="851" w:firstLine="0"/>
        <w:jc w:val="both"/>
      </w:pPr>
    </w:p>
    <w:p w:rsidR="00482668" w:rsidRDefault="00762B21">
      <w:pPr>
        <w:ind w:firstLine="0"/>
        <w:jc w:val="both"/>
      </w:pPr>
      <w:r>
        <w:t>Asimismo, resultarán de aplicación:</w:t>
      </w:r>
    </w:p>
    <w:p w:rsidR="00482668" w:rsidRDefault="00482668">
      <w:pPr>
        <w:jc w:val="both"/>
      </w:pPr>
    </w:p>
    <w:p w:rsidR="00482668" w:rsidRDefault="00762B21">
      <w:pPr>
        <w:pStyle w:val="Zerrenda-paragrafoa"/>
        <w:numPr>
          <w:ilvl w:val="0"/>
          <w:numId w:val="27"/>
        </w:numPr>
        <w:ind w:left="426" w:hanging="425"/>
        <w:jc w:val="both"/>
      </w:pPr>
      <w:r>
        <w:t>Acuerdo del Consejo de Gobierno, de 8 de febrero de 2022, en relación con la ejecución presupuestaria y contable, gestión y seguimiento de las actuaciones y proyectos vinculados al Plan de Recuperación, Transformación y Resiliencia, hecho público mediante la Resolución 30/2022, de 1 de marzo, del Director de la Secretaría del Gobierno y de Relaciones con el Parlamento (BOPV núm. 46, de 4 de marzo de 2002).</w:t>
      </w:r>
    </w:p>
    <w:p w:rsidR="00482668" w:rsidRDefault="00762B21">
      <w:pPr>
        <w:pStyle w:val="Zerrenda-paragrafoa"/>
        <w:numPr>
          <w:ilvl w:val="0"/>
          <w:numId w:val="27"/>
        </w:numPr>
        <w:ind w:left="426" w:hanging="425"/>
        <w:jc w:val="both"/>
      </w:pPr>
      <w:r>
        <w:t>Acuerdo del Consejo de Gobierno, de 29 de marzo de 2022, por el que se aprueba el “Plan de medidas para cubrir los requisitos antifraude, conflicto de interés, doble financiación y ayudas de estado y daño no significativo al medio ambiente, exigidos en la ejecución del Plan de Recuperación, Transformación y Resiliencia”, hecho público mediante la Resolución 40/2022, de 6 de abril, del Director de la Secretaría del Gobierno y de Relaciones con el Parlamento, por la que se dispone la publicación del referido acuerdo (BOPV núm. 74 de 13 de abril de 2022)</w:t>
      </w:r>
      <w:r w:rsidR="006E1494">
        <w:t>.</w:t>
      </w:r>
    </w:p>
    <w:p w:rsidR="00482668" w:rsidRDefault="00482668">
      <w:pPr>
        <w:jc w:val="both"/>
      </w:pPr>
    </w:p>
    <w:p w:rsidR="00482668" w:rsidRDefault="00762B21">
      <w:pPr>
        <w:ind w:firstLine="0"/>
        <w:jc w:val="both"/>
      </w:pPr>
      <w:r>
        <w:t>Las entidades beneficiarias deberán cumplir con las normas que a tal efecto puedan adoptar la Administración concedente de la ayuda, así como las restantes autoridades autonómicas, nacionales y europeas competentes y cuantas obligaciones vengan establecidas por resultar beneficiario de estas ayudas por razón del origen de la financiación señalada.</w:t>
      </w:r>
    </w:p>
    <w:p w:rsidR="00482668" w:rsidRDefault="00482668">
      <w:pPr>
        <w:ind w:firstLine="0"/>
        <w:jc w:val="both"/>
      </w:pPr>
    </w:p>
    <w:p w:rsidR="00482668" w:rsidRDefault="00482668">
      <w:pPr>
        <w:ind w:firstLine="0"/>
        <w:jc w:val="both"/>
      </w:pPr>
    </w:p>
    <w:p w:rsidR="00482668" w:rsidRDefault="00762B21">
      <w:pPr>
        <w:pStyle w:val="Zerrenda-paragrafoa"/>
        <w:numPr>
          <w:ilvl w:val="0"/>
          <w:numId w:val="25"/>
        </w:numPr>
        <w:jc w:val="both"/>
        <w:outlineLvl w:val="1"/>
      </w:pPr>
      <w:bookmarkStart w:id="22" w:name="_Hlk99363962"/>
      <w:bookmarkStart w:id="23" w:name="_Ref507956762"/>
      <w:bookmarkStart w:id="24" w:name="_Toc108599895"/>
      <w:bookmarkStart w:id="25" w:name="_Toc108763754"/>
      <w:bookmarkStart w:id="26" w:name="_Toc115897505"/>
      <w:bookmarkStart w:id="27" w:name="_Toc121128527"/>
      <w:r>
        <w:rPr>
          <w:b/>
        </w:rPr>
        <w:t>ÁMBITO Y APLICACIÓN DE LAS BASES REGULADORAS</w:t>
      </w:r>
      <w:bookmarkEnd w:id="22"/>
      <w:bookmarkEnd w:id="23"/>
      <w:bookmarkEnd w:id="24"/>
      <w:bookmarkEnd w:id="25"/>
      <w:bookmarkEnd w:id="26"/>
      <w:bookmarkEnd w:id="27"/>
    </w:p>
    <w:p w:rsidR="00482668" w:rsidRDefault="00482668">
      <w:pPr>
        <w:jc w:val="both"/>
      </w:pPr>
    </w:p>
    <w:p w:rsidR="00904A83" w:rsidRDefault="00762B21" w:rsidP="00904A83">
      <w:pPr>
        <w:ind w:firstLine="0"/>
        <w:jc w:val="both"/>
      </w:pPr>
      <w:r>
        <w:t xml:space="preserve">El ámbito de aplicación de estas Bases reguladoras es el delimitado para la concesión de la subvención directa concedida al Ayuntamiento, para la intervención de regeneración urbana integral en el ámbito definido en el </w:t>
      </w:r>
      <w:r w:rsidR="000723F6">
        <w:fldChar w:fldCharType="begin"/>
      </w:r>
      <w:r>
        <w:instrText>REF _Ref108115956 \h</w:instrText>
      </w:r>
      <w:r w:rsidR="00904A83">
        <w:instrText xml:space="preserve"> \* MERGEFORMAT </w:instrText>
      </w:r>
      <w:r w:rsidR="000723F6">
        <w:fldChar w:fldCharType="separate"/>
      </w:r>
    </w:p>
    <w:p w:rsidR="00482668" w:rsidRDefault="00904A83" w:rsidP="00904A83">
      <w:pPr>
        <w:ind w:firstLine="0"/>
        <w:jc w:val="both"/>
      </w:pPr>
      <w:r w:rsidRPr="00904A83">
        <w:t xml:space="preserve">OBJETO DE LAS BASES </w:t>
      </w:r>
      <w:r>
        <w:rPr>
          <w:b/>
        </w:rPr>
        <w:t>REGULADORAS</w:t>
      </w:r>
      <w:r w:rsidR="000723F6">
        <w:fldChar w:fldCharType="end"/>
      </w:r>
      <w:r w:rsidR="00762B21">
        <w:t xml:space="preserve"> de estas bases.</w:t>
      </w:r>
    </w:p>
    <w:p w:rsidR="00482668" w:rsidRDefault="00482668">
      <w:pPr>
        <w:jc w:val="both"/>
      </w:pPr>
    </w:p>
    <w:p w:rsidR="00482668" w:rsidRDefault="00762B21">
      <w:pPr>
        <w:ind w:firstLine="0"/>
        <w:jc w:val="both"/>
      </w:pPr>
      <w:r>
        <w:t>A los efectos del cumplimiento del Artículo 10 del RD 853/2021 se considera que, con la documentación tramitada para la concesión de la subvención directa concedida por el Consejo de Gobierno del Gobierno Vasco, se ha cumplido con las exigencias del Artículo 12 del RD 853/2021.</w:t>
      </w:r>
    </w:p>
    <w:p w:rsidR="00482668" w:rsidRDefault="00482668">
      <w:pPr>
        <w:jc w:val="both"/>
      </w:pPr>
    </w:p>
    <w:p w:rsidR="00482668" w:rsidRDefault="00762B21">
      <w:pPr>
        <w:ind w:firstLine="0"/>
        <w:jc w:val="both"/>
      </w:pPr>
      <w:r>
        <w:t>En consecuencia, una vez aprobado el acuerdo bilateral señalado en el mencionado artículo 12 del RD 853/2021 las presentas bases sirven para la gestión de los recursos económicos fijados en dicho acuerdo, con el siguiente objetivo:</w:t>
      </w:r>
    </w:p>
    <w:p w:rsidR="00482668" w:rsidRDefault="00482668">
      <w:pPr>
        <w:jc w:val="both"/>
      </w:pPr>
    </w:p>
    <w:p w:rsidR="00482668" w:rsidRDefault="00762B21">
      <w:pPr>
        <w:pStyle w:val="Zerrenda-paragrafoa"/>
        <w:numPr>
          <w:ilvl w:val="0"/>
          <w:numId w:val="12"/>
        </w:numPr>
        <w:ind w:left="426"/>
        <w:jc w:val="both"/>
      </w:pPr>
      <w:bookmarkStart w:id="28" w:name="_Hlk99351730"/>
      <w:r>
        <w:t xml:space="preserve">La “rehabilitación energética eficiente”, en los términos que se desarrollan en el </w:t>
      </w:r>
      <w:bookmarkEnd w:id="28"/>
      <w:r w:rsidR="000723F6">
        <w:fldChar w:fldCharType="begin"/>
      </w:r>
      <w:r>
        <w:instrText>REF _Ref507957007 \r \h</w:instrText>
      </w:r>
      <w:r w:rsidR="000723F6">
        <w:fldChar w:fldCharType="separate"/>
      </w:r>
      <w:r w:rsidR="00904A83">
        <w:t>4</w:t>
      </w:r>
      <w:r w:rsidR="000723F6">
        <w:fldChar w:fldCharType="end"/>
      </w:r>
      <w:r>
        <w:rPr>
          <w:bCs/>
        </w:rPr>
        <w:t xml:space="preserve"> </w:t>
      </w:r>
      <w:r w:rsidR="000723F6">
        <w:rPr>
          <w:b/>
        </w:rPr>
        <w:fldChar w:fldCharType="begin"/>
      </w:r>
      <w:r>
        <w:rPr>
          <w:b/>
        </w:rPr>
        <w:instrText>REF _Ref507957007 \h</w:instrText>
      </w:r>
      <w:r w:rsidR="000723F6">
        <w:rPr>
          <w:b/>
        </w:rPr>
      </w:r>
      <w:r w:rsidR="000723F6">
        <w:rPr>
          <w:b/>
        </w:rPr>
        <w:fldChar w:fldCharType="separate"/>
      </w:r>
      <w:r w:rsidR="00904A83">
        <w:rPr>
          <w:b/>
        </w:rPr>
        <w:t>ACTUACIONES QUE SE DEBEN CONSIDERAR EN LA REHABILITACIÓN ENERGÉTICA EFICIENTE</w:t>
      </w:r>
      <w:r w:rsidR="000723F6">
        <w:rPr>
          <w:b/>
        </w:rPr>
        <w:fldChar w:fldCharType="end"/>
      </w:r>
      <w:r>
        <w:t xml:space="preserve">”, de los siguientes edificios residenciales del barrio de Basaundi Bailara, en Lasarte-Oria, en el Territorio Histórico de Gipuzkoa. </w:t>
      </w:r>
    </w:p>
    <w:p w:rsidR="00482668" w:rsidRDefault="00482668">
      <w:pPr>
        <w:jc w:val="both"/>
      </w:pPr>
    </w:p>
    <w:p w:rsidR="00904A83" w:rsidRDefault="00904A83">
      <w:pPr>
        <w:jc w:val="both"/>
      </w:pPr>
    </w:p>
    <w:p w:rsidR="00904A83" w:rsidRDefault="00904A83">
      <w:pPr>
        <w:jc w:val="both"/>
      </w:pPr>
    </w:p>
    <w:p w:rsidR="00482668" w:rsidRDefault="00482668">
      <w:pPr>
        <w:jc w:val="both"/>
      </w:pPr>
    </w:p>
    <w:p w:rsidR="00482668" w:rsidRDefault="00762B21">
      <w:pPr>
        <w:pStyle w:val="Zerrenda-paragrafoa"/>
        <w:numPr>
          <w:ilvl w:val="0"/>
          <w:numId w:val="25"/>
        </w:numPr>
        <w:jc w:val="both"/>
        <w:outlineLvl w:val="1"/>
      </w:pPr>
      <w:bookmarkStart w:id="29" w:name="_Hlk103849046"/>
      <w:bookmarkStart w:id="30" w:name="_Ref507957007"/>
      <w:bookmarkStart w:id="31" w:name="_Toc108599896"/>
      <w:bookmarkStart w:id="32" w:name="_Toc108763755"/>
      <w:bookmarkStart w:id="33" w:name="_Toc115897506"/>
      <w:bookmarkStart w:id="34" w:name="_Toc121128528"/>
      <w:r>
        <w:rPr>
          <w:b/>
        </w:rPr>
        <w:t>ACTUACIONES QUE SE DEBEN CONSIDERAR EN LA REHABILITACIÓN ENERGÉTICA EFICIENTE</w:t>
      </w:r>
      <w:bookmarkEnd w:id="29"/>
      <w:bookmarkEnd w:id="30"/>
      <w:bookmarkEnd w:id="31"/>
      <w:bookmarkEnd w:id="32"/>
      <w:bookmarkEnd w:id="33"/>
      <w:bookmarkEnd w:id="34"/>
    </w:p>
    <w:p w:rsidR="00482668" w:rsidRDefault="00482668">
      <w:pPr>
        <w:jc w:val="both"/>
      </w:pPr>
    </w:p>
    <w:p w:rsidR="00482668" w:rsidRDefault="00762B21">
      <w:pPr>
        <w:ind w:firstLine="0"/>
        <w:jc w:val="both"/>
      </w:pPr>
      <w:r>
        <w:t xml:space="preserve">A los efectos de esta convocatoria se entiende por </w:t>
      </w:r>
      <w:r>
        <w:rPr>
          <w:b/>
          <w:bCs/>
        </w:rPr>
        <w:t>rehabilitación energética eficiente</w:t>
      </w:r>
      <w:r>
        <w:t xml:space="preserve"> la que incluye las actuaciones que se indican a continuación:</w:t>
      </w:r>
    </w:p>
    <w:p w:rsidR="00482668" w:rsidRDefault="00482668">
      <w:pPr>
        <w:pStyle w:val="Zerrenda-paragrafoa"/>
      </w:pPr>
    </w:p>
    <w:p w:rsidR="00482668" w:rsidRDefault="00762B21">
      <w:pPr>
        <w:pStyle w:val="Zerrenda-paragrafoa"/>
        <w:numPr>
          <w:ilvl w:val="0"/>
          <w:numId w:val="2"/>
        </w:numPr>
        <w:spacing w:before="240"/>
        <w:ind w:left="426"/>
        <w:jc w:val="both"/>
      </w:pPr>
      <w:bookmarkStart w:id="35" w:name="_Ref108600316"/>
      <w:r>
        <w:t xml:space="preserve">Las </w:t>
      </w:r>
      <w:bookmarkStart w:id="36" w:name="_Hlk98949411"/>
      <w:r>
        <w:t xml:space="preserve">actuaciones destinadas a conseguir la reducción de la demanda energética </w:t>
      </w:r>
      <w:bookmarkEnd w:id="36"/>
      <w:r>
        <w:t>anual global de calefacción y refrigeración, así como del consumo de energía primaria no renovable, referida a la certificación energética, con los siguientes criterios y objetivos:</w:t>
      </w:r>
      <w:bookmarkEnd w:id="35"/>
    </w:p>
    <w:p w:rsidR="00482668" w:rsidRDefault="00482668">
      <w:pPr>
        <w:pStyle w:val="Zerrenda-paragrafoa"/>
      </w:pPr>
    </w:p>
    <w:p w:rsidR="00482668" w:rsidRDefault="00762B21">
      <w:pPr>
        <w:pStyle w:val="Zerrenda-paragrafoa"/>
        <w:numPr>
          <w:ilvl w:val="0"/>
          <w:numId w:val="5"/>
        </w:numPr>
        <w:ind w:left="851"/>
        <w:jc w:val="both"/>
      </w:pPr>
      <w:r>
        <w:t xml:space="preserve">Una reducción mínima de la demanda energética del 35 % en edificios situados en Gipuzkoa  (Zonas Climáticas D o E). </w:t>
      </w:r>
    </w:p>
    <w:p w:rsidR="00482668" w:rsidRDefault="00762B21">
      <w:pPr>
        <w:pStyle w:val="Zerrenda-paragrafoa"/>
        <w:numPr>
          <w:ilvl w:val="0"/>
          <w:numId w:val="5"/>
        </w:numPr>
        <w:spacing w:after="240"/>
        <w:ind w:left="851"/>
        <w:jc w:val="both"/>
      </w:pPr>
      <w:r>
        <w:t xml:space="preserve">Se intentará conseguir una reducción óptima del consumo de energía primaria no renovable (ΔCep,nrenv) igual o superior al 45% con medidas pasivas y una reducción igual o superior 60% en la intervención completa. No serán elegibles las reducciones de dicho consumo inferiores al 30 % </w:t>
      </w:r>
    </w:p>
    <w:p w:rsidR="00482668" w:rsidRDefault="00762B21">
      <w:pPr>
        <w:spacing w:after="240"/>
        <w:ind w:left="426" w:firstLine="0"/>
        <w:jc w:val="both"/>
      </w:pPr>
      <w:r>
        <w:t xml:space="preserve">La verificación de la mejora en términos de eficiencia energética relativa a la reducción del consumo de energía primaria no renovable, reducción de la demanda global de calefacción y refrigeración, y de la mejora de la calificación energética, según corresponda, se realizará tanto ex ante como ex post, mediante la comparación del certificado de eficiencia energética de cada edificio o vivienda antes y después de la actuación. </w:t>
      </w:r>
    </w:p>
    <w:p w:rsidR="00482668" w:rsidRDefault="00762B21">
      <w:pPr>
        <w:spacing w:after="240"/>
        <w:ind w:left="426" w:firstLine="0"/>
        <w:jc w:val="both"/>
      </w:pPr>
      <w:r>
        <w:t>Estos certificados, regulados por el Real Decreto 390/2021, de 1 de junio, se deben realizar de acuerdo con el Real Decreto 235/2013, de 5 de abril, por el que se aprueba el procedimiento básico para la certificación de la eficiencia energética de los edificios, mediante la utilización de alguno de los programas informáticos oficialmente reconocidos, deben estar registrados en el órgano competente de la comunidad autónoma, y deben ser emitidos por técnicos competentes. Se deberán incluir los porcentajes de contribución al etiquetado verde y digital a los que darían cumplimiento los proyectos y remitir la documentación justificativa, haciendo hincapié en el cumplimiento de la normativa europea y nacional aplicable.</w:t>
      </w:r>
    </w:p>
    <w:p w:rsidR="00482668" w:rsidRDefault="00762B21">
      <w:pPr>
        <w:spacing w:after="240"/>
        <w:ind w:left="426" w:firstLine="0"/>
        <w:jc w:val="both"/>
      </w:pPr>
      <w:r>
        <w:t>Tendrá carácter obligatorio la intervención en todos los elementos de la envolvente de la edificación (fachadas, cubierta, vuelos, patios...) necesarios para alcanzar una reducción del consumo de energía primaria no renovable igual o superior al 30%. No serán elegibles las actuaciones sobre una o varias viviendas o locales del mismo edificio, consideradas individualmente.</w:t>
      </w:r>
    </w:p>
    <w:p w:rsidR="00482668" w:rsidRDefault="00762B21">
      <w:pPr>
        <w:spacing w:after="240"/>
        <w:ind w:left="426" w:firstLine="0"/>
        <w:jc w:val="both"/>
      </w:pPr>
      <w:r>
        <w:t xml:space="preserve">En los edificios en los que se hayan realizado en los últimos cuatro años intervenciones de mejora de la eficiencia energética en las que pueda acreditarse que se redujo la demanda energética anual global de calefacción y refrigeración en un porcentaje igual o superior al establecido anteriormente, quedan eximidos del cumplimiento del requisito de reducción de demanda energética anual global de calefacción y refrigeración. </w:t>
      </w:r>
    </w:p>
    <w:p w:rsidR="00482668" w:rsidRDefault="00762B21">
      <w:pPr>
        <w:spacing w:after="240"/>
        <w:ind w:left="426" w:firstLine="0"/>
        <w:jc w:val="both"/>
      </w:pPr>
      <w:r>
        <w:t>Cuando en dichas intervenciones, no se alcance una reducción igual o superior al porcentaje establecido, podrá considerarse satisfecho el requisito si con la consideración conjunta de las actuaciones realizadas en las citadas intervenciones y las que se realicen en la actuación objeto de la solicitud, se alcanzara el correspondiente porcentaje de reducción de demanda establecido, lo que deberá acreditarse mediante la correspondiente certificación de eficiencia energética.</w:t>
      </w:r>
    </w:p>
    <w:p w:rsidR="00482668" w:rsidRDefault="00762B21">
      <w:pPr>
        <w:spacing w:after="240"/>
        <w:ind w:left="426" w:firstLine="0"/>
        <w:jc w:val="both"/>
      </w:pPr>
      <w:r>
        <w:lastRenderedPageBreak/>
        <w:t>Estas mejoras de los datos obtenidos en la calificación energética podrán conseguirse mediante la realización de la actuación anterior o de su combinación total o parcial con las siguientes:</w:t>
      </w:r>
    </w:p>
    <w:p w:rsidR="00482668" w:rsidRDefault="00762B21">
      <w:pPr>
        <w:pStyle w:val="Zerrenda-paragrafoa"/>
        <w:numPr>
          <w:ilvl w:val="0"/>
          <w:numId w:val="6"/>
        </w:numPr>
        <w:ind w:left="851"/>
        <w:jc w:val="both"/>
      </w:pPr>
      <w:r>
        <w:t xml:space="preserve">Actuaciones de modificación o sustitución de huecos y sus encuentros con elementos opacos de la envolvente térmica para adecuar sus características a los valores límite de transmitancia térmica y de permeabilidad al aire, cuando proceda, establecidos en las tablas 3.1.1.a –HE1 y 3.1.3.a – HE1, del DB HE Código Técnico de la Edificación. </w:t>
      </w:r>
    </w:p>
    <w:p w:rsidR="00482668" w:rsidRDefault="00762B21">
      <w:pPr>
        <w:pStyle w:val="Zerrenda-paragrafoa"/>
        <w:numPr>
          <w:ilvl w:val="0"/>
          <w:numId w:val="6"/>
        </w:numPr>
        <w:ind w:left="851"/>
        <w:jc w:val="both"/>
      </w:pPr>
      <w:r>
        <w:t xml:space="preserve">La sustitución de calderas individuales existentes por otras de alto rendimiento. Sólo será subvencionable la instalación de equipos que no utilicen combustibles fósiles. </w:t>
      </w:r>
    </w:p>
    <w:p w:rsidR="00482668" w:rsidRDefault="00762B21">
      <w:pPr>
        <w:pStyle w:val="Zerrenda-paragrafoa"/>
        <w:numPr>
          <w:ilvl w:val="0"/>
          <w:numId w:val="6"/>
        </w:numPr>
        <w:ind w:left="851"/>
        <w:jc w:val="both"/>
      </w:pPr>
      <w:r>
        <w:t xml:space="preserve">La instalación de sistemas de calefacción y/o de ACS centralizados con caldera de biomasa, u otros sistemas de energías renovables (EE.RR.), que incluyan distribución para control de consumos individualizados. </w:t>
      </w:r>
    </w:p>
    <w:p w:rsidR="00482668" w:rsidRDefault="00762B21">
      <w:pPr>
        <w:pStyle w:val="Zerrenda-paragrafoa"/>
        <w:numPr>
          <w:ilvl w:val="0"/>
          <w:numId w:val="6"/>
        </w:numPr>
        <w:ind w:left="851"/>
        <w:jc w:val="both"/>
      </w:pPr>
      <w:r>
        <w:t xml:space="preserve">La instalación de sistemas de producción de Energía Eléctrica Fotovoltaica del edificio o mediante la constitución de comunidades de autoconsumo compartido, o comunidades energéticas locales. </w:t>
      </w:r>
    </w:p>
    <w:p w:rsidR="00482668" w:rsidRDefault="00762B21">
      <w:pPr>
        <w:pStyle w:val="Zerrenda-paragrafoa"/>
        <w:numPr>
          <w:ilvl w:val="0"/>
          <w:numId w:val="6"/>
        </w:numPr>
        <w:ind w:left="851"/>
        <w:jc w:val="both"/>
      </w:pPr>
      <w:r>
        <w:t>La instalación de cualesquiera otros sistemas de generación de EE.RR.</w:t>
      </w:r>
    </w:p>
    <w:p w:rsidR="00482668" w:rsidRDefault="00482668">
      <w:pPr>
        <w:ind w:left="720" w:firstLine="0"/>
        <w:jc w:val="both"/>
      </w:pPr>
    </w:p>
    <w:p w:rsidR="00482668" w:rsidRDefault="00762B21">
      <w:pPr>
        <w:pStyle w:val="Zerrenda-paragrafoa"/>
        <w:numPr>
          <w:ilvl w:val="0"/>
          <w:numId w:val="2"/>
        </w:numPr>
        <w:ind w:left="426"/>
        <w:jc w:val="both"/>
      </w:pPr>
      <w:r>
        <w:t>La monitorización y seguimiento del comportamiento energético y de la calidad del aire de las viviendas.</w:t>
      </w:r>
    </w:p>
    <w:p w:rsidR="00482668" w:rsidRDefault="00482668">
      <w:pPr>
        <w:pStyle w:val="Zerrenda-paragrafoa"/>
        <w:ind w:left="1080" w:firstLine="0"/>
        <w:jc w:val="both"/>
      </w:pPr>
    </w:p>
    <w:p w:rsidR="00482668" w:rsidRDefault="00762B21">
      <w:pPr>
        <w:pStyle w:val="Zerrenda-paragrafoa"/>
        <w:ind w:left="426" w:firstLine="0"/>
        <w:jc w:val="both"/>
      </w:pPr>
      <w:r>
        <w:t>Con el objetivo de constatar la eficacia y la eficiencia de las medidas y las actuaciones en la mejora de sus condiciones de habitabilidad se monitorizarán las condiciones de temperatura, humedad relativa, nivel de CO2 y, en los casos en los que la instalación lo permita, el consumo del sistema de producción térmica. Esta Monitorización se realizará en el mayor número de viviendas posible desde el inicio del proceso (antes de la ejecución de las obras) y durante los dos años siguientes a la conclusión de estas. Los equipos necesarios para la medición de los datos durante la explotación y el servicio de la instalación serán los definidos por la Dirección de Planificación Territorial y Agenda Urbana (DPTAU). Los equipos, una vez instalados, remitirán la lectura de los datos medidos a los servidores del Gobierno Vasco, para su tratamiento y explotación, consintiendo expresamente los titulares de las viviendas beneficiadas de las ayudas contempladas en estas bases, la toma de estos datos para los fines señalados.</w:t>
      </w:r>
    </w:p>
    <w:p w:rsidR="00482668" w:rsidRDefault="00482668">
      <w:pPr>
        <w:pStyle w:val="Zerrenda-paragrafoa"/>
        <w:ind w:left="1080" w:firstLine="0"/>
        <w:jc w:val="both"/>
      </w:pPr>
    </w:p>
    <w:p w:rsidR="00482668" w:rsidRDefault="00762B21">
      <w:pPr>
        <w:pStyle w:val="Zerrenda-paragrafoa"/>
        <w:numPr>
          <w:ilvl w:val="0"/>
          <w:numId w:val="2"/>
        </w:numPr>
        <w:ind w:left="426"/>
        <w:jc w:val="both"/>
      </w:pPr>
      <w:r>
        <w:t>Entre las actuaciones subvencionables se incluirán aquellos gastos necesarios para el desarrollo del conjunto de actuaciones anteriores, incluyendo los de la gestión inherente al desarrollo de las actuaciones y los gastos asociados, los de honorarios de los profesionales intervinientes, los de redacción de los proyectos y dirección de obra, certificados e informes técnicos, los derivados de la tramitación administrativa, actuaciones de realojo temporal de ocupantes, acompañamiento social y otras similares, vinculadas a las actuaciones de desarrollo del ERRP. No se consideran costes subvencionables los correspondientes a licencias, tasas, impuestos o tributos. No obstante, el IVA o el impuesto indirecto equivalente, podrán ser considerados elegibles siempre y cuando no puedan ser susceptibles de recuperación o compensación total o parcial.</w:t>
      </w:r>
    </w:p>
    <w:p w:rsidR="00482668" w:rsidRDefault="00482668">
      <w:pPr>
        <w:pStyle w:val="Zerrenda-paragrafoa"/>
        <w:ind w:left="1080" w:firstLine="0"/>
        <w:jc w:val="both"/>
      </w:pPr>
    </w:p>
    <w:p w:rsidR="00482668" w:rsidRDefault="00762B21">
      <w:pPr>
        <w:pStyle w:val="Zerrenda-paragrafoa"/>
        <w:numPr>
          <w:ilvl w:val="0"/>
          <w:numId w:val="2"/>
        </w:numPr>
        <w:ind w:left="426"/>
        <w:jc w:val="both"/>
      </w:pPr>
      <w:bookmarkStart w:id="37" w:name="_Ref108600931"/>
      <w:r>
        <w:t>Retirada, manipulación, transporte y gestión de los residuos de amianto mediante empresas autorizadas, si procediera.</w:t>
      </w:r>
      <w:bookmarkEnd w:id="37"/>
    </w:p>
    <w:p w:rsidR="00482668" w:rsidRDefault="00482668">
      <w:pPr>
        <w:ind w:left="1050" w:firstLine="66"/>
        <w:jc w:val="both"/>
      </w:pPr>
    </w:p>
    <w:p w:rsidR="00482668" w:rsidRPr="00EE4813" w:rsidRDefault="00762B21">
      <w:pPr>
        <w:ind w:firstLine="0"/>
        <w:jc w:val="both"/>
      </w:pPr>
      <w:r w:rsidRPr="00EE4813">
        <w:t xml:space="preserve">Las actuaciones arriba descritas deberán incluirse en el proyecto técnico de Rehabilitación </w:t>
      </w:r>
      <w:r w:rsidR="006E1494" w:rsidRPr="00EE4813">
        <w:t xml:space="preserve">Energética Eficiente </w:t>
      </w:r>
      <w:r w:rsidRPr="00EE4813">
        <w:t>del Edificio, en Capítulos diferenciados de las restantes intervenciones contempladas en la actuación, elaborado conjuntamente para todas ellas.</w:t>
      </w:r>
    </w:p>
    <w:p w:rsidR="00482668" w:rsidRDefault="00482668">
      <w:pPr>
        <w:jc w:val="both"/>
      </w:pPr>
    </w:p>
    <w:p w:rsidR="00482668" w:rsidRDefault="00762B21">
      <w:pPr>
        <w:ind w:firstLine="0"/>
        <w:jc w:val="both"/>
      </w:pPr>
      <w:r>
        <w:lastRenderedPageBreak/>
        <w:t>Serán subvencionables las actuaciones iniciadas con posterioridad al 1 de febrero de 2020 aunque estuvieran realizadas y finalizadas con anterioridad a la publicación de estas Bases y Convocatoria, siempre que se trate de alguna o algunas de las intervenciones descritas y se cumpla con los requisitos establecidos en las presentes bases</w:t>
      </w:r>
      <w:r w:rsidR="006E1494">
        <w:t>.</w:t>
      </w:r>
    </w:p>
    <w:p w:rsidR="00482668" w:rsidRDefault="00482668">
      <w:pPr>
        <w:jc w:val="both"/>
      </w:pPr>
    </w:p>
    <w:p w:rsidR="00482668" w:rsidRDefault="00762B21">
      <w:pPr>
        <w:ind w:firstLine="0"/>
        <w:jc w:val="both"/>
      </w:pPr>
      <w:r>
        <w:t>En todo caso, las intervenciones de rehabilitación deberán ajustarse a las prescripciones de los planes urbanísticos aplicables y habrán de contar con las oportunas autorizaciones administrativas y cumplir con todas las exigencias contenidas en el RD 853/2021 aplicables, en función de las disposiciones del MITMA y del GV.</w:t>
      </w:r>
    </w:p>
    <w:p w:rsidR="00482668" w:rsidRDefault="00482668">
      <w:pPr>
        <w:jc w:val="both"/>
      </w:pPr>
    </w:p>
    <w:p w:rsidR="00482668" w:rsidRDefault="008E1832">
      <w:pPr>
        <w:ind w:firstLine="0"/>
        <w:jc w:val="both"/>
      </w:pPr>
      <w:r>
        <w:rPr>
          <w:noProof/>
          <w:lang w:eastAsia="es-ES"/>
        </w:rPr>
        <w:drawing>
          <wp:anchor distT="0" distB="0" distL="114300" distR="114300" simplePos="0" relativeHeight="199" behindDoc="0" locked="0" layoutInCell="0" allowOverlap="1">
            <wp:simplePos x="0" y="0"/>
            <wp:positionH relativeFrom="margin">
              <wp:posOffset>-4445</wp:posOffset>
            </wp:positionH>
            <wp:positionV relativeFrom="paragraph">
              <wp:posOffset>689610</wp:posOffset>
            </wp:positionV>
            <wp:extent cx="5762625" cy="2085975"/>
            <wp:effectExtent l="19050" t="0" r="9525" b="0"/>
            <wp:wrapTopAndBottom/>
            <wp:docPr id="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8"/>
                    <pic:cNvPicPr>
                      <a:picLocks noChangeAspect="1" noChangeArrowheads="1"/>
                    </pic:cNvPicPr>
                  </pic:nvPicPr>
                  <pic:blipFill>
                    <a:blip r:embed="rId7" cstate="print"/>
                    <a:stretch>
                      <a:fillRect/>
                    </a:stretch>
                  </pic:blipFill>
                  <pic:spPr bwMode="auto">
                    <a:xfrm>
                      <a:off x="0" y="0"/>
                      <a:ext cx="5762625" cy="2085975"/>
                    </a:xfrm>
                    <a:prstGeom prst="rect">
                      <a:avLst/>
                    </a:prstGeom>
                  </pic:spPr>
                </pic:pic>
              </a:graphicData>
            </a:graphic>
          </wp:anchor>
        </w:drawing>
      </w:r>
      <w:r w:rsidR="00762B21">
        <w:t>Con el fin de poder acreditar los costes de cada una de las actuaciones para la asignación de las correspondientes ayudas y su posterior justificación, los apartados correspondientes a estas ayudas deberán figurar en los en los capítulos y subcapítulos que figuran en la Tabla 01 siguiente:</w:t>
      </w:r>
    </w:p>
    <w:p w:rsidR="00482668" w:rsidRDefault="00482668" w:rsidP="007A65F6">
      <w:pPr>
        <w:ind w:firstLine="0"/>
        <w:jc w:val="both"/>
      </w:pPr>
    </w:p>
    <w:p w:rsidR="00482668" w:rsidRDefault="00762B21">
      <w:pPr>
        <w:jc w:val="both"/>
      </w:pPr>
      <w:r>
        <w:t>Tab</w:t>
      </w:r>
      <w:r w:rsidR="00B76C09">
        <w:t xml:space="preserve">la </w:t>
      </w:r>
      <w:r>
        <w:t>1</w:t>
      </w:r>
      <w:r w:rsidR="00B76C09">
        <w:t xml:space="preserve">. </w:t>
      </w:r>
      <w:r>
        <w:t>Capítulos y subcapítulos del Proyecto correspondientes a la Rehabilitación Energética Eficiente subvencionables con los fondos del Programa 1.</w:t>
      </w:r>
    </w:p>
    <w:p w:rsidR="00482668" w:rsidRDefault="00482668">
      <w:pPr>
        <w:ind w:firstLine="0"/>
        <w:jc w:val="both"/>
      </w:pPr>
    </w:p>
    <w:p w:rsidR="00482668" w:rsidRDefault="00762B21">
      <w:pPr>
        <w:pStyle w:val="Zerrenda-paragrafoa"/>
        <w:numPr>
          <w:ilvl w:val="0"/>
          <w:numId w:val="25"/>
        </w:numPr>
        <w:ind w:left="426" w:hanging="426"/>
        <w:jc w:val="both"/>
        <w:outlineLvl w:val="1"/>
        <w:rPr>
          <w:b/>
          <w:bCs/>
        </w:rPr>
      </w:pPr>
      <w:bookmarkStart w:id="38" w:name="_Ref108599843"/>
      <w:bookmarkStart w:id="39" w:name="_Toc108599897"/>
      <w:bookmarkStart w:id="40" w:name="_Toc108763756"/>
      <w:bookmarkStart w:id="41" w:name="_Toc115897507"/>
      <w:bookmarkStart w:id="42" w:name="_Ref108599837"/>
      <w:bookmarkStart w:id="43" w:name="_Toc121128529"/>
      <w:r>
        <w:rPr>
          <w:b/>
          <w:bCs/>
        </w:rPr>
        <w:t>FINANCIACIÓN, CRÉDITOS PRESUPUESTARIOS Y CUANTÍA TOTAL MÁXIMA DE LAS SUBVENCIONES DE ESTAS BASES</w:t>
      </w:r>
      <w:bookmarkEnd w:id="38"/>
      <w:bookmarkEnd w:id="39"/>
      <w:bookmarkEnd w:id="40"/>
      <w:bookmarkEnd w:id="41"/>
      <w:bookmarkEnd w:id="42"/>
      <w:bookmarkEnd w:id="43"/>
    </w:p>
    <w:p w:rsidR="00482668" w:rsidRDefault="00482668">
      <w:pPr>
        <w:pStyle w:val="Zerrenda-paragrafoa"/>
        <w:ind w:left="360" w:firstLine="0"/>
        <w:jc w:val="both"/>
        <w:outlineLvl w:val="1"/>
      </w:pPr>
    </w:p>
    <w:p w:rsidR="00272611" w:rsidRDefault="00762B21" w:rsidP="00272611">
      <w:pPr>
        <w:ind w:firstLine="0"/>
        <w:jc w:val="both"/>
        <w:rPr>
          <w:bCs/>
        </w:rPr>
      </w:pPr>
      <w:r>
        <w:rPr>
          <w:bCs/>
        </w:rPr>
        <w:t xml:space="preserve">Las obras necesarias para que el edificio alcance la condición de “Rehabilitación </w:t>
      </w:r>
      <w:r w:rsidR="006E1494">
        <w:rPr>
          <w:bCs/>
        </w:rPr>
        <w:t xml:space="preserve">Energética </w:t>
      </w:r>
      <w:r>
        <w:rPr>
          <w:bCs/>
        </w:rPr>
        <w:t>Eficiente” podrán desarrollarse en fases distintas, correspondientes a las subvencionadas por cada uno de los programas de ayudas con que éstas se financian y a las que se puede optar a través de estas bases:</w:t>
      </w:r>
    </w:p>
    <w:p w:rsidR="00272611" w:rsidRDefault="00272611" w:rsidP="00272611">
      <w:pPr>
        <w:pStyle w:val="Zerrenda-paragrafoa"/>
        <w:ind w:firstLine="0"/>
        <w:jc w:val="both"/>
      </w:pPr>
    </w:p>
    <w:p w:rsidR="00482668" w:rsidRDefault="00762B21" w:rsidP="00272611">
      <w:pPr>
        <w:pStyle w:val="Zerrenda-paragrafoa"/>
        <w:numPr>
          <w:ilvl w:val="0"/>
          <w:numId w:val="43"/>
        </w:numPr>
        <w:jc w:val="both"/>
      </w:pPr>
      <w:r>
        <w:t xml:space="preserve">La dotación económica total derivada del </w:t>
      </w:r>
      <w:r w:rsidRPr="00272611">
        <w:rPr>
          <w:b/>
          <w:bCs/>
        </w:rPr>
        <w:t>“Programa 1. Ayuda a las actuaciones de rehabilitación a nivel de barrio del R.D. 853/2021”</w:t>
      </w:r>
      <w:r>
        <w:t>, del Instrumento Europeo de Recuperación (“Next Generation EU”), a través del Mecanismo de Recuperación y Resiliencia establecido por el Reglamento (UE) 2021/241 del Parlamento Europeo y del Con</w:t>
      </w:r>
      <w:r w:rsidR="00B76C09">
        <w:t>sejo, de 12 de febrero de 2021,</w:t>
      </w:r>
      <w:r w:rsidR="00F2748A">
        <w:t xml:space="preserve"> </w:t>
      </w:r>
      <w:r>
        <w:t>por el que se establece el Mecanismo de Recuperación y Resiliencia con los importes que figuren en el Acuerdo Bilateral suscrito entre el MITMA, el GV y el Ayuntamiento</w:t>
      </w:r>
      <w:r w:rsidR="006E1494">
        <w:t>.</w:t>
      </w:r>
    </w:p>
    <w:tbl>
      <w:tblPr>
        <w:tblW w:w="7792" w:type="dxa"/>
        <w:jc w:val="center"/>
        <w:tblLayout w:type="fixed"/>
        <w:tblLook w:val="0000"/>
      </w:tblPr>
      <w:tblGrid>
        <w:gridCol w:w="1743"/>
        <w:gridCol w:w="4068"/>
        <w:gridCol w:w="1981"/>
      </w:tblGrid>
      <w:tr w:rsidR="00482668">
        <w:trPr>
          <w:jc w:val="center"/>
        </w:trPr>
        <w:tc>
          <w:tcPr>
            <w:tcW w:w="1743" w:type="dxa"/>
            <w:vMerge w:val="restart"/>
            <w:tcBorders>
              <w:top w:val="single" w:sz="4" w:space="0" w:color="595959"/>
              <w:left w:val="single" w:sz="4" w:space="0" w:color="000000"/>
              <w:bottom w:val="single" w:sz="4" w:space="0" w:color="000000"/>
              <w:right w:val="single" w:sz="4" w:space="0" w:color="000000"/>
            </w:tcBorders>
            <w:vAlign w:val="center"/>
          </w:tcPr>
          <w:p w:rsidR="00482668" w:rsidRPr="008E1832" w:rsidRDefault="00762B21" w:rsidP="008E1832">
            <w:pPr>
              <w:widowControl w:val="0"/>
              <w:tabs>
                <w:tab w:val="left" w:pos="851"/>
              </w:tabs>
              <w:spacing w:after="100"/>
              <w:ind w:firstLine="0"/>
              <w:rPr>
                <w:rFonts w:asciiTheme="minorHAnsi" w:hAnsiTheme="minorHAnsi" w:cstheme="minorHAnsi"/>
                <w:sz w:val="20"/>
                <w:szCs w:val="20"/>
                <w:lang w:eastAsia="es-ES"/>
              </w:rPr>
            </w:pPr>
            <w:r w:rsidRPr="008E1832">
              <w:rPr>
                <w:rFonts w:asciiTheme="minorHAnsi" w:hAnsiTheme="minorHAnsi" w:cstheme="minorHAnsi"/>
                <w:sz w:val="20"/>
                <w:szCs w:val="20"/>
                <w:lang w:eastAsia="es-ES"/>
              </w:rPr>
              <w:t>Rehabilitación edificatoria</w:t>
            </w:r>
          </w:p>
        </w:tc>
        <w:tc>
          <w:tcPr>
            <w:tcW w:w="4068" w:type="dxa"/>
            <w:tcBorders>
              <w:top w:val="single" w:sz="4" w:space="0" w:color="595959"/>
              <w:left w:val="single" w:sz="4" w:space="0" w:color="000000"/>
              <w:bottom w:val="single" w:sz="4" w:space="0" w:color="000000"/>
              <w:right w:val="single" w:sz="4" w:space="0" w:color="000000"/>
            </w:tcBorders>
            <w:vAlign w:val="center"/>
          </w:tcPr>
          <w:p w:rsidR="00482668" w:rsidRPr="008E1832" w:rsidRDefault="00762B21">
            <w:pPr>
              <w:widowControl w:val="0"/>
              <w:tabs>
                <w:tab w:val="left" w:pos="851"/>
              </w:tabs>
              <w:spacing w:after="100"/>
              <w:rPr>
                <w:rFonts w:asciiTheme="minorHAnsi" w:hAnsiTheme="minorHAnsi" w:cstheme="minorHAnsi"/>
                <w:sz w:val="20"/>
                <w:szCs w:val="20"/>
                <w:lang w:eastAsia="es-ES"/>
              </w:rPr>
            </w:pPr>
            <w:r w:rsidRPr="008E1832">
              <w:rPr>
                <w:rFonts w:asciiTheme="minorHAnsi" w:hAnsiTheme="minorHAnsi" w:cstheme="minorHAnsi"/>
                <w:sz w:val="20"/>
                <w:szCs w:val="20"/>
                <w:lang w:eastAsia="es-ES"/>
              </w:rPr>
              <w:t>Ayuda base</w:t>
            </w:r>
          </w:p>
        </w:tc>
        <w:tc>
          <w:tcPr>
            <w:tcW w:w="1981" w:type="dxa"/>
            <w:tcBorders>
              <w:top w:val="single" w:sz="4" w:space="0" w:color="595959"/>
              <w:left w:val="single" w:sz="4" w:space="0" w:color="000000"/>
              <w:bottom w:val="single" w:sz="4" w:space="0" w:color="000000"/>
              <w:right w:val="single" w:sz="4" w:space="0" w:color="000000"/>
            </w:tcBorders>
            <w:vAlign w:val="center"/>
          </w:tcPr>
          <w:p w:rsidR="00482668" w:rsidRPr="008E1832" w:rsidRDefault="00762B21">
            <w:pPr>
              <w:widowControl w:val="0"/>
              <w:tabs>
                <w:tab w:val="left" w:pos="851"/>
              </w:tabs>
              <w:spacing w:after="100"/>
              <w:jc w:val="center"/>
              <w:rPr>
                <w:rFonts w:asciiTheme="minorHAnsi" w:hAnsiTheme="minorHAnsi" w:cstheme="minorHAnsi"/>
                <w:sz w:val="20"/>
                <w:szCs w:val="20"/>
                <w:lang w:eastAsia="es-ES"/>
              </w:rPr>
            </w:pPr>
            <w:r w:rsidRPr="008E1832">
              <w:rPr>
                <w:rFonts w:asciiTheme="minorHAnsi" w:hAnsiTheme="minorHAnsi" w:cstheme="minorHAnsi"/>
                <w:sz w:val="20"/>
                <w:szCs w:val="20"/>
                <w:lang w:eastAsia="es-ES"/>
              </w:rPr>
              <w:t>3.472.271,68 €</w:t>
            </w:r>
          </w:p>
        </w:tc>
      </w:tr>
      <w:tr w:rsidR="00482668">
        <w:trPr>
          <w:trHeight w:val="286"/>
          <w:jc w:val="center"/>
        </w:trPr>
        <w:tc>
          <w:tcPr>
            <w:tcW w:w="1743" w:type="dxa"/>
            <w:vMerge/>
            <w:tcBorders>
              <w:top w:val="single" w:sz="4" w:space="0" w:color="595959"/>
              <w:left w:val="single" w:sz="4" w:space="0" w:color="000000"/>
              <w:bottom w:val="single" w:sz="4" w:space="0" w:color="000000"/>
              <w:right w:val="single" w:sz="4" w:space="0" w:color="000000"/>
            </w:tcBorders>
            <w:vAlign w:val="center"/>
          </w:tcPr>
          <w:p w:rsidR="00482668" w:rsidRPr="008E1832" w:rsidRDefault="00482668">
            <w:pPr>
              <w:widowControl w:val="0"/>
              <w:rPr>
                <w:rFonts w:asciiTheme="minorHAnsi" w:hAnsiTheme="minorHAnsi" w:cstheme="minorHAnsi"/>
              </w:rPr>
            </w:pPr>
          </w:p>
        </w:tc>
        <w:tc>
          <w:tcPr>
            <w:tcW w:w="4068" w:type="dxa"/>
            <w:tcBorders>
              <w:top w:val="single" w:sz="4" w:space="0" w:color="000000"/>
              <w:left w:val="single" w:sz="4" w:space="0" w:color="000000"/>
              <w:bottom w:val="single" w:sz="4" w:space="0" w:color="000000"/>
              <w:right w:val="single" w:sz="4" w:space="0" w:color="000000"/>
            </w:tcBorders>
            <w:vAlign w:val="center"/>
          </w:tcPr>
          <w:p w:rsidR="00482668" w:rsidRPr="008E1832" w:rsidRDefault="00762B21">
            <w:pPr>
              <w:widowControl w:val="0"/>
              <w:tabs>
                <w:tab w:val="left" w:pos="851"/>
              </w:tabs>
              <w:spacing w:after="100"/>
              <w:rPr>
                <w:rFonts w:asciiTheme="minorHAnsi" w:hAnsiTheme="minorHAnsi" w:cstheme="minorHAnsi"/>
                <w:sz w:val="20"/>
                <w:szCs w:val="20"/>
                <w:lang w:eastAsia="es-ES"/>
              </w:rPr>
            </w:pPr>
            <w:r w:rsidRPr="008E1832">
              <w:rPr>
                <w:rFonts w:asciiTheme="minorHAnsi" w:hAnsiTheme="minorHAnsi" w:cstheme="minorHAnsi"/>
                <w:sz w:val="20"/>
                <w:szCs w:val="20"/>
                <w:lang w:eastAsia="es-ES"/>
              </w:rPr>
              <w:t>Incremento por vulnerabilidad</w:t>
            </w:r>
          </w:p>
        </w:tc>
        <w:tc>
          <w:tcPr>
            <w:tcW w:w="1981" w:type="dxa"/>
            <w:tcBorders>
              <w:top w:val="single" w:sz="4" w:space="0" w:color="000000"/>
              <w:left w:val="single" w:sz="4" w:space="0" w:color="000000"/>
              <w:bottom w:val="single" w:sz="4" w:space="0" w:color="000000"/>
              <w:right w:val="single" w:sz="4" w:space="0" w:color="000000"/>
            </w:tcBorders>
            <w:vAlign w:val="center"/>
          </w:tcPr>
          <w:p w:rsidR="00482668" w:rsidRPr="008E1832" w:rsidRDefault="00762B21">
            <w:pPr>
              <w:widowControl w:val="0"/>
              <w:tabs>
                <w:tab w:val="left" w:pos="851"/>
              </w:tabs>
              <w:spacing w:after="100"/>
              <w:jc w:val="center"/>
              <w:rPr>
                <w:rFonts w:asciiTheme="minorHAnsi" w:hAnsiTheme="minorHAnsi" w:cstheme="minorHAnsi"/>
                <w:sz w:val="20"/>
                <w:szCs w:val="20"/>
                <w:lang w:eastAsia="es-ES"/>
              </w:rPr>
            </w:pPr>
            <w:r w:rsidRPr="008E1832">
              <w:rPr>
                <w:rFonts w:asciiTheme="minorHAnsi" w:hAnsiTheme="minorHAnsi" w:cstheme="minorHAnsi"/>
                <w:sz w:val="20"/>
                <w:szCs w:val="20"/>
                <w:lang w:eastAsia="es-ES"/>
              </w:rPr>
              <w:t>327.444,90 €</w:t>
            </w:r>
          </w:p>
        </w:tc>
      </w:tr>
      <w:tr w:rsidR="00482668">
        <w:trPr>
          <w:trHeight w:val="285"/>
          <w:jc w:val="center"/>
        </w:trPr>
        <w:tc>
          <w:tcPr>
            <w:tcW w:w="1743" w:type="dxa"/>
            <w:vMerge/>
            <w:tcBorders>
              <w:top w:val="single" w:sz="4" w:space="0" w:color="595959"/>
              <w:left w:val="single" w:sz="4" w:space="0" w:color="000000"/>
              <w:bottom w:val="single" w:sz="4" w:space="0" w:color="000000"/>
              <w:right w:val="single" w:sz="4" w:space="0" w:color="000000"/>
            </w:tcBorders>
            <w:vAlign w:val="center"/>
          </w:tcPr>
          <w:p w:rsidR="00482668" w:rsidRPr="008E1832" w:rsidRDefault="00482668">
            <w:pPr>
              <w:widowControl w:val="0"/>
              <w:rPr>
                <w:rFonts w:asciiTheme="minorHAnsi" w:hAnsiTheme="minorHAnsi" w:cstheme="minorHAnsi"/>
              </w:rPr>
            </w:pPr>
          </w:p>
        </w:tc>
        <w:tc>
          <w:tcPr>
            <w:tcW w:w="4068" w:type="dxa"/>
            <w:tcBorders>
              <w:top w:val="single" w:sz="4" w:space="0" w:color="000000"/>
              <w:left w:val="single" w:sz="4" w:space="0" w:color="000000"/>
              <w:bottom w:val="single" w:sz="4" w:space="0" w:color="000000"/>
              <w:right w:val="single" w:sz="4" w:space="0" w:color="000000"/>
            </w:tcBorders>
            <w:vAlign w:val="center"/>
          </w:tcPr>
          <w:p w:rsidR="00482668" w:rsidRPr="008E1832" w:rsidRDefault="00762B21">
            <w:pPr>
              <w:widowControl w:val="0"/>
              <w:tabs>
                <w:tab w:val="left" w:pos="851"/>
              </w:tabs>
              <w:spacing w:after="100"/>
              <w:rPr>
                <w:rFonts w:asciiTheme="minorHAnsi" w:hAnsiTheme="minorHAnsi" w:cstheme="minorHAnsi"/>
                <w:sz w:val="20"/>
                <w:szCs w:val="20"/>
                <w:lang w:eastAsia="es-ES"/>
              </w:rPr>
            </w:pPr>
            <w:r w:rsidRPr="008E1832">
              <w:rPr>
                <w:rFonts w:asciiTheme="minorHAnsi" w:hAnsiTheme="minorHAnsi" w:cstheme="minorHAnsi"/>
                <w:sz w:val="20"/>
                <w:szCs w:val="20"/>
                <w:lang w:eastAsia="es-ES"/>
              </w:rPr>
              <w:t>Retirada de amianto</w:t>
            </w:r>
          </w:p>
        </w:tc>
        <w:tc>
          <w:tcPr>
            <w:tcW w:w="1981" w:type="dxa"/>
            <w:tcBorders>
              <w:top w:val="single" w:sz="4" w:space="0" w:color="000000"/>
              <w:left w:val="single" w:sz="4" w:space="0" w:color="000000"/>
              <w:bottom w:val="single" w:sz="4" w:space="0" w:color="000000"/>
              <w:right w:val="single" w:sz="4" w:space="0" w:color="000000"/>
            </w:tcBorders>
            <w:vAlign w:val="center"/>
          </w:tcPr>
          <w:p w:rsidR="00482668" w:rsidRPr="008E1832" w:rsidRDefault="00762B21">
            <w:pPr>
              <w:widowControl w:val="0"/>
              <w:tabs>
                <w:tab w:val="left" w:pos="851"/>
              </w:tabs>
              <w:spacing w:after="100"/>
              <w:jc w:val="center"/>
              <w:rPr>
                <w:rFonts w:asciiTheme="minorHAnsi" w:hAnsiTheme="minorHAnsi" w:cstheme="minorHAnsi"/>
                <w:sz w:val="20"/>
                <w:szCs w:val="20"/>
                <w:lang w:eastAsia="es-ES"/>
              </w:rPr>
            </w:pPr>
            <w:r w:rsidRPr="008E1832">
              <w:rPr>
                <w:rFonts w:asciiTheme="minorHAnsi" w:hAnsiTheme="minorHAnsi" w:cstheme="minorHAnsi"/>
                <w:sz w:val="20"/>
                <w:szCs w:val="20"/>
                <w:lang w:eastAsia="es-ES"/>
              </w:rPr>
              <w:t>101.000,00 €</w:t>
            </w:r>
          </w:p>
        </w:tc>
      </w:tr>
      <w:tr w:rsidR="00482668">
        <w:trPr>
          <w:jc w:val="center"/>
        </w:trPr>
        <w:tc>
          <w:tcPr>
            <w:tcW w:w="5811" w:type="dxa"/>
            <w:gridSpan w:val="2"/>
            <w:tcBorders>
              <w:top w:val="single" w:sz="4" w:space="0" w:color="000000"/>
              <w:left w:val="single" w:sz="4" w:space="0" w:color="000000"/>
              <w:bottom w:val="single" w:sz="4" w:space="0" w:color="000000"/>
              <w:right w:val="single" w:sz="4" w:space="0" w:color="000000"/>
            </w:tcBorders>
            <w:shd w:val="clear" w:color="auto" w:fill="D9E2F3"/>
            <w:vAlign w:val="center"/>
          </w:tcPr>
          <w:p w:rsidR="00482668" w:rsidRPr="008E1832" w:rsidRDefault="00762B21">
            <w:pPr>
              <w:widowControl w:val="0"/>
              <w:tabs>
                <w:tab w:val="left" w:pos="851"/>
              </w:tabs>
              <w:spacing w:after="100"/>
              <w:jc w:val="right"/>
              <w:rPr>
                <w:rFonts w:asciiTheme="minorHAnsi" w:hAnsiTheme="minorHAnsi" w:cstheme="minorHAnsi"/>
                <w:b/>
                <w:bCs/>
                <w:sz w:val="20"/>
                <w:szCs w:val="20"/>
                <w:lang w:eastAsia="es-ES"/>
              </w:rPr>
            </w:pPr>
            <w:r w:rsidRPr="008E1832">
              <w:rPr>
                <w:rFonts w:asciiTheme="minorHAnsi" w:hAnsiTheme="minorHAnsi" w:cstheme="minorHAnsi"/>
                <w:b/>
                <w:bCs/>
                <w:sz w:val="20"/>
                <w:szCs w:val="20"/>
                <w:lang w:eastAsia="es-ES"/>
              </w:rPr>
              <w:t>TOTAL</w:t>
            </w:r>
          </w:p>
        </w:tc>
        <w:tc>
          <w:tcPr>
            <w:tcW w:w="1981" w:type="dxa"/>
            <w:tcBorders>
              <w:top w:val="single" w:sz="4" w:space="0" w:color="000000"/>
              <w:left w:val="single" w:sz="4" w:space="0" w:color="000000"/>
              <w:bottom w:val="single" w:sz="4" w:space="0" w:color="000000"/>
              <w:right w:val="single" w:sz="4" w:space="0" w:color="000000"/>
            </w:tcBorders>
            <w:shd w:val="clear" w:color="auto" w:fill="D9E2F3"/>
            <w:vAlign w:val="center"/>
          </w:tcPr>
          <w:p w:rsidR="00482668" w:rsidRPr="008E1832" w:rsidRDefault="00762B21">
            <w:pPr>
              <w:widowControl w:val="0"/>
              <w:tabs>
                <w:tab w:val="left" w:pos="851"/>
              </w:tabs>
              <w:spacing w:after="100"/>
              <w:jc w:val="center"/>
              <w:rPr>
                <w:rFonts w:asciiTheme="minorHAnsi" w:hAnsiTheme="minorHAnsi" w:cstheme="minorHAnsi"/>
                <w:b/>
                <w:bCs/>
                <w:sz w:val="20"/>
                <w:szCs w:val="20"/>
                <w:lang w:eastAsia="es-ES"/>
              </w:rPr>
            </w:pPr>
            <w:r w:rsidRPr="008E1832">
              <w:rPr>
                <w:rFonts w:asciiTheme="minorHAnsi" w:hAnsiTheme="minorHAnsi" w:cstheme="minorHAnsi"/>
                <w:b/>
                <w:bCs/>
                <w:sz w:val="20"/>
                <w:szCs w:val="20"/>
                <w:lang w:eastAsia="es-ES"/>
              </w:rPr>
              <w:t>3.900.716,58 €</w:t>
            </w:r>
          </w:p>
        </w:tc>
      </w:tr>
    </w:tbl>
    <w:p w:rsidR="00482668" w:rsidRDefault="00B76C09" w:rsidP="008E1832">
      <w:pPr>
        <w:jc w:val="center"/>
      </w:pPr>
      <w:r>
        <w:t>Tabla 2</w:t>
      </w:r>
    </w:p>
    <w:p w:rsidR="00482668" w:rsidRDefault="00762B21">
      <w:pPr>
        <w:ind w:firstLine="0"/>
        <w:jc w:val="both"/>
      </w:pPr>
      <w:r>
        <w:lastRenderedPageBreak/>
        <w:t>Si una vez agotado el crédito presupuestario existieran solicitudes bien a las Comunidades de Propietarios o por criterio social sin atender, y en el caso de que hubiera crédito suficiente y así lo acordaran las Administraciones involucradas, se podrá ampliar la partida presupuestaria a la que estén imputadas las subvenciones para atender las no resueltas.</w:t>
      </w:r>
    </w:p>
    <w:p w:rsidR="00482668" w:rsidRDefault="00482668">
      <w:pPr>
        <w:ind w:firstLine="0"/>
        <w:jc w:val="both"/>
      </w:pPr>
    </w:p>
    <w:p w:rsidR="00482668" w:rsidRDefault="00762B21">
      <w:pPr>
        <w:ind w:firstLine="0"/>
        <w:jc w:val="both"/>
      </w:pPr>
      <w:r>
        <w:t>El período máximo de ejecución de solicitud de las ayudas será el contemplado en estas bases, debiendo ejecutarse las intervenciones entre los meses de marzo de 2020 y octubre de 2025, pudiendo prorrogarse hasta el mes de marzo de 2026 en caso de que se justifique y se acepte por las Administraciones involucradas la necesidad de conceder dicha prórroga.</w:t>
      </w:r>
    </w:p>
    <w:p w:rsidR="00482668" w:rsidRDefault="00482668">
      <w:pPr>
        <w:ind w:firstLine="0"/>
        <w:jc w:val="both"/>
      </w:pPr>
    </w:p>
    <w:p w:rsidR="00482668" w:rsidRDefault="00482668">
      <w:pPr>
        <w:ind w:firstLine="0"/>
        <w:jc w:val="both"/>
      </w:pPr>
    </w:p>
    <w:p w:rsidR="00482668" w:rsidRDefault="00762B21">
      <w:pPr>
        <w:pStyle w:val="Zerrenda-paragrafoa"/>
        <w:numPr>
          <w:ilvl w:val="0"/>
          <w:numId w:val="25"/>
        </w:numPr>
        <w:jc w:val="both"/>
        <w:outlineLvl w:val="1"/>
      </w:pPr>
      <w:bookmarkStart w:id="44" w:name="_Toc108763757"/>
      <w:bookmarkStart w:id="45" w:name="_Toc115897508"/>
      <w:bookmarkStart w:id="46" w:name="_Toc108599898"/>
      <w:bookmarkStart w:id="47" w:name="_Toc121128530"/>
      <w:r>
        <w:rPr>
          <w:b/>
          <w:sz w:val="24"/>
          <w:szCs w:val="24"/>
        </w:rPr>
        <w:t>RÉGIMEN DE CONCESIÓN</w:t>
      </w:r>
      <w:bookmarkEnd w:id="44"/>
      <w:bookmarkEnd w:id="45"/>
      <w:bookmarkEnd w:id="46"/>
      <w:bookmarkEnd w:id="47"/>
    </w:p>
    <w:p w:rsidR="00482668" w:rsidRDefault="00482668">
      <w:pPr>
        <w:jc w:val="both"/>
        <w:rPr>
          <w:b/>
          <w:sz w:val="24"/>
          <w:szCs w:val="24"/>
        </w:rPr>
      </w:pPr>
    </w:p>
    <w:p w:rsidR="00904A83" w:rsidRDefault="00762B21" w:rsidP="00904A83">
      <w:pPr>
        <w:ind w:firstLine="0"/>
        <w:jc w:val="both"/>
      </w:pPr>
      <w:r w:rsidRPr="00904A83">
        <w:t>La concesión de esta ayuda por parte del Ayuntamiento, se efectuará en régimen de libre concurrencia mediante el sistema de evaluación individualizada para cada comunidad de propietarios y unidad convivencial, dentro de las edificaciones señaladas en el</w:t>
      </w:r>
      <w:r w:rsidR="00904A83" w:rsidRPr="00904A83">
        <w:t xml:space="preserve"> </w:t>
      </w:r>
      <w:r w:rsidR="000723F6">
        <w:fldChar w:fldCharType="begin"/>
      </w:r>
      <w:r>
        <w:instrText>REF _Ref108116616 \h</w:instrText>
      </w:r>
      <w:r w:rsidR="00904A83">
        <w:instrText xml:space="preserve"> \* MERGEFORMAT </w:instrText>
      </w:r>
      <w:r w:rsidR="000723F6">
        <w:fldChar w:fldCharType="separate"/>
      </w:r>
    </w:p>
    <w:p w:rsidR="00482668" w:rsidRDefault="00904A83" w:rsidP="00904A83">
      <w:pPr>
        <w:ind w:firstLine="0"/>
        <w:jc w:val="both"/>
      </w:pPr>
      <w:r w:rsidRPr="00904A83">
        <w:t xml:space="preserve">OBJETO DE LAS BASES </w:t>
      </w:r>
      <w:r>
        <w:rPr>
          <w:b/>
        </w:rPr>
        <w:t>REGULADORAS</w:t>
      </w:r>
      <w:r w:rsidR="000723F6">
        <w:fldChar w:fldCharType="end"/>
      </w:r>
      <w:r w:rsidR="00762B21" w:rsidRPr="00904A83">
        <w:t xml:space="preserve"> y con los hitos y plazos señalados en el </w:t>
      </w:r>
      <w:fldSimple w:instr="REF _Ref115865753 \r \h \* MERGEFORMAT ">
        <w:r>
          <w:t>27</w:t>
        </w:r>
      </w:fldSimple>
      <w:r w:rsidR="00762B21" w:rsidRPr="00904A83">
        <w:t xml:space="preserve"> </w:t>
      </w:r>
      <w:fldSimple w:instr="REF _Ref115865759 \h \* MERGEFORMAT ">
        <w:r w:rsidRPr="00904A83">
          <w:t>PRESENTACIÓN Y PLAZO DE PRESENTACIÓN DE SOLICITUDES</w:t>
        </w:r>
      </w:fldSimple>
    </w:p>
    <w:p w:rsidR="00482668" w:rsidRDefault="00762B21">
      <w:pPr>
        <w:rPr>
          <w:bCs/>
          <w:sz w:val="24"/>
          <w:szCs w:val="24"/>
        </w:rPr>
      </w:pPr>
      <w:r>
        <w:br w:type="page"/>
      </w:r>
    </w:p>
    <w:p w:rsidR="00482668" w:rsidRDefault="00762B21" w:rsidP="00762B21">
      <w:pPr>
        <w:pStyle w:val="Heading1"/>
        <w:numPr>
          <w:ilvl w:val="0"/>
          <w:numId w:val="0"/>
        </w:numPr>
        <w:ind w:left="1134" w:hanging="1418"/>
        <w:jc w:val="both"/>
        <w:rPr>
          <w:rFonts w:ascii="Calibri" w:hAnsi="Calibri" w:cs="Times New Roman"/>
          <w:color w:val="auto"/>
        </w:rPr>
      </w:pPr>
      <w:bookmarkStart w:id="48" w:name="_Toc108763758"/>
      <w:bookmarkStart w:id="49" w:name="_Toc115897509"/>
      <w:bookmarkStart w:id="50" w:name="_Toc108599899"/>
      <w:bookmarkStart w:id="51" w:name="_Toc121128531"/>
      <w:r>
        <w:rPr>
          <w:rFonts w:ascii="Calibri" w:hAnsi="Calibri" w:cs="Times New Roman"/>
          <w:color w:val="auto"/>
        </w:rPr>
        <w:lastRenderedPageBreak/>
        <w:t>CAPÍTULO II. REQUISITOS DE PERSONAS BENEFICIARIAS, OTROS ENTES INTERVINIENTES Y EDIFICIOS</w:t>
      </w:r>
      <w:bookmarkEnd w:id="48"/>
      <w:bookmarkEnd w:id="49"/>
      <w:bookmarkEnd w:id="50"/>
      <w:bookmarkEnd w:id="51"/>
    </w:p>
    <w:p w:rsidR="00482668" w:rsidRDefault="00482668">
      <w:pPr>
        <w:jc w:val="both"/>
      </w:pPr>
    </w:p>
    <w:p w:rsidR="00482668" w:rsidRDefault="00762B21">
      <w:pPr>
        <w:pStyle w:val="Zerrenda-paragrafoa"/>
        <w:numPr>
          <w:ilvl w:val="0"/>
          <w:numId w:val="25"/>
        </w:numPr>
        <w:jc w:val="both"/>
        <w:outlineLvl w:val="1"/>
      </w:pPr>
      <w:bookmarkStart w:id="52" w:name="_Toc108763759"/>
      <w:bookmarkStart w:id="53" w:name="_Toc115897510"/>
      <w:bookmarkStart w:id="54" w:name="_Toc108599900"/>
      <w:bookmarkStart w:id="55" w:name="_Toc121128532"/>
      <w:r>
        <w:rPr>
          <w:b/>
        </w:rPr>
        <w:t>DESTINATARIOS ÚLTIMOS DE LAS AYUDAS</w:t>
      </w:r>
      <w:bookmarkEnd w:id="52"/>
      <w:bookmarkEnd w:id="53"/>
      <w:bookmarkEnd w:id="54"/>
      <w:r>
        <w:rPr>
          <w:b/>
        </w:rPr>
        <w:t>. CUMPLIMIENTO LÍMITES DE AYUDAS DE ESTADO</w:t>
      </w:r>
      <w:bookmarkEnd w:id="55"/>
    </w:p>
    <w:p w:rsidR="00482668" w:rsidRDefault="00482668">
      <w:pPr>
        <w:jc w:val="both"/>
      </w:pPr>
    </w:p>
    <w:p w:rsidR="00482668" w:rsidRDefault="00762B21">
      <w:pPr>
        <w:ind w:firstLine="0"/>
        <w:jc w:val="both"/>
      </w:pPr>
      <w:r>
        <w:t>Podrán ser destinatarios últimos de las ayudas:</w:t>
      </w:r>
    </w:p>
    <w:p w:rsidR="00482668" w:rsidRDefault="00482668">
      <w:pPr>
        <w:jc w:val="both"/>
      </w:pPr>
    </w:p>
    <w:p w:rsidR="00482668" w:rsidRDefault="00762B21">
      <w:pPr>
        <w:pStyle w:val="Zerrenda-paragrafoa"/>
        <w:numPr>
          <w:ilvl w:val="0"/>
          <w:numId w:val="23"/>
        </w:numPr>
        <w:ind w:left="426"/>
        <w:jc w:val="both"/>
      </w:pPr>
      <w:r>
        <w:t>Los propietarios o usufructuarios de viviendas unifamiliares aisladas o agrupadas en fila y de edificios existentes de tipología residencial de vivienda colectiva, así como de sus viviendas, bien sean personas físicas o bien tengan personalidad jurídica de naturaleza privada o pública.</w:t>
      </w:r>
    </w:p>
    <w:p w:rsidR="00482668" w:rsidRDefault="00482668">
      <w:pPr>
        <w:ind w:left="993" w:hanging="349"/>
        <w:jc w:val="both"/>
      </w:pPr>
    </w:p>
    <w:p w:rsidR="00482668" w:rsidRDefault="00762B21">
      <w:pPr>
        <w:pStyle w:val="Zerrenda-paragrafoa"/>
        <w:numPr>
          <w:ilvl w:val="0"/>
          <w:numId w:val="23"/>
        </w:numPr>
        <w:ind w:left="426"/>
        <w:jc w:val="both"/>
      </w:pPr>
      <w:r>
        <w:t>Los propietarios o usufructuarios en el caso de ayudas a particulares.</w:t>
      </w:r>
    </w:p>
    <w:p w:rsidR="00482668" w:rsidRDefault="00482668">
      <w:pPr>
        <w:ind w:left="426" w:firstLine="0"/>
      </w:pPr>
    </w:p>
    <w:p w:rsidR="00482668" w:rsidRDefault="00762B21">
      <w:pPr>
        <w:pStyle w:val="Zerrenda-paragrafoa"/>
        <w:numPr>
          <w:ilvl w:val="0"/>
          <w:numId w:val="23"/>
        </w:numPr>
        <w:ind w:left="426"/>
        <w:jc w:val="both"/>
      </w:pPr>
      <w:r>
        <w:t>Cuando el propietario de la vivienda y el arrendatario de esta acuerden que este último costee a su cargo las actuaciones de rehabilitación que correspondan, a cambio del pago de la renta, el arrendatario podrá solicitar de la comunidad de propietarios o, en su caso, del propietario único, la adopción del correspondiente acuerdo que se requiere para solicitar estas ayudas. En este supuesto el arrendatario podrá tener la consideración de destinatario último.</w:t>
      </w:r>
    </w:p>
    <w:p w:rsidR="00482668" w:rsidRDefault="00482668">
      <w:pPr>
        <w:pStyle w:val="Zerrenda-paragrafoa"/>
        <w:ind w:left="426"/>
      </w:pPr>
    </w:p>
    <w:p w:rsidR="00482668" w:rsidRDefault="00762B21">
      <w:pPr>
        <w:pStyle w:val="Zerrenda-paragrafoa"/>
        <w:numPr>
          <w:ilvl w:val="0"/>
          <w:numId w:val="23"/>
        </w:numPr>
        <w:ind w:left="426"/>
        <w:jc w:val="both"/>
      </w:pPr>
      <w:r>
        <w:t>Las administraciones públicas y los organismos y demás entidades de derecho público, así como las empresas públicas y sociedades mercantiles participadas, íntegra o mayoritariamente, por las administraciones públicas propietarias de los inmuebles.</w:t>
      </w:r>
    </w:p>
    <w:p w:rsidR="00482668" w:rsidRDefault="00482668">
      <w:pPr>
        <w:ind w:left="426"/>
        <w:jc w:val="both"/>
      </w:pPr>
    </w:p>
    <w:p w:rsidR="00482668" w:rsidRDefault="00762B21">
      <w:pPr>
        <w:pStyle w:val="Zerrenda-paragrafoa"/>
        <w:numPr>
          <w:ilvl w:val="0"/>
          <w:numId w:val="23"/>
        </w:numPr>
        <w:ind w:left="426"/>
        <w:jc w:val="both"/>
      </w:pPr>
      <w:r>
        <w:t>Las comunidades de propietarios, o las agrupaciones de comunidades de propietarios constituidas conforme a lo dispuesto por el artículo 5 de la Ley 49/1960, de 21 de julio, de Propiedad Horizontal o equivalente en normas forales de aplicación.</w:t>
      </w:r>
    </w:p>
    <w:p w:rsidR="00482668" w:rsidRDefault="00482668">
      <w:pPr>
        <w:ind w:left="426" w:firstLine="0"/>
        <w:jc w:val="both"/>
      </w:pPr>
    </w:p>
    <w:p w:rsidR="00482668" w:rsidRDefault="00762B21">
      <w:pPr>
        <w:pStyle w:val="Zerrenda-paragrafoa"/>
        <w:numPr>
          <w:ilvl w:val="0"/>
          <w:numId w:val="23"/>
        </w:numPr>
        <w:ind w:left="426"/>
        <w:jc w:val="both"/>
      </w:pPr>
      <w:r>
        <w:t>Los propietarios que, de forma agrupada, sean propietarios de edificios que reúnan los requisitos establecidos por el artículo 396 del Código Civil y no hubiesen otorgado el título constitutivo de propiedad horizontal.</w:t>
      </w:r>
    </w:p>
    <w:p w:rsidR="00482668" w:rsidRDefault="00482668">
      <w:pPr>
        <w:pStyle w:val="Zerrenda-paragrafoa"/>
        <w:ind w:left="426"/>
      </w:pPr>
    </w:p>
    <w:p w:rsidR="00482668" w:rsidRDefault="00762B21">
      <w:pPr>
        <w:pStyle w:val="Zerrenda-paragrafoa"/>
        <w:numPr>
          <w:ilvl w:val="0"/>
          <w:numId w:val="23"/>
        </w:numPr>
        <w:ind w:left="426"/>
        <w:jc w:val="both"/>
      </w:pPr>
      <w:r>
        <w:t>Las sociedades cooperativas compuestas de forma agrupada por propietarios de viviendas o edificios que reúnan los requisitos establecidos en el artículo 396 del Código Civil, así como por los propietarios que conforman comunidades de propietarios o agrupaciones de comunidades de propietarios constituidos conforme a lo dispuesto en el artículo 5 de la Ley 49/1960, de 21 de julio, de Propiedad Horizontal, o equivalente en normas forales de aplicación, y por cooperativas en régimen de cesión de uso de sus viviendas.</w:t>
      </w:r>
    </w:p>
    <w:p w:rsidR="00482668" w:rsidRDefault="00482668">
      <w:pPr>
        <w:pStyle w:val="Zerrenda-paragrafoa"/>
        <w:ind w:left="426"/>
      </w:pPr>
    </w:p>
    <w:p w:rsidR="00482668" w:rsidRDefault="00762B21">
      <w:pPr>
        <w:pStyle w:val="Zerrenda-paragrafoa"/>
        <w:numPr>
          <w:ilvl w:val="0"/>
          <w:numId w:val="23"/>
        </w:numPr>
        <w:ind w:left="426"/>
        <w:jc w:val="both"/>
      </w:pPr>
      <w:r>
        <w:t>Las empresas arrendatarias o concesionarias de los edificios, así como cooperativas que acrediten dicha condición, mediante contrato vigente, que les otorgue la facultad expresa para acometer las obras de rehabilitación objeto del programa.</w:t>
      </w:r>
    </w:p>
    <w:p w:rsidR="00482668" w:rsidRDefault="00482668">
      <w:pPr>
        <w:pStyle w:val="Zerrenda-paragrafoa"/>
      </w:pPr>
    </w:p>
    <w:p w:rsidR="00482668" w:rsidRDefault="00762B21">
      <w:pPr>
        <w:ind w:firstLine="0"/>
        <w:jc w:val="both"/>
      </w:pPr>
      <w:r>
        <w:t xml:space="preserve">Cuando la ejecución de la actuación corresponda a varios destinatarios últimos, la ayuda se distribuirá en proporción al coste y la responsabilidad asumida por cada uno. </w:t>
      </w:r>
    </w:p>
    <w:p w:rsidR="00482668" w:rsidRDefault="00482668"/>
    <w:p w:rsidR="00482668" w:rsidRDefault="00762B21">
      <w:pPr>
        <w:ind w:firstLine="0"/>
        <w:jc w:val="both"/>
      </w:pPr>
      <w:r>
        <w:t xml:space="preserve">Los destinatarios últimos, o en su caso el agente o gestor de la rehabilitación que actúe por cuenta de aquellos, destinarán el importe íntegro de la ayuda al pago de las correspondientes actuaciones. </w:t>
      </w:r>
    </w:p>
    <w:p w:rsidR="00482668" w:rsidRDefault="00482668">
      <w:pPr>
        <w:jc w:val="both"/>
      </w:pPr>
    </w:p>
    <w:p w:rsidR="00482668" w:rsidRDefault="00762B21">
      <w:pPr>
        <w:ind w:firstLine="0"/>
        <w:jc w:val="both"/>
      </w:pPr>
      <w:r>
        <w:lastRenderedPageBreak/>
        <w:t>Cuando se trate de comunidades de propietarios y agrupaciones de comunidades de propietarios, esta regla resultará igualmente de aplicación con independencia de que, tanto el importe de la misma, como el coste de las obras, deba repercutirse en los propietarios de viviendas y, en su caso, en los propietarios de locales comerciales o predios de otros usos compatibles, de conformidad con las reglas previstas en la legislación sobre propiedad horizontal.</w:t>
      </w:r>
    </w:p>
    <w:p w:rsidR="00482668" w:rsidRDefault="00482668">
      <w:pPr>
        <w:jc w:val="both"/>
      </w:pPr>
    </w:p>
    <w:p w:rsidR="00482668" w:rsidRDefault="00762B21">
      <w:pPr>
        <w:ind w:firstLine="0"/>
        <w:jc w:val="both"/>
      </w:pPr>
      <w:r>
        <w:t>No obstante, lo dispuesto en el párrafo anterior, cuando alguno de los miembros de la comunidad de propietarios o de la agrupación de comunidades de propietarios no pudiera percibir la ayuda por alguna causa legal, no se atribuirá a dicho propietario o usufructuario la parte proporcional que le correspondería de la ayuda recibida, que se prorrateará entre los restantes miembros de la comunidad o agrupación.</w:t>
      </w:r>
    </w:p>
    <w:p w:rsidR="00482668" w:rsidRDefault="00482668"/>
    <w:p w:rsidR="00482668" w:rsidRDefault="00762B21">
      <w:pPr>
        <w:ind w:firstLine="0"/>
        <w:jc w:val="both"/>
      </w:pPr>
      <w:r>
        <w:t>Las ayudas concedidas a aquellos/as destinatarios/as finales que sean empresas o desarrollen actividad comercial o mercantil, y les sea de aplicación la normativa de ayudas de estado, para la realización de inversiones destinadas a medidas de eficiencia energética y para la promoción de la energía procedente de fuentes renovables, estarán sometidas a los requisitos y límites establecidos en el Reglamento (UE) n.º 651/2014 de la Comisión, de 17 de junio de 2014, por el que se declaran determinadas categorías de ayudas compatibles con el mercado interior en aplicación de los artículos 107 y 108 del Tratado y en el Reglamento (UE) n º 1407/2013 de la Comisión, de 18 de diciembre de 2013, relativo a la aplicación de los artículos 107 y 108 del Tratado de Funcionamiento de la Unión Europea a las ayudas de minimis. Así mismo, en su caso, será de aplicación lo establecido en el «Marco Nacional Temporal relativo a las medidas de ayuda a empresas y autónomos consistentes en subvenciones directas, anticipos reembolsables, ventajas fiscales, garantías de préstamos y bonificaciones de tipos de interés en préstamos destinadas a respaldar la economía en el contexto del actual brote de COVID-19».</w:t>
      </w:r>
    </w:p>
    <w:p w:rsidR="00482668" w:rsidRDefault="00482668">
      <w:pPr>
        <w:jc w:val="both"/>
      </w:pPr>
    </w:p>
    <w:p w:rsidR="00482668" w:rsidRDefault="00762B21">
      <w:pPr>
        <w:ind w:firstLine="0"/>
        <w:jc w:val="both"/>
      </w:pPr>
      <w:r>
        <w:t>En particular, en el supuesto de que el/la destinatario/a último/a de la ayuda sea una persona física o jurídica que ejerza actividades económicas o actividades comerciales, se aplicará el siguiente régimen en materia de ayudas de estado:</w:t>
      </w:r>
    </w:p>
    <w:p w:rsidR="00482668" w:rsidRDefault="00482668">
      <w:pPr>
        <w:ind w:left="360" w:firstLine="0"/>
      </w:pPr>
    </w:p>
    <w:p w:rsidR="00482668" w:rsidRDefault="00762B21">
      <w:pPr>
        <w:ind w:left="284" w:hanging="282"/>
        <w:jc w:val="both"/>
      </w:pPr>
      <w:r>
        <w:t>a)</w:t>
      </w:r>
      <w:r>
        <w:tab/>
        <w:t>Cuando la suma del importe de las ayudas concedidas en los últimos 3 años fiscales y de la cuantía de ayuda solicitada en esta convocatoria sea inferior a 200.000 euros, se aplicará lo dispuesto en el Reglamento (UE) n.º 1407/2013 de la Comisión, de 18 de diciembre de 2013, relativo a la aplicación de los artículos 107 y 108 del Tratado de Funcionamiento de la Unión Europea a las ayudas de minimis.</w:t>
      </w:r>
    </w:p>
    <w:p w:rsidR="00482668" w:rsidRDefault="00482668">
      <w:pPr>
        <w:ind w:left="708" w:firstLine="0"/>
        <w:jc w:val="both"/>
      </w:pPr>
    </w:p>
    <w:p w:rsidR="00482668" w:rsidRDefault="00762B21">
      <w:pPr>
        <w:ind w:left="284" w:hanging="282"/>
        <w:jc w:val="both"/>
      </w:pPr>
      <w:r>
        <w:t>b)</w:t>
      </w:r>
      <w:r>
        <w:tab/>
        <w:t>Cuando la suma del importe de las ayudas concedidas en los últimos 3 años fiscales y de la cuantía de ayuda solicitada en esta convocatoria sea igual o superior a los 200.000 euros, se aplicará lo dispuesto en el Reglamento (UE) n.º 651/2014 de la Comisión, de 17 de junio de 2014, por el que se declaran determinadas categorías de ayudas compatibles con el mercado interior en aplicación de los artículos 107 y 108 del Tratado, aplicando la exención correspondiente a las ayudas a la inversión destinadas a medidas de eficiencia energética (artículo 38). Se dará conocimiento a la Comisión Europea de la existencia de esta exención en un plazo de 20 días desde la publicación de la presente Orden de convocatoria.</w:t>
      </w:r>
    </w:p>
    <w:p w:rsidR="00482668" w:rsidRDefault="00482668">
      <w:pPr>
        <w:ind w:left="360" w:firstLine="0"/>
        <w:jc w:val="both"/>
      </w:pPr>
    </w:p>
    <w:p w:rsidR="00482668" w:rsidRDefault="00762B21">
      <w:pPr>
        <w:ind w:firstLine="0"/>
        <w:jc w:val="both"/>
      </w:pPr>
      <w:r>
        <w:t xml:space="preserve">Sin perjuicio de lo dispuesto en las letras anteriores, considerando que las ayudas pueden contribuir a mejorar la liquidez de empresas y autónomos en el actual contexto, podrá aplicarse el «Marco Nacional Temporal relativo a las medidas de ayuda a empresas y autónomos consistentes en subvenciones directas, anticipos reembolsables, ventajas fiscales, garantías de préstamos y bonificaciones de tipos de interés en préstamos destinadas a respaldar la economía en el contexto </w:t>
      </w:r>
      <w:r>
        <w:lastRenderedPageBreak/>
        <w:t>del actual brote de COVID-19» aprobado por la Comisión Europea en su Decisión SA.56851 (2020/N), de 2 de abril de 2020, y sus modificaciones, cuando la resolución definitiva de la concesión de la ayuda sea anterior a la fecha de finalización de la vigencia de este régimen.</w:t>
      </w:r>
    </w:p>
    <w:p w:rsidR="00482668" w:rsidRDefault="00482668"/>
    <w:p w:rsidR="007A65F6" w:rsidRDefault="007A65F6"/>
    <w:p w:rsidR="00482668" w:rsidRDefault="00762B21">
      <w:pPr>
        <w:pStyle w:val="Zerrenda-paragrafoa"/>
        <w:numPr>
          <w:ilvl w:val="0"/>
          <w:numId w:val="25"/>
        </w:numPr>
        <w:jc w:val="both"/>
        <w:outlineLvl w:val="1"/>
      </w:pPr>
      <w:bookmarkStart w:id="56" w:name="_Ref108714580"/>
      <w:bookmarkStart w:id="57" w:name="_Ref108714585"/>
      <w:bookmarkStart w:id="58" w:name="_Ref108717125"/>
      <w:bookmarkStart w:id="59" w:name="_Ref108717133"/>
      <w:bookmarkStart w:id="60" w:name="_Ref108718980"/>
      <w:bookmarkStart w:id="61" w:name="_Ref108718989"/>
      <w:bookmarkStart w:id="62" w:name="_Toc108763760"/>
      <w:bookmarkStart w:id="63" w:name="_Toc115897511"/>
      <w:bookmarkStart w:id="64" w:name="_Toc108599901"/>
      <w:bookmarkStart w:id="65" w:name="_Toc121128533"/>
      <w:r>
        <w:rPr>
          <w:b/>
        </w:rPr>
        <w:t>OBLIGACIONES DE LAS PERSONAS DESTINATARIAS ÚLTIMAS DE LA AYUDAS</w:t>
      </w:r>
      <w:bookmarkEnd w:id="56"/>
      <w:bookmarkEnd w:id="57"/>
      <w:bookmarkEnd w:id="58"/>
      <w:bookmarkEnd w:id="59"/>
      <w:bookmarkEnd w:id="60"/>
      <w:bookmarkEnd w:id="61"/>
      <w:bookmarkEnd w:id="62"/>
      <w:bookmarkEnd w:id="63"/>
      <w:bookmarkEnd w:id="64"/>
      <w:bookmarkEnd w:id="65"/>
    </w:p>
    <w:p w:rsidR="00482668" w:rsidRDefault="00482668">
      <w:pPr>
        <w:jc w:val="both"/>
        <w:rPr>
          <w:b/>
        </w:rPr>
      </w:pPr>
    </w:p>
    <w:p w:rsidR="00482668" w:rsidRDefault="00762B21">
      <w:pPr>
        <w:ind w:firstLine="0"/>
        <w:jc w:val="both"/>
      </w:pPr>
      <w:r>
        <w:rPr>
          <w:bCs/>
        </w:rPr>
        <w:t>Con anterioridad o simultáneamente con las solicitudes de subvención, y sin perjuicio de la documentación que les sea exigible para cumplimentarlas, tal y como figura en el</w:t>
      </w:r>
      <w:r>
        <w:t xml:space="preserve"> </w:t>
      </w:r>
      <w:r w:rsidR="000723F6">
        <w:fldChar w:fldCharType="begin"/>
      </w:r>
      <w:r>
        <w:instrText>REF _Ref108117400 \r \h</w:instrText>
      </w:r>
      <w:r w:rsidR="000723F6">
        <w:fldChar w:fldCharType="separate"/>
      </w:r>
      <w:r w:rsidR="00904A83">
        <w:t>33</w:t>
      </w:r>
      <w:r w:rsidR="000723F6">
        <w:fldChar w:fldCharType="end"/>
      </w:r>
      <w:r>
        <w:t xml:space="preserve"> </w:t>
      </w:r>
      <w:r w:rsidR="000723F6">
        <w:fldChar w:fldCharType="begin"/>
      </w:r>
      <w:r>
        <w:instrText>REF _Ref108117409 \h</w:instrText>
      </w:r>
      <w:r w:rsidR="000723F6">
        <w:fldChar w:fldCharType="separate"/>
      </w:r>
      <w:r w:rsidR="00904A83">
        <w:rPr>
          <w:b/>
        </w:rPr>
        <w:t>DOCUMENTACIÓN PARA ACOMPAÑAR A LA SOLICITUD DE SUBVENCIÓN</w:t>
      </w:r>
      <w:r w:rsidR="000723F6">
        <w:fldChar w:fldCharType="end"/>
      </w:r>
      <w:r>
        <w:t xml:space="preserve"> </w:t>
      </w:r>
      <w:r>
        <w:rPr>
          <w:bCs/>
        </w:rPr>
        <w:t xml:space="preserve">de estas bases, las personas beneficiarias y destinatarias últimas de las ayudas deberán cumplir, además, con las siguientes obligaciones, europeas y nacionales, relativas a la financiación del Mecanismo de Recuperación y Resiliencia de la Unión Europea. A tal efecto, se obligan a las siguientes actuaciones y a entregar la siguiente documentación al Ayuntamiento para que éste de traslado de la misma a la Dirección de Planificación Territorial y Agenda Urbana del GV: </w:t>
      </w:r>
    </w:p>
    <w:p w:rsidR="00482668" w:rsidRDefault="00482668">
      <w:pPr>
        <w:jc w:val="both"/>
        <w:rPr>
          <w:bCs/>
        </w:rPr>
      </w:pPr>
    </w:p>
    <w:p w:rsidR="00482668" w:rsidRDefault="00762B21">
      <w:pPr>
        <w:pStyle w:val="Zerrenda-paragrafoa"/>
        <w:numPr>
          <w:ilvl w:val="0"/>
          <w:numId w:val="28"/>
        </w:numPr>
        <w:spacing w:after="240"/>
        <w:ind w:left="426"/>
        <w:jc w:val="both"/>
        <w:rPr>
          <w:bCs/>
        </w:rPr>
      </w:pPr>
      <w:r>
        <w:rPr>
          <w:bCs/>
        </w:rPr>
        <w:t xml:space="preserve">Los destinatarios últimos tendrán la consideración de beneficiarios de la subvención, a efectos de las obligaciones recogidas en el artículo 14 de la Ley 38/2003, de 17 de noviembre, General de Subvenciones y acreditarán no encontrarse incursas en las prohibiciones para obtener la condición de beneficiario de subvenciones previstas en el artículo 13.2 de la Ley 38/2003 de 17 de noviembre, General  de  Subvenciones,  a excepción de la letra e) del referido artículo, relativa a la obligación de hallarse al corriente en el cumplimiento de las obligaciones tributarias o frente a la Seguridad Social. </w:t>
      </w:r>
    </w:p>
    <w:p w:rsidR="00482668" w:rsidRDefault="00482668">
      <w:pPr>
        <w:pStyle w:val="Zerrenda-paragrafoa"/>
        <w:spacing w:after="240"/>
        <w:ind w:left="709" w:firstLine="0"/>
        <w:jc w:val="both"/>
        <w:rPr>
          <w:bCs/>
        </w:rPr>
      </w:pPr>
    </w:p>
    <w:p w:rsidR="00482668" w:rsidRDefault="00762B21">
      <w:pPr>
        <w:pStyle w:val="Zerrenda-paragrafoa"/>
        <w:numPr>
          <w:ilvl w:val="0"/>
          <w:numId w:val="28"/>
        </w:numPr>
        <w:spacing w:after="240"/>
        <w:ind w:left="426"/>
        <w:jc w:val="both"/>
        <w:rPr>
          <w:bCs/>
        </w:rPr>
      </w:pPr>
      <w:r>
        <w:rPr>
          <w:bCs/>
        </w:rPr>
        <w:t>Cuando las personas destinatarias últimas de las ayudas sean personas jurídicas deberán acreditar o declarar expresamente en su solicitud que se encuentran debidamente constituidas, según la normativa que les resulte de aplicación. En el caso de entidades que carezcan de personalidad jurídica propia, con excepción de las comunidades de propietarios/as, deberán hacerse constar expresamente tanto en la solicitud como en la resolución de concesión los compromisos de ejecución asumidos por cada miembro de la agrupación, así como el importe de la subvención a aplicar por cada uno de ellos. En cualquier caso, debe nombrarse representante o apoderado único de la agrupación con poderes bastantes.</w:t>
      </w:r>
    </w:p>
    <w:p w:rsidR="00482668" w:rsidRDefault="00482668">
      <w:pPr>
        <w:pStyle w:val="Zerrenda-paragrafoa"/>
        <w:rPr>
          <w:bCs/>
        </w:rPr>
      </w:pPr>
    </w:p>
    <w:p w:rsidR="00482668" w:rsidRDefault="00762B21">
      <w:pPr>
        <w:pStyle w:val="Zerrenda-paragrafoa"/>
        <w:numPr>
          <w:ilvl w:val="0"/>
          <w:numId w:val="28"/>
        </w:numPr>
        <w:spacing w:after="240"/>
        <w:ind w:left="426"/>
        <w:jc w:val="both"/>
        <w:rPr>
          <w:bCs/>
        </w:rPr>
      </w:pPr>
      <w:r>
        <w:rPr>
          <w:bCs/>
        </w:rPr>
        <w:t>Cuando los destinatarios últimos sean personas físicas o unidades de convivencia constituidas por varias personas físicas deberán aportar la información necesaria relativa a la determinación de los ingresos mediante el certificado tributario del impuesto sobre la Renta de las Personas Físicas (IRPF).</w:t>
      </w:r>
    </w:p>
    <w:p w:rsidR="00482668" w:rsidRDefault="00482668">
      <w:pPr>
        <w:pStyle w:val="Zerrenda-paragrafoa"/>
        <w:spacing w:after="240"/>
        <w:ind w:left="426" w:firstLine="0"/>
        <w:jc w:val="both"/>
        <w:rPr>
          <w:bCs/>
        </w:rPr>
      </w:pPr>
    </w:p>
    <w:p w:rsidR="00482668" w:rsidRDefault="00762B21">
      <w:pPr>
        <w:pStyle w:val="Zerrenda-paragrafoa"/>
        <w:numPr>
          <w:ilvl w:val="0"/>
          <w:numId w:val="28"/>
        </w:numPr>
        <w:spacing w:after="240"/>
        <w:ind w:left="426"/>
        <w:jc w:val="both"/>
        <w:rPr>
          <w:bCs/>
        </w:rPr>
      </w:pPr>
      <w:r>
        <w:rPr>
          <w:bCs/>
        </w:rPr>
        <w:t xml:space="preserve"> Los destinatarios últimos estarán obligados a comunicar de inmediato al Ayuntamiento que esté realizando dicha tramitación o que le haya reconocido la ayuda, incluso durante la tramitación de la solicitud, cualquier modificación de las condiciones que puedan motivar o hubieran motivado tal reconocimiento y que pudiera determinar la pérdida sobrevenida del derecho a la ayuda. La no comunicación de estas modificaciones será causa suficiente para el inicio de un expediente de reintegro de las cantidades que pudieran haberse cobrado indebidamente.</w:t>
      </w:r>
    </w:p>
    <w:p w:rsidR="00482668" w:rsidRDefault="00482668">
      <w:pPr>
        <w:pStyle w:val="Zerrenda-paragrafoa"/>
        <w:rPr>
          <w:bCs/>
        </w:rPr>
      </w:pPr>
    </w:p>
    <w:p w:rsidR="00482668" w:rsidRDefault="00762B21">
      <w:pPr>
        <w:pStyle w:val="Zerrenda-paragrafoa"/>
        <w:numPr>
          <w:ilvl w:val="0"/>
          <w:numId w:val="28"/>
        </w:numPr>
        <w:spacing w:after="240"/>
        <w:ind w:left="426"/>
        <w:jc w:val="both"/>
        <w:rPr>
          <w:bCs/>
        </w:rPr>
      </w:pPr>
      <w:r>
        <w:rPr>
          <w:bCs/>
        </w:rPr>
        <w:t xml:space="preserve">Identificación de la titularidad real del beneficiario, aportando el nombre del destinatario final de los fondos, fecha de nacimiento y concepto de la ayuda. Esta identificación se efectuará en el sentido en que la misma es definida por el punto 6 del artículo 3 de la Directiva (UE) 2015/849, del Parlamento Europeo y del Consejo, de 20 de mayo de 2015, conforme establece el artículo </w:t>
      </w:r>
      <w:r>
        <w:rPr>
          <w:bCs/>
        </w:rPr>
        <w:lastRenderedPageBreak/>
        <w:t>10 de la Orden HFP/1031/2021, de 29 de septiembre, en relación con el artículo 22 del Reglamento (UE) 2021/241 del Parlamento Europeo y del Consejo, de 12 de febrero de 2021.</w:t>
      </w:r>
    </w:p>
    <w:p w:rsidR="00482668" w:rsidRDefault="00482668">
      <w:pPr>
        <w:pStyle w:val="Zerrenda-paragrafoa"/>
        <w:spacing w:after="240"/>
        <w:ind w:left="426" w:firstLine="0"/>
        <w:jc w:val="both"/>
        <w:rPr>
          <w:bCs/>
        </w:rPr>
      </w:pPr>
    </w:p>
    <w:p w:rsidR="00482668" w:rsidRDefault="00762B21">
      <w:pPr>
        <w:pStyle w:val="Zerrenda-paragrafoa"/>
        <w:numPr>
          <w:ilvl w:val="0"/>
          <w:numId w:val="28"/>
        </w:numPr>
        <w:spacing w:after="240"/>
        <w:ind w:left="426"/>
        <w:jc w:val="both"/>
      </w:pPr>
      <w:r>
        <w:rPr>
          <w:bCs/>
        </w:rPr>
        <w:t>Acreditar la titularidad real, autorizar la cesión de datos cuando sea necesario, así como aportar todas las declaraciones responsables que se exijan por las autoridades competentes, conforme a la normativa nacional y europea en cumplimiento de las obligaciones exigibles en el marco del Plan de Recuperación, Transformación y Resiliencia y el Reglamento (UE) 2021/241. Al ser programas de ayudas desarrollados en el marco del MRR se considerarán obligaciones para el destinatario último, el registro de sus datos en una base de datos única propuesta por el estado miembro, así como la sujeción a los controles llevados a cabo por los organismos europeos: Comisión Europea, Oficina de Lucha contra el Fraude, Tribunal de Cuentas Europeo y Fiscalía Europea.</w:t>
      </w:r>
    </w:p>
    <w:p w:rsidR="00482668" w:rsidRDefault="00482668">
      <w:pPr>
        <w:pStyle w:val="Zerrenda-paragrafoa"/>
        <w:spacing w:after="240"/>
        <w:ind w:left="426" w:firstLine="0"/>
        <w:jc w:val="both"/>
        <w:rPr>
          <w:bCs/>
        </w:rPr>
      </w:pPr>
    </w:p>
    <w:p w:rsidR="00482668" w:rsidRDefault="00762B21">
      <w:pPr>
        <w:pStyle w:val="Zerrenda-paragrafoa"/>
        <w:numPr>
          <w:ilvl w:val="0"/>
          <w:numId w:val="28"/>
        </w:numPr>
        <w:spacing w:after="240"/>
        <w:ind w:left="426"/>
        <w:jc w:val="both"/>
        <w:rPr>
          <w:bCs/>
        </w:rPr>
      </w:pPr>
      <w:r>
        <w:rPr>
          <w:bCs/>
        </w:rPr>
        <w:t xml:space="preserve"> El incumplimiento de cualquiera de las condiciones impuestas con motivo de la concesión de las ayudas del programa,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noviembre, General de Subvenciones</w:t>
      </w:r>
      <w:r w:rsidR="006E1494">
        <w:rPr>
          <w:bCs/>
        </w:rPr>
        <w:t>.</w:t>
      </w:r>
    </w:p>
    <w:p w:rsidR="00482668" w:rsidRDefault="00482668">
      <w:pPr>
        <w:pStyle w:val="Zerrenda-paragrafoa"/>
        <w:spacing w:after="240"/>
        <w:ind w:left="426" w:firstLine="0"/>
        <w:jc w:val="both"/>
        <w:rPr>
          <w:bCs/>
        </w:rPr>
      </w:pPr>
    </w:p>
    <w:p w:rsidR="00482668" w:rsidRDefault="00762B21">
      <w:pPr>
        <w:pStyle w:val="Zerrenda-paragrafoa"/>
        <w:numPr>
          <w:ilvl w:val="0"/>
          <w:numId w:val="28"/>
        </w:numPr>
        <w:spacing w:after="240"/>
        <w:ind w:left="426"/>
        <w:jc w:val="both"/>
      </w:pPr>
      <w:r>
        <w:rPr>
          <w:bCs/>
        </w:rPr>
        <w:t xml:space="preserve">Garantía del pleno cumplimiento del “Principio DNSH – Do Not Significant Harm” (principio de no causar un perjuicio significativo al medio ambiente), así como de las condiciones de etiquetado climático (indicar) y digital (indicar), de acuerdo con lo previsto en el Plan de Recuperación, Transformación y Resiliencia, en la Decisión de Ejecución del Consejo relativa a la aprobación de la evaluación del plan de recuperación y resiliencia de España (Council Implementing Decision – CID), en el Reglamento (UE) n.º 2021/241 del Parlamento Europeo y del Consejo, de 12 de febrero de 2021, así como en el art. 5 de la Orden HFP/1030/2021, de 29 de septiembre, por la que se configura el sistema de gestión del Plan de Recuperación, Transformación y Resiliencia y su normativa de desarrollo, en todas las fases del diseño y ejecución de los proyectos y de manera individual para cada actuación. En todo caso las entidades beneficiarias preverán mecanismos de verificación del cumplimiento de dicho principio y medidas correctoras para asegurar su implementación, de lo que dejarán constancia en la memoria justificativa de la subvención. Esta garantía se ajustará al modelo que se acompaña en el  </w:t>
      </w:r>
      <w:r w:rsidR="000723F6">
        <w:rPr>
          <w:bCs/>
        </w:rPr>
        <w:fldChar w:fldCharType="begin"/>
      </w:r>
      <w:r>
        <w:rPr>
          <w:bCs/>
        </w:rPr>
        <w:instrText>REF _Ref108518437 \h</w:instrText>
      </w:r>
      <w:r w:rsidR="000723F6">
        <w:rPr>
          <w:bCs/>
        </w:rPr>
      </w:r>
      <w:r w:rsidR="000723F6">
        <w:rPr>
          <w:bCs/>
        </w:rPr>
        <w:fldChar w:fldCharType="separate"/>
      </w:r>
      <w:r w:rsidR="00904A83">
        <w:rPr>
          <w:rFonts w:ascii="Arial" w:eastAsia="Times New Roman" w:hAnsi="Arial" w:cs="Arial"/>
          <w:lang w:eastAsia="es-ES"/>
        </w:rPr>
        <w:t>ANEXO I</w:t>
      </w:r>
      <w:r w:rsidR="000723F6">
        <w:rPr>
          <w:bCs/>
        </w:rPr>
        <w:fldChar w:fldCharType="end"/>
      </w:r>
      <w:r>
        <w:rPr>
          <w:bCs/>
        </w:rPr>
        <w:t xml:space="preserve"> de estas bases.</w:t>
      </w:r>
    </w:p>
    <w:p w:rsidR="00482668" w:rsidRDefault="00482668">
      <w:pPr>
        <w:pStyle w:val="Zerrenda-paragrafoa"/>
        <w:spacing w:after="240"/>
        <w:ind w:left="426" w:firstLine="0"/>
        <w:jc w:val="both"/>
        <w:rPr>
          <w:bCs/>
        </w:rPr>
      </w:pPr>
    </w:p>
    <w:p w:rsidR="00482668" w:rsidRDefault="00762B21">
      <w:pPr>
        <w:pStyle w:val="Zerrenda-paragrafoa"/>
        <w:numPr>
          <w:ilvl w:val="0"/>
          <w:numId w:val="28"/>
        </w:numPr>
        <w:spacing w:after="240"/>
        <w:ind w:left="426"/>
        <w:jc w:val="both"/>
      </w:pPr>
      <w:r>
        <w:rPr>
          <w:bCs/>
        </w:rPr>
        <w:t>Garantía de la ausencia de conflictos de interés, fraude y corrupción, así como aceptar de manera incondicionada y sin reservas el Plan de Medidas Antifraude aprobado por el Gob</w:t>
      </w:r>
      <w:r w:rsidR="007660B6">
        <w:rPr>
          <w:bCs/>
        </w:rPr>
        <w:t xml:space="preserve">ierno Vasco o el Ayuntamiento, </w:t>
      </w:r>
      <w:r>
        <w:rPr>
          <w:bCs/>
        </w:rPr>
        <w:t xml:space="preserve">a cuyas disposiciones se obligará de manera íntegra con pleno respeto a la normativa autonómica, estatal y europea en relación con la prevención, detección y corrección del fraude, la corrupción y los conflictos de interés, así como de acuerdo a los pronunciamientos que al respecto de la protección de los intereses financieros de la Unión Europea realicen sus instituciones. Esta garantía se ajustará al modelo que se acompaña en el apartado </w:t>
      </w:r>
      <w:r w:rsidR="000723F6">
        <w:rPr>
          <w:bCs/>
        </w:rPr>
        <w:fldChar w:fldCharType="begin"/>
      </w:r>
      <w:r>
        <w:rPr>
          <w:bCs/>
        </w:rPr>
        <w:instrText>REF _Ref108118234 \r \h</w:instrText>
      </w:r>
      <w:r w:rsidR="000723F6">
        <w:rPr>
          <w:bCs/>
        </w:rPr>
      </w:r>
      <w:r w:rsidR="000723F6">
        <w:rPr>
          <w:bCs/>
        </w:rPr>
        <w:fldChar w:fldCharType="separate"/>
      </w:r>
      <w:r w:rsidR="00904A83">
        <w:rPr>
          <w:bCs/>
        </w:rPr>
        <w:t>1</w:t>
      </w:r>
      <w:r w:rsidR="000723F6">
        <w:rPr>
          <w:bCs/>
        </w:rPr>
        <w:fldChar w:fldCharType="end"/>
      </w:r>
      <w:r>
        <w:rPr>
          <w:bCs/>
        </w:rPr>
        <w:t xml:space="preserve"> del </w:t>
      </w:r>
      <w:r w:rsidR="000723F6">
        <w:rPr>
          <w:bCs/>
        </w:rPr>
        <w:fldChar w:fldCharType="begin"/>
      </w:r>
      <w:r>
        <w:rPr>
          <w:bCs/>
        </w:rPr>
        <w:instrText>REF _Ref108118203 \h</w:instrText>
      </w:r>
      <w:r w:rsidR="000723F6">
        <w:rPr>
          <w:bCs/>
        </w:rPr>
      </w:r>
      <w:r w:rsidR="000723F6">
        <w:rPr>
          <w:bCs/>
        </w:rPr>
        <w:fldChar w:fldCharType="separate"/>
      </w:r>
      <w:r w:rsidR="00904A83">
        <w:rPr>
          <w:rFonts w:ascii="Arial" w:eastAsia="Times New Roman" w:hAnsi="Arial" w:cs="Arial"/>
          <w:lang w:eastAsia="es-ES"/>
        </w:rPr>
        <w:t>ANEXO II</w:t>
      </w:r>
      <w:r w:rsidR="000723F6">
        <w:rPr>
          <w:bCs/>
        </w:rPr>
        <w:fldChar w:fldCharType="end"/>
      </w:r>
      <w:r>
        <w:rPr>
          <w:bCs/>
        </w:rPr>
        <w:t xml:space="preserve"> de estas bases.</w:t>
      </w:r>
    </w:p>
    <w:p w:rsidR="00482668" w:rsidRDefault="00482668">
      <w:pPr>
        <w:pStyle w:val="Zerrenda-paragrafoa"/>
        <w:spacing w:after="240"/>
        <w:ind w:left="1146" w:firstLine="0"/>
        <w:jc w:val="both"/>
        <w:rPr>
          <w:bCs/>
        </w:rPr>
      </w:pPr>
    </w:p>
    <w:p w:rsidR="00482668" w:rsidRDefault="00762B21">
      <w:pPr>
        <w:pStyle w:val="Zerrenda-paragrafoa"/>
        <w:numPr>
          <w:ilvl w:val="0"/>
          <w:numId w:val="28"/>
        </w:numPr>
        <w:spacing w:after="240"/>
        <w:ind w:left="426"/>
        <w:jc w:val="both"/>
        <w:rPr>
          <w:bCs/>
        </w:rPr>
      </w:pPr>
      <w:r>
        <w:rPr>
          <w:bCs/>
        </w:rPr>
        <w:t xml:space="preserve">Comunicar al Ayuntamiento, como Administración que concede las subvenciones, la obtención de otras subvenciones o ayudas para la misma finalidad sin incurrir en sobre financiación sobre </w:t>
      </w:r>
      <w:r>
        <w:rPr>
          <w:bCs/>
        </w:rPr>
        <w:lastRenderedPageBreak/>
        <w:t>el mismo coste, procedentes de cualesquiera otras Administraciones o entes públicos, nacionales o internacionales.</w:t>
      </w:r>
    </w:p>
    <w:p w:rsidR="00482668" w:rsidRDefault="00482668">
      <w:pPr>
        <w:pStyle w:val="Zerrenda-paragrafoa"/>
        <w:spacing w:after="240"/>
        <w:ind w:left="1146" w:firstLine="0"/>
        <w:jc w:val="both"/>
        <w:rPr>
          <w:bCs/>
        </w:rPr>
      </w:pPr>
    </w:p>
    <w:p w:rsidR="00482668" w:rsidRDefault="00762B21">
      <w:pPr>
        <w:pStyle w:val="Zerrenda-paragrafoa"/>
        <w:numPr>
          <w:ilvl w:val="0"/>
          <w:numId w:val="28"/>
        </w:numPr>
        <w:spacing w:after="240"/>
        <w:ind w:left="426"/>
        <w:jc w:val="both"/>
        <w:rPr>
          <w:bCs/>
        </w:rPr>
      </w:pPr>
      <w:r>
        <w:rPr>
          <w:bCs/>
        </w:rPr>
        <w:t>Someterse a los controles establecidos por la Comisión Europea, la Oficina de Lucha Antifraude (OLAF), el Tribunal de Cuentas Europeo y la Fiscalía Europea, para lo cual se facilitará a estos órganos el acceso a toda la información requerida sobre la subvención, en los términos del artículo 22.2.e) del Reglamento (UE) 2021/241 del Parlamento Europeo y del Consejo, de 12 de febrero.</w:t>
      </w:r>
    </w:p>
    <w:p w:rsidR="00482668" w:rsidRDefault="00482668">
      <w:pPr>
        <w:pStyle w:val="Zerrenda-paragrafoa"/>
        <w:spacing w:after="240"/>
        <w:ind w:left="426" w:firstLine="0"/>
        <w:jc w:val="both"/>
        <w:rPr>
          <w:bCs/>
        </w:rPr>
      </w:pPr>
    </w:p>
    <w:p w:rsidR="00482668" w:rsidRDefault="00762B21">
      <w:pPr>
        <w:pStyle w:val="Zerrenda-paragrafoa"/>
        <w:numPr>
          <w:ilvl w:val="0"/>
          <w:numId w:val="28"/>
        </w:numPr>
        <w:spacing w:after="240"/>
        <w:ind w:left="426"/>
        <w:jc w:val="both"/>
        <w:rPr>
          <w:bCs/>
        </w:rPr>
      </w:pPr>
      <w:r>
        <w:rPr>
          <w:bCs/>
        </w:rPr>
        <w:t>Autorizar expresamente a la Comisión, a la OLAF, al Tribunal de Cuentas y, cuando proceda, a la Fiscalía Europea a ejercitar los derechos que les reconoce el artículo 129, apartado 1, del Reglamento Financiero y obligar a todos los perceptores finales de los fondos desembolsados para las medidas de aplicación de las reformas y los proyectos de inversión incluidos en el plan de recuperación y resiliencia, o a todas las demás personas o entidades qu</w:t>
      </w:r>
      <w:r w:rsidR="006E1494">
        <w:rPr>
          <w:bCs/>
        </w:rPr>
        <w:t>e intervengan en su aplicación.</w:t>
      </w:r>
    </w:p>
    <w:p w:rsidR="00482668" w:rsidRDefault="00482668">
      <w:pPr>
        <w:pStyle w:val="Zerrenda-paragrafoa"/>
        <w:spacing w:after="240"/>
        <w:ind w:left="426" w:firstLine="0"/>
        <w:jc w:val="both"/>
        <w:rPr>
          <w:bCs/>
        </w:rPr>
      </w:pPr>
    </w:p>
    <w:p w:rsidR="00482668" w:rsidRDefault="00762B21">
      <w:pPr>
        <w:pStyle w:val="Zerrenda-paragrafoa"/>
        <w:numPr>
          <w:ilvl w:val="0"/>
          <w:numId w:val="28"/>
        </w:numPr>
        <w:spacing w:after="240"/>
        <w:ind w:left="426"/>
        <w:jc w:val="both"/>
        <w:rPr>
          <w:bCs/>
        </w:rPr>
      </w:pPr>
      <w:r>
        <w:rPr>
          <w:bCs/>
        </w:rPr>
        <w:t>Custodiar y conservar los documentos justificativos de la aplicación de los fondos percibidos, incluidos los documentos electrónicos, a fin de que puedan ser objeto de actuaciones de comprobación y control, durante un periodo de cinco años o, en caso de que el importe de la financiación sea igual o inferior a 60.000 EUR, durante un periodo de tres años, de conformidad con lo establecido por el art. 132 del Reglamento (UE, Euratom) 2018/1046 del Parlamento Europeo y del Consejo, de 18 de julio de 2018, así como el artículo 22.2.f) del Reglamento (UE) 2021/241 del Parlamento Europeo y del Consejo, de 12 de febrero de 2021.</w:t>
      </w:r>
    </w:p>
    <w:p w:rsidR="00482668" w:rsidRDefault="00482668">
      <w:pPr>
        <w:pStyle w:val="Zerrenda-paragrafoa"/>
        <w:spacing w:after="240"/>
        <w:ind w:left="426" w:firstLine="0"/>
        <w:jc w:val="both"/>
        <w:rPr>
          <w:bCs/>
        </w:rPr>
      </w:pPr>
    </w:p>
    <w:p w:rsidR="00482668" w:rsidRDefault="00762B21">
      <w:pPr>
        <w:pStyle w:val="Zerrenda-paragrafoa"/>
        <w:numPr>
          <w:ilvl w:val="0"/>
          <w:numId w:val="28"/>
        </w:numPr>
        <w:spacing w:after="240"/>
        <w:ind w:left="426"/>
        <w:jc w:val="both"/>
        <w:rPr>
          <w:bCs/>
        </w:rPr>
      </w:pPr>
      <w:r>
        <w:rPr>
          <w:bCs/>
        </w:rPr>
        <w:t xml:space="preserve">Cumplir con las obligaciones de comunicación que establece el artículo 9 de la Orden HFP/1030/2021, de 29 de septiembre, por la que se configura el sistema de gestión del Plan de Recuperación, Transformación y Resiliencia. En particular, en las medidas de información y comunicación de las actuaciones que desarrollan las inversiones (carteles informativos, placas, publicaciones impresas y electrónicas, material audiovisual, páginas web, anuncios e inserciones en prensa, certificados, etc.), se deberán incluir los siguientes logos: a) El emblema de la Unión Europea. b) Junto con el emblema de la Unión, se incluirá el texto “Financiado por la Unión Europea-Next Generation EU”. c) Se tendrán en cuenta las normas gráficas y los colores normalizados establecidos en el Anexo II del Reglamento de Ejecución 821/2014. </w:t>
      </w:r>
    </w:p>
    <w:p w:rsidR="00482668" w:rsidRDefault="00482668">
      <w:pPr>
        <w:pStyle w:val="Zerrenda-paragrafoa"/>
        <w:rPr>
          <w:bCs/>
        </w:rPr>
      </w:pPr>
    </w:p>
    <w:p w:rsidR="00482668" w:rsidRDefault="00762B21">
      <w:pPr>
        <w:pStyle w:val="Zerrenda-paragrafoa"/>
        <w:numPr>
          <w:ilvl w:val="0"/>
          <w:numId w:val="28"/>
        </w:numPr>
        <w:spacing w:after="240"/>
        <w:ind w:left="426"/>
        <w:jc w:val="both"/>
      </w:pPr>
      <w:r>
        <w:rPr>
          <w:bCs/>
        </w:rPr>
        <w:t xml:space="preserve">Inscribir en el registro de la propiedad una nota marginal con el importe correspondiente a la participación de cada elemento de la comunidad de propietarios en las ayudas recibidas por la Comunidad de propietarios, con la obligación de su devolución a la Administración General de la Comunidad Autónoma del País Vasco en el caso de que se produzca una transmisión intervivos, de acuerdo con lo señalado en el </w:t>
      </w:r>
      <w:r w:rsidR="006E1494">
        <w:rPr>
          <w:bCs/>
        </w:rPr>
        <w:t xml:space="preserve">art. </w:t>
      </w:r>
      <w:r w:rsidR="000723F6">
        <w:rPr>
          <w:bCs/>
        </w:rPr>
        <w:fldChar w:fldCharType="begin"/>
      </w:r>
      <w:r>
        <w:rPr>
          <w:bCs/>
        </w:rPr>
        <w:instrText>REF _Ref108118392 \r \h</w:instrText>
      </w:r>
      <w:r w:rsidR="000723F6">
        <w:rPr>
          <w:bCs/>
        </w:rPr>
      </w:r>
      <w:r w:rsidR="000723F6">
        <w:rPr>
          <w:bCs/>
        </w:rPr>
        <w:fldChar w:fldCharType="separate"/>
      </w:r>
      <w:r w:rsidR="00904A83">
        <w:rPr>
          <w:bCs/>
        </w:rPr>
        <w:t>23</w:t>
      </w:r>
      <w:r w:rsidR="000723F6">
        <w:rPr>
          <w:bCs/>
        </w:rPr>
        <w:fldChar w:fldCharType="end"/>
      </w:r>
      <w:r>
        <w:rPr>
          <w:bCs/>
        </w:rPr>
        <w:t xml:space="preserve"> </w:t>
      </w:r>
      <w:r w:rsidR="000723F6">
        <w:fldChar w:fldCharType="begin"/>
      </w:r>
      <w:r>
        <w:instrText>REF _Ref108118399 \h</w:instrText>
      </w:r>
      <w:r w:rsidR="000723F6">
        <w:fldChar w:fldCharType="separate"/>
      </w:r>
      <w:r w:rsidR="00904A83">
        <w:rPr>
          <w:b/>
        </w:rPr>
        <w:t>REINTEGRO DE LAS AYUDAS CONCEDIDAS A LA COMUNIDAD DE PROPIETARIOS POR DISPOSICIÓN VOLUNTARIA INTERVIVOS DE ELEMENTOS PRIVATIVOS</w:t>
      </w:r>
      <w:r w:rsidR="000723F6">
        <w:fldChar w:fldCharType="end"/>
      </w:r>
      <w:r w:rsidR="006E1494">
        <w:t xml:space="preserve"> </w:t>
      </w:r>
      <w:r>
        <w:rPr>
          <w:bCs/>
        </w:rPr>
        <w:t>de estas bases.</w:t>
      </w:r>
    </w:p>
    <w:p w:rsidR="00482668" w:rsidRDefault="00482668">
      <w:pPr>
        <w:pStyle w:val="Zerrenda-paragrafoa"/>
        <w:rPr>
          <w:bCs/>
        </w:rPr>
      </w:pPr>
    </w:p>
    <w:p w:rsidR="00482668" w:rsidRDefault="00762B21">
      <w:pPr>
        <w:pStyle w:val="Zerrenda-paragrafoa"/>
        <w:numPr>
          <w:ilvl w:val="0"/>
          <w:numId w:val="28"/>
        </w:numPr>
        <w:spacing w:after="240"/>
        <w:ind w:left="426"/>
        <w:jc w:val="both"/>
      </w:pPr>
      <w:r>
        <w:rPr>
          <w:bCs/>
        </w:rPr>
        <w:t xml:space="preserve"> Inscribir en el registro de la propiedad una nota marginal con el importe de las ayudas recibidas como ayuda por criterio social, con la obligación de su devolución a la Administración General de la Comunidad Autónoma del País Vasco en el caso de que se produzca una transmisión intervivos, de acuerdo con lo señalado en el </w:t>
      </w:r>
      <w:r w:rsidR="003A65EB">
        <w:rPr>
          <w:bCs/>
        </w:rPr>
        <w:t xml:space="preserve">art. </w:t>
      </w:r>
      <w:r w:rsidR="000723F6">
        <w:rPr>
          <w:bCs/>
        </w:rPr>
        <w:fldChar w:fldCharType="begin"/>
      </w:r>
      <w:r>
        <w:rPr>
          <w:bCs/>
        </w:rPr>
        <w:instrText>REF _Ref109208517 \r \h</w:instrText>
      </w:r>
      <w:r w:rsidR="000723F6">
        <w:rPr>
          <w:bCs/>
        </w:rPr>
      </w:r>
      <w:r w:rsidR="000723F6">
        <w:rPr>
          <w:bCs/>
        </w:rPr>
        <w:fldChar w:fldCharType="separate"/>
      </w:r>
      <w:r w:rsidR="00904A83">
        <w:rPr>
          <w:bCs/>
        </w:rPr>
        <w:t>24</w:t>
      </w:r>
      <w:r w:rsidR="000723F6">
        <w:rPr>
          <w:bCs/>
        </w:rPr>
        <w:fldChar w:fldCharType="end"/>
      </w:r>
      <w:r>
        <w:rPr>
          <w:bCs/>
        </w:rPr>
        <w:t xml:space="preserve"> </w:t>
      </w:r>
      <w:r w:rsidR="000723F6">
        <w:fldChar w:fldCharType="begin"/>
      </w:r>
      <w:r>
        <w:instrText>REF _Ref109208525 \h</w:instrText>
      </w:r>
      <w:r w:rsidR="000723F6">
        <w:fldChar w:fldCharType="separate"/>
      </w:r>
      <w:r w:rsidR="00904A83">
        <w:rPr>
          <w:b/>
        </w:rPr>
        <w:t>REINTEGRO DE LAS AYUDAS POR CRITERIO SOCIAL</w:t>
      </w:r>
      <w:r w:rsidR="000723F6">
        <w:fldChar w:fldCharType="end"/>
      </w:r>
      <w:r w:rsidR="003A65EB">
        <w:t xml:space="preserve"> </w:t>
      </w:r>
      <w:r>
        <w:rPr>
          <w:bCs/>
        </w:rPr>
        <w:t xml:space="preserve">de estas bases. </w:t>
      </w:r>
    </w:p>
    <w:p w:rsidR="00482668" w:rsidRDefault="00482668">
      <w:pPr>
        <w:pStyle w:val="Zerrenda-paragrafoa"/>
        <w:rPr>
          <w:bCs/>
        </w:rPr>
      </w:pPr>
    </w:p>
    <w:p w:rsidR="00482668" w:rsidRDefault="00762B21">
      <w:pPr>
        <w:pStyle w:val="Zerrenda-paragrafoa"/>
        <w:numPr>
          <w:ilvl w:val="0"/>
          <w:numId w:val="28"/>
        </w:numPr>
        <w:spacing w:after="240"/>
        <w:ind w:left="426"/>
        <w:jc w:val="both"/>
        <w:rPr>
          <w:bCs/>
        </w:rPr>
      </w:pPr>
      <w:r>
        <w:rPr>
          <w:bCs/>
        </w:rPr>
        <w:t xml:space="preserve">Permitir la Inclusión de sus datos de identificación en una base datos única, de acuerdo con lo señalado en el artículo 22.2.d) del Reglamento (UE) 2021/241 del Parlamento Europeo y del </w:t>
      </w:r>
      <w:r>
        <w:rPr>
          <w:bCs/>
        </w:rPr>
        <w:lastRenderedPageBreak/>
        <w:t>Consejo, de 12 de febrero de 2021, y el artículo 8 de la Orden HFP/1030/2021, de 29 de septiembre, por la que se configura el sistema de gestión del PRTR.</w:t>
      </w:r>
    </w:p>
    <w:p w:rsidR="00482668" w:rsidRDefault="00482668">
      <w:pPr>
        <w:pStyle w:val="Zerrenda-paragrafoa"/>
        <w:rPr>
          <w:bCs/>
        </w:rPr>
      </w:pPr>
    </w:p>
    <w:p w:rsidR="00482668" w:rsidRDefault="00482668">
      <w:pPr>
        <w:pStyle w:val="Zerrenda-paragrafoa"/>
        <w:spacing w:after="240"/>
        <w:ind w:left="709" w:firstLine="0"/>
        <w:jc w:val="both"/>
        <w:rPr>
          <w:bCs/>
        </w:rPr>
      </w:pPr>
    </w:p>
    <w:p w:rsidR="00482668" w:rsidRDefault="00762B21">
      <w:pPr>
        <w:pStyle w:val="Zerrenda-paragrafoa"/>
        <w:numPr>
          <w:ilvl w:val="0"/>
          <w:numId w:val="25"/>
        </w:numPr>
        <w:jc w:val="both"/>
        <w:outlineLvl w:val="1"/>
        <w:rPr>
          <w:b/>
        </w:rPr>
      </w:pPr>
      <w:bookmarkStart w:id="66" w:name="_Ref108118796"/>
      <w:bookmarkStart w:id="67" w:name="_Toc108599902"/>
      <w:bookmarkStart w:id="68" w:name="_Toc108763761"/>
      <w:bookmarkStart w:id="69" w:name="_Toc115897512"/>
      <w:bookmarkStart w:id="70" w:name="_Ref108118790"/>
      <w:bookmarkStart w:id="71" w:name="_Toc121128534"/>
      <w:r>
        <w:rPr>
          <w:b/>
        </w:rPr>
        <w:t>OTROS ENTES INTERVINIENTES</w:t>
      </w:r>
      <w:bookmarkEnd w:id="66"/>
      <w:bookmarkEnd w:id="67"/>
      <w:bookmarkEnd w:id="68"/>
      <w:bookmarkEnd w:id="69"/>
      <w:bookmarkEnd w:id="70"/>
      <w:bookmarkEnd w:id="71"/>
    </w:p>
    <w:p w:rsidR="00482668" w:rsidRDefault="00482668">
      <w:pPr>
        <w:ind w:firstLine="0"/>
        <w:jc w:val="both"/>
        <w:rPr>
          <w:b/>
        </w:rPr>
      </w:pPr>
    </w:p>
    <w:p w:rsidR="00482668" w:rsidRDefault="00762B21">
      <w:pPr>
        <w:ind w:firstLine="0"/>
        <w:jc w:val="both"/>
      </w:pPr>
      <w:r>
        <w:rPr>
          <w:bCs/>
        </w:rPr>
        <w:t xml:space="preserve">A los efectos de estas bases se </w:t>
      </w:r>
      <w:bookmarkStart w:id="72" w:name="_Hlk101091659"/>
      <w:r>
        <w:rPr>
          <w:bCs/>
        </w:rPr>
        <w:t>consideran ”Otros Entes Intervinientes</w:t>
      </w:r>
      <w:bookmarkEnd w:id="72"/>
      <w:r>
        <w:rPr>
          <w:bCs/>
        </w:rPr>
        <w:t>” todas aquellas personas físicas o jurídicas, tanto de índole privada como pública o mixta</w:t>
      </w:r>
      <w:r w:rsidR="005E5694">
        <w:rPr>
          <w:bCs/>
        </w:rPr>
        <w:t xml:space="preserve"> a las</w:t>
      </w:r>
      <w:r>
        <w:rPr>
          <w:bCs/>
        </w:rPr>
        <w:t xml:space="preserve"> que el Ayuntamiento de Lasarte-Oria, en su calidad de administración concedente de las ayudas, y de común acuerdo con la Dirección de Planificación Territorial y Agenda Urbana del GV, les conceda ciertas competencias en el impulso, desarrollo, tramitación, gestión, acompañamiento a las personas beneficiarias, o cualquier otra facilitadora del logro de los objetivos de aquellas.</w:t>
      </w:r>
    </w:p>
    <w:p w:rsidR="00482668" w:rsidRDefault="00482668">
      <w:pPr>
        <w:ind w:firstLine="426"/>
        <w:jc w:val="both"/>
        <w:rPr>
          <w:bCs/>
        </w:rPr>
      </w:pPr>
    </w:p>
    <w:p w:rsidR="00482668" w:rsidRDefault="003A65EB">
      <w:pPr>
        <w:ind w:firstLine="0"/>
        <w:jc w:val="both"/>
        <w:rPr>
          <w:bCs/>
        </w:rPr>
      </w:pPr>
      <w:r>
        <w:rPr>
          <w:bCs/>
        </w:rPr>
        <w:t>En particular se consideran “</w:t>
      </w:r>
      <w:r w:rsidR="00762B21">
        <w:rPr>
          <w:bCs/>
        </w:rPr>
        <w:t>Otros Entes Intervinientes” en este ámbito, los siguientes:</w:t>
      </w:r>
    </w:p>
    <w:p w:rsidR="00482668" w:rsidRDefault="00482668">
      <w:pPr>
        <w:ind w:firstLine="426"/>
        <w:jc w:val="both"/>
        <w:rPr>
          <w:bCs/>
        </w:rPr>
      </w:pPr>
    </w:p>
    <w:p w:rsidR="00482668" w:rsidRDefault="00762B21">
      <w:pPr>
        <w:pStyle w:val="Zerrenda-paragrafoa"/>
        <w:numPr>
          <w:ilvl w:val="0"/>
          <w:numId w:val="36"/>
        </w:numPr>
        <w:spacing w:after="240"/>
        <w:ind w:left="426"/>
        <w:jc w:val="both"/>
      </w:pPr>
      <w:bookmarkStart w:id="73" w:name="_Ref108118726"/>
      <w:r>
        <w:rPr>
          <w:bCs/>
        </w:rPr>
        <w:t>Las “</w:t>
      </w:r>
      <w:r>
        <w:rPr>
          <w:b/>
        </w:rPr>
        <w:t>Comisiones Gestoras</w:t>
      </w:r>
      <w:r>
        <w:rPr>
          <w:bCs/>
        </w:rPr>
        <w:t xml:space="preserve">” conforme a lo expuesto en el </w:t>
      </w:r>
      <w:r w:rsidR="000723F6">
        <w:rPr>
          <w:bCs/>
        </w:rPr>
        <w:fldChar w:fldCharType="begin"/>
      </w:r>
      <w:r>
        <w:rPr>
          <w:bCs/>
        </w:rPr>
        <w:instrText>REF _Ref108118546 \r \h</w:instrText>
      </w:r>
      <w:r w:rsidR="000723F6">
        <w:rPr>
          <w:bCs/>
        </w:rPr>
      </w:r>
      <w:r w:rsidR="000723F6">
        <w:rPr>
          <w:bCs/>
        </w:rPr>
        <w:fldChar w:fldCharType="separate"/>
      </w:r>
      <w:r w:rsidR="00904A83">
        <w:rPr>
          <w:bCs/>
        </w:rPr>
        <w:t>13</w:t>
      </w:r>
      <w:r w:rsidR="000723F6">
        <w:rPr>
          <w:bCs/>
        </w:rPr>
        <w:fldChar w:fldCharType="end"/>
      </w:r>
      <w:r>
        <w:rPr>
          <w:bCs/>
        </w:rPr>
        <w:t xml:space="preserve"> </w:t>
      </w:r>
      <w:r w:rsidR="000723F6">
        <w:rPr>
          <w:b/>
        </w:rPr>
        <w:fldChar w:fldCharType="begin"/>
      </w:r>
      <w:r>
        <w:rPr>
          <w:b/>
        </w:rPr>
        <w:instrText>REF _Ref108118550 \h</w:instrText>
      </w:r>
      <w:r w:rsidR="000723F6">
        <w:rPr>
          <w:b/>
        </w:rPr>
      </w:r>
      <w:r w:rsidR="000723F6">
        <w:rPr>
          <w:b/>
        </w:rPr>
        <w:fldChar w:fldCharType="end"/>
      </w:r>
      <w:r>
        <w:rPr>
          <w:b/>
        </w:rPr>
        <w:t xml:space="preserve">  </w:t>
      </w:r>
      <w:r>
        <w:rPr>
          <w:bCs/>
        </w:rPr>
        <w:t>de estas bases.</w:t>
      </w:r>
      <w:bookmarkEnd w:id="73"/>
    </w:p>
    <w:p w:rsidR="00482668" w:rsidRDefault="00482668">
      <w:pPr>
        <w:pStyle w:val="Zerrenda-paragrafoa"/>
        <w:spacing w:after="240"/>
        <w:ind w:left="1146" w:firstLine="0"/>
        <w:jc w:val="both"/>
        <w:rPr>
          <w:bCs/>
        </w:rPr>
      </w:pPr>
    </w:p>
    <w:p w:rsidR="00482668" w:rsidRDefault="00762B21">
      <w:pPr>
        <w:pStyle w:val="Zerrenda-paragrafoa"/>
        <w:numPr>
          <w:ilvl w:val="0"/>
          <w:numId w:val="36"/>
        </w:numPr>
        <w:spacing w:after="240"/>
        <w:ind w:left="426"/>
        <w:jc w:val="both"/>
      </w:pPr>
      <w:r>
        <w:rPr>
          <w:bCs/>
        </w:rPr>
        <w:t>La</w:t>
      </w:r>
      <w:r>
        <w:rPr>
          <w:b/>
        </w:rPr>
        <w:t xml:space="preserve"> “Oficina Técnica y de Gestión de Proximidad”</w:t>
      </w:r>
      <w:r>
        <w:rPr>
          <w:bCs/>
        </w:rPr>
        <w:t xml:space="preserve"> conforme a lo expuesto en el punto 2.d) del “Artículo 15 Cuantía de las ayudas”, relativo a la implantación de una “oficina de rehabilitación, tipo «ventanilla única»” del Real Decreto 853/2021, de 5 de octubre, por el que se regulan los programas de ayuda en materia de rehabilitación residencial y vivienda social del Plan de Recuperación, Transformación y Resiliencia”.</w:t>
      </w:r>
    </w:p>
    <w:p w:rsidR="00482668" w:rsidRDefault="00482668">
      <w:pPr>
        <w:pStyle w:val="Zerrenda-paragrafoa"/>
        <w:spacing w:after="240"/>
        <w:ind w:left="426" w:firstLine="0"/>
        <w:jc w:val="both"/>
        <w:rPr>
          <w:bCs/>
        </w:rPr>
      </w:pPr>
    </w:p>
    <w:p w:rsidR="00482668" w:rsidRDefault="00482668">
      <w:pPr>
        <w:pStyle w:val="Zerrenda-paragrafoa"/>
        <w:spacing w:after="240"/>
        <w:ind w:left="426" w:firstLine="0"/>
        <w:jc w:val="both"/>
        <w:rPr>
          <w:bCs/>
        </w:rPr>
      </w:pPr>
    </w:p>
    <w:p w:rsidR="00482668" w:rsidRDefault="00762B21">
      <w:pPr>
        <w:pStyle w:val="Zerrenda-paragrafoa"/>
        <w:numPr>
          <w:ilvl w:val="0"/>
          <w:numId w:val="25"/>
        </w:numPr>
        <w:jc w:val="both"/>
        <w:outlineLvl w:val="1"/>
      </w:pPr>
      <w:bookmarkStart w:id="74" w:name="_Toc108763762"/>
      <w:bookmarkStart w:id="75" w:name="_Ref115895419"/>
      <w:bookmarkStart w:id="76" w:name="_Ref115895425"/>
      <w:bookmarkStart w:id="77" w:name="_Toc115897513"/>
      <w:bookmarkStart w:id="78" w:name="_Toc108599903"/>
      <w:bookmarkStart w:id="79" w:name="_Toc121128535"/>
      <w:r>
        <w:rPr>
          <w:b/>
        </w:rPr>
        <w:t>OBLIGACIONES DE LOS OTROS ENTES INTERVINIENTES</w:t>
      </w:r>
      <w:bookmarkEnd w:id="74"/>
      <w:bookmarkEnd w:id="75"/>
      <w:bookmarkEnd w:id="76"/>
      <w:bookmarkEnd w:id="77"/>
      <w:bookmarkEnd w:id="78"/>
      <w:bookmarkEnd w:id="79"/>
    </w:p>
    <w:p w:rsidR="00482668" w:rsidRDefault="00482668">
      <w:pPr>
        <w:ind w:firstLine="0"/>
        <w:jc w:val="both"/>
        <w:rPr>
          <w:bCs/>
        </w:rPr>
      </w:pPr>
    </w:p>
    <w:p w:rsidR="00482668" w:rsidRDefault="00762B21">
      <w:pPr>
        <w:ind w:firstLine="0"/>
        <w:jc w:val="both"/>
      </w:pPr>
      <w:r>
        <w:rPr>
          <w:bCs/>
        </w:rPr>
        <w:t>Los Otros Entes Intervinientes que vayan a ser beneficiarias o entidades colaboradoras, para ser considerados como tales, deberán presentar una solicitud al Ayuntamiento de Lasarte-Oria, acompañada de la siguiente documentación:</w:t>
      </w:r>
    </w:p>
    <w:p w:rsidR="00482668" w:rsidRDefault="00482668">
      <w:pPr>
        <w:ind w:firstLine="0"/>
        <w:jc w:val="both"/>
        <w:rPr>
          <w:bCs/>
        </w:rPr>
      </w:pPr>
    </w:p>
    <w:p w:rsidR="00482668" w:rsidRDefault="00762B21">
      <w:pPr>
        <w:pStyle w:val="Zerrenda-paragrafoa"/>
        <w:numPr>
          <w:ilvl w:val="0"/>
          <w:numId w:val="29"/>
        </w:numPr>
        <w:ind w:left="426"/>
        <w:jc w:val="both"/>
      </w:pPr>
      <w:r>
        <w:rPr>
          <w:bCs/>
        </w:rPr>
        <w:t xml:space="preserve">Cuando el Ente Interviniente sea una persona jurídica deberán acreditar o declarar expresamente en su solicitud que se encuentra debidamente constituida, según la normativa que les resulte de aplicación. En el caso de entidades que carezcan de personalidad jurídica propia, deberá hacerse constar expresamente tanto en la solicitud como en la resolución de concesión los compromisos de ejecución asumidos por cada miembro de la agrupación. En cualquier caso, debe nombrarse representante o apoderado único de la agrupación con poderes bastantes, así como acreditar su solvencia técnica y económica por el procedimiento que se establezca. Quedan excluidas de esta obligación las Comisiones Gestoras del subapartado </w:t>
      </w:r>
      <w:r w:rsidR="000723F6">
        <w:rPr>
          <w:bCs/>
        </w:rPr>
        <w:fldChar w:fldCharType="begin"/>
      </w:r>
      <w:r>
        <w:rPr>
          <w:bCs/>
        </w:rPr>
        <w:instrText>REF _Ref108118726 \r \h</w:instrText>
      </w:r>
      <w:r w:rsidR="000723F6">
        <w:rPr>
          <w:bCs/>
        </w:rPr>
      </w:r>
      <w:r w:rsidR="000723F6">
        <w:rPr>
          <w:bCs/>
        </w:rPr>
        <w:fldChar w:fldCharType="separate"/>
      </w:r>
      <w:r w:rsidR="00904A83">
        <w:rPr>
          <w:bCs/>
        </w:rPr>
        <w:t>a</w:t>
      </w:r>
      <w:r w:rsidR="000723F6">
        <w:rPr>
          <w:bCs/>
        </w:rPr>
        <w:fldChar w:fldCharType="end"/>
      </w:r>
      <w:r>
        <w:rPr>
          <w:bCs/>
        </w:rPr>
        <w:t xml:space="preserve"> del </w:t>
      </w:r>
      <w:r w:rsidR="000723F6">
        <w:rPr>
          <w:bCs/>
        </w:rPr>
        <w:fldChar w:fldCharType="begin"/>
      </w:r>
      <w:r>
        <w:rPr>
          <w:bCs/>
        </w:rPr>
        <w:instrText>REF _Ref108118790 \r \h</w:instrText>
      </w:r>
      <w:r w:rsidR="000723F6">
        <w:rPr>
          <w:bCs/>
        </w:rPr>
      </w:r>
      <w:r w:rsidR="000723F6">
        <w:rPr>
          <w:bCs/>
        </w:rPr>
        <w:fldChar w:fldCharType="separate"/>
      </w:r>
      <w:r w:rsidR="00904A83">
        <w:rPr>
          <w:bCs/>
        </w:rPr>
        <w:t>9</w:t>
      </w:r>
      <w:r w:rsidR="000723F6">
        <w:rPr>
          <w:bCs/>
        </w:rPr>
        <w:fldChar w:fldCharType="end"/>
      </w:r>
      <w:r>
        <w:rPr>
          <w:bCs/>
        </w:rPr>
        <w:t xml:space="preserve"> </w:t>
      </w:r>
      <w:r w:rsidR="000723F6">
        <w:fldChar w:fldCharType="begin"/>
      </w:r>
      <w:r>
        <w:instrText>REF _Ref108118796 \h</w:instrText>
      </w:r>
      <w:r w:rsidR="000723F6">
        <w:fldChar w:fldCharType="separate"/>
      </w:r>
      <w:r w:rsidR="00904A83">
        <w:rPr>
          <w:b/>
        </w:rPr>
        <w:t>OTROS ENTES INTERVINIENTES</w:t>
      </w:r>
      <w:r w:rsidR="000723F6">
        <w:fldChar w:fldCharType="end"/>
      </w:r>
      <w:r>
        <w:rPr>
          <w:bCs/>
        </w:rPr>
        <w:t>, puesto que no tendrán la consideración de entidad beneficiaria ni de entidad colaboradora.</w:t>
      </w:r>
    </w:p>
    <w:p w:rsidR="00482668" w:rsidRDefault="00482668">
      <w:pPr>
        <w:ind w:firstLine="0"/>
        <w:jc w:val="both"/>
        <w:rPr>
          <w:bCs/>
        </w:rPr>
      </w:pPr>
    </w:p>
    <w:p w:rsidR="00482668" w:rsidRDefault="00762B21">
      <w:pPr>
        <w:pStyle w:val="Zerrenda-paragrafoa"/>
        <w:numPr>
          <w:ilvl w:val="0"/>
          <w:numId w:val="29"/>
        </w:numPr>
        <w:ind w:left="426"/>
        <w:jc w:val="both"/>
      </w:pPr>
      <w:r>
        <w:rPr>
          <w:bCs/>
        </w:rPr>
        <w:t xml:space="preserve">Declaración responsable de adecuación al principio de «no causar perjuicio significativo» (principio «do not significant harm – DNSH») en el sentido establecido en el apartado 6) del artículo 2 del Reglamento (UE) 2021/241 del Parlamento europeo y del Consejo, de 12 de febrero de 2021, y en su caso del etiquetado climático y digital, de acuerdo con lo previsto en el Plan de Recuperación, Transformación y Resiliencia, aprobado por Consejo de Ministros el 27 de abril de 2021, conforme al formulario recogido en el  </w:t>
      </w:r>
      <w:r w:rsidR="000723F6">
        <w:rPr>
          <w:bCs/>
        </w:rPr>
        <w:fldChar w:fldCharType="begin"/>
      </w:r>
      <w:r>
        <w:rPr>
          <w:bCs/>
        </w:rPr>
        <w:instrText>REF _Ref108119112 \h</w:instrText>
      </w:r>
      <w:r w:rsidR="000723F6">
        <w:rPr>
          <w:bCs/>
        </w:rPr>
      </w:r>
      <w:r w:rsidR="000723F6">
        <w:rPr>
          <w:bCs/>
        </w:rPr>
        <w:fldChar w:fldCharType="separate"/>
      </w:r>
      <w:r w:rsidR="00904A83">
        <w:rPr>
          <w:rFonts w:ascii="Arial" w:eastAsia="Times New Roman" w:hAnsi="Arial" w:cs="Arial"/>
          <w:lang w:eastAsia="es-ES"/>
        </w:rPr>
        <w:t>ANEXO I</w:t>
      </w:r>
      <w:r w:rsidR="000723F6">
        <w:rPr>
          <w:bCs/>
        </w:rPr>
        <w:fldChar w:fldCharType="end"/>
      </w:r>
      <w:r>
        <w:rPr>
          <w:bCs/>
        </w:rPr>
        <w:t>. Modelo declaración responsable del cumplimiento del principio de «No causar perjuicio significativo» al medio ambiente (DNSH)” de estas bases. debidamente cumplimentado por el ente solicitante</w:t>
      </w:r>
      <w:r w:rsidR="003A65EB">
        <w:rPr>
          <w:bCs/>
        </w:rPr>
        <w:t>.</w:t>
      </w:r>
    </w:p>
    <w:p w:rsidR="00482668" w:rsidRDefault="00482668">
      <w:pPr>
        <w:pStyle w:val="Zerrenda-paragrafoa"/>
        <w:ind w:left="426"/>
        <w:rPr>
          <w:bCs/>
        </w:rPr>
      </w:pPr>
    </w:p>
    <w:p w:rsidR="00482668" w:rsidRDefault="00762B21">
      <w:pPr>
        <w:pStyle w:val="Zerrenda-paragrafoa"/>
        <w:numPr>
          <w:ilvl w:val="0"/>
          <w:numId w:val="29"/>
        </w:numPr>
        <w:ind w:left="426"/>
        <w:jc w:val="both"/>
      </w:pPr>
      <w:r>
        <w:rPr>
          <w:bCs/>
        </w:rPr>
        <w:lastRenderedPageBreak/>
        <w:t xml:space="preserve">Declaración de Ausencia de Conflicto de Intereses (DACI) en los términos del </w:t>
      </w:r>
      <w:r w:rsidR="000723F6">
        <w:rPr>
          <w:bCs/>
        </w:rPr>
        <w:fldChar w:fldCharType="begin"/>
      </w:r>
      <w:r>
        <w:rPr>
          <w:bCs/>
        </w:rPr>
        <w:instrText>REF _Ref108118985 \r \h</w:instrText>
      </w:r>
      <w:r w:rsidR="000723F6">
        <w:rPr>
          <w:bCs/>
        </w:rPr>
      </w:r>
      <w:r w:rsidR="000723F6">
        <w:rPr>
          <w:bCs/>
        </w:rPr>
        <w:fldChar w:fldCharType="separate"/>
      </w:r>
      <w:r w:rsidR="00904A83">
        <w:rPr>
          <w:bCs/>
        </w:rPr>
        <w:t>21</w:t>
      </w:r>
      <w:r w:rsidR="000723F6">
        <w:rPr>
          <w:bCs/>
        </w:rPr>
        <w:fldChar w:fldCharType="end"/>
      </w:r>
      <w:r>
        <w:rPr>
          <w:bCs/>
        </w:rPr>
        <w:t xml:space="preserve"> </w:t>
      </w:r>
      <w:r w:rsidR="000723F6">
        <w:rPr>
          <w:bCs/>
        </w:rPr>
        <w:fldChar w:fldCharType="begin"/>
      </w:r>
      <w:r>
        <w:rPr>
          <w:bCs/>
        </w:rPr>
        <w:instrText>REF _Ref108118989 \h</w:instrText>
      </w:r>
      <w:r w:rsidR="000723F6">
        <w:rPr>
          <w:bCs/>
        </w:rPr>
      </w:r>
      <w:r w:rsidR="000723F6">
        <w:rPr>
          <w:bCs/>
        </w:rPr>
        <w:fldChar w:fldCharType="separate"/>
      </w:r>
      <w:r w:rsidR="00904A83">
        <w:rPr>
          <w:b/>
          <w:bCs/>
        </w:rPr>
        <w:t>PREVENCIÓN DEL RIESGO DE FRAUDE, CORRUPCIÓN Y CONFLICTOS DE INTERÉS</w:t>
      </w:r>
      <w:r w:rsidR="000723F6">
        <w:rPr>
          <w:bCs/>
        </w:rPr>
        <w:fldChar w:fldCharType="end"/>
      </w:r>
      <w:r>
        <w:rPr>
          <w:bCs/>
        </w:rPr>
        <w:t xml:space="preserve"> de acuerdo al formulario incluido en el apartado </w:t>
      </w:r>
      <w:r w:rsidR="000723F6">
        <w:rPr>
          <w:bCs/>
        </w:rPr>
        <w:fldChar w:fldCharType="begin"/>
      </w:r>
      <w:r>
        <w:rPr>
          <w:bCs/>
        </w:rPr>
        <w:instrText>REF _Ref108118234 \r \h</w:instrText>
      </w:r>
      <w:r w:rsidR="000723F6">
        <w:rPr>
          <w:bCs/>
        </w:rPr>
      </w:r>
      <w:r w:rsidR="000723F6">
        <w:rPr>
          <w:bCs/>
        </w:rPr>
        <w:fldChar w:fldCharType="separate"/>
      </w:r>
      <w:r w:rsidR="00904A83">
        <w:rPr>
          <w:bCs/>
        </w:rPr>
        <w:t>1</w:t>
      </w:r>
      <w:r w:rsidR="000723F6">
        <w:rPr>
          <w:bCs/>
        </w:rPr>
        <w:fldChar w:fldCharType="end"/>
      </w:r>
      <w:r>
        <w:rPr>
          <w:bCs/>
        </w:rPr>
        <w:t xml:space="preserve"> del  .  </w:t>
      </w:r>
      <w:r w:rsidR="000723F6">
        <w:rPr>
          <w:bCs/>
        </w:rPr>
        <w:fldChar w:fldCharType="begin"/>
      </w:r>
      <w:r>
        <w:rPr>
          <w:bCs/>
        </w:rPr>
        <w:instrText>REF _Ref108119054 \h</w:instrText>
      </w:r>
      <w:r w:rsidR="000723F6">
        <w:rPr>
          <w:bCs/>
        </w:rPr>
      </w:r>
      <w:r w:rsidR="000723F6">
        <w:rPr>
          <w:bCs/>
        </w:rPr>
        <w:fldChar w:fldCharType="separate"/>
      </w:r>
      <w:r w:rsidR="00904A83">
        <w:rPr>
          <w:rFonts w:ascii="Arial" w:eastAsia="Times New Roman" w:hAnsi="Arial" w:cs="Arial"/>
          <w:lang w:eastAsia="es-ES"/>
        </w:rPr>
        <w:t>ANEXO II</w:t>
      </w:r>
      <w:r w:rsidR="000723F6">
        <w:rPr>
          <w:bCs/>
        </w:rPr>
        <w:fldChar w:fldCharType="end"/>
      </w:r>
      <w:r>
        <w:rPr>
          <w:bCs/>
        </w:rPr>
        <w:t xml:space="preserve"> de estas bases.</w:t>
      </w:r>
    </w:p>
    <w:p w:rsidR="00482668" w:rsidRDefault="00482668">
      <w:pPr>
        <w:pStyle w:val="Zerrenda-paragrafoa"/>
        <w:ind w:left="426"/>
        <w:jc w:val="both"/>
        <w:rPr>
          <w:bCs/>
        </w:rPr>
      </w:pPr>
    </w:p>
    <w:p w:rsidR="00482668" w:rsidRDefault="00762B21">
      <w:pPr>
        <w:pStyle w:val="Zerrenda-paragrafoa"/>
        <w:numPr>
          <w:ilvl w:val="0"/>
          <w:numId w:val="29"/>
        </w:numPr>
        <w:ind w:left="426"/>
        <w:jc w:val="both"/>
      </w:pPr>
      <w:r>
        <w:rPr>
          <w:bCs/>
        </w:rPr>
        <w:t xml:space="preserve">Declaración de aceptación incondicionada y sin reservas del Plan de Medidas Antifraude aprobado por la Administración concedente de la subvención y por el Gobierno Vasco (publicado en el BOPV núm. 74, de 13 de abril de 2022, en virtud de la Resolución 40/2022, de 6 de abril del Director de la Secretaría del Gobierno y de Relaciones con el Parlamento), Declaración Institucional de lucha contra el fraude que será publicada en su web institucional, y que contenga una manifestación clara y contundente comprometiéndose a conseguir los más altos estándares éticos en la lucha contra el fraude. En el </w:t>
      </w:r>
      <w:r w:rsidR="000723F6">
        <w:rPr>
          <w:bCs/>
        </w:rPr>
        <w:fldChar w:fldCharType="begin"/>
      </w:r>
      <w:r>
        <w:rPr>
          <w:bCs/>
        </w:rPr>
        <w:instrText>REF _Ref108119150 \h</w:instrText>
      </w:r>
      <w:r w:rsidR="000723F6">
        <w:rPr>
          <w:bCs/>
        </w:rPr>
      </w:r>
      <w:r w:rsidR="000723F6">
        <w:rPr>
          <w:bCs/>
        </w:rPr>
        <w:fldChar w:fldCharType="separate"/>
      </w:r>
      <w:r w:rsidR="00904A83">
        <w:rPr>
          <w:rFonts w:ascii="Arial" w:eastAsia="Times New Roman" w:hAnsi="Arial" w:cs="Arial"/>
          <w:lang w:eastAsia="es-ES"/>
        </w:rPr>
        <w:t>ANEXO I</w:t>
      </w:r>
      <w:r w:rsidR="000723F6">
        <w:rPr>
          <w:bCs/>
        </w:rPr>
        <w:fldChar w:fldCharType="end"/>
      </w:r>
      <w:r>
        <w:rPr>
          <w:bCs/>
        </w:rPr>
        <w:t xml:space="preserve"> de este documento, se adjunta una declaración institucional de lucha contra el fraude para facilitar el cumplimiento de la medida</w:t>
      </w:r>
      <w:r w:rsidR="003A65EB">
        <w:rPr>
          <w:bCs/>
        </w:rPr>
        <w:t>.</w:t>
      </w:r>
    </w:p>
    <w:p w:rsidR="00482668" w:rsidRDefault="00482668">
      <w:pPr>
        <w:pStyle w:val="Zerrenda-paragrafoa"/>
        <w:jc w:val="both"/>
        <w:rPr>
          <w:bCs/>
        </w:rPr>
      </w:pPr>
    </w:p>
    <w:p w:rsidR="00482668" w:rsidRDefault="00762B21">
      <w:pPr>
        <w:pStyle w:val="Zerrenda-paragrafoa"/>
        <w:numPr>
          <w:ilvl w:val="0"/>
          <w:numId w:val="29"/>
        </w:numPr>
        <w:ind w:left="426"/>
        <w:jc w:val="both"/>
        <w:rPr>
          <w:bCs/>
        </w:rPr>
      </w:pPr>
      <w:r>
        <w:rPr>
          <w:bCs/>
        </w:rPr>
        <w:t xml:space="preserve">Declaración de aceptación de la cesión de datos entre las Administraciones Públicas implicadas a efectos de auditoría y control del uso de los fondos, conforme a la normativa vigente. </w:t>
      </w:r>
    </w:p>
    <w:p w:rsidR="00482668" w:rsidRDefault="00482668">
      <w:pPr>
        <w:pStyle w:val="Zerrenda-paragrafoa"/>
        <w:ind w:left="426"/>
        <w:jc w:val="both"/>
        <w:rPr>
          <w:bCs/>
        </w:rPr>
      </w:pPr>
    </w:p>
    <w:p w:rsidR="00482668" w:rsidRDefault="00762B21">
      <w:pPr>
        <w:pStyle w:val="Zerrenda-paragrafoa"/>
        <w:numPr>
          <w:ilvl w:val="0"/>
          <w:numId w:val="29"/>
        </w:numPr>
        <w:ind w:left="426"/>
        <w:jc w:val="both"/>
        <w:rPr>
          <w:bCs/>
        </w:rPr>
      </w:pPr>
      <w:r>
        <w:rPr>
          <w:bCs/>
        </w:rPr>
        <w:t>Autorización expresa para el acceso de la Comisión, la Oficina Europea de Lucha contra el Fraude (OLAF), el Tribunal de Cuentas Europeo, la Fiscalía Europea y las autoridades nacionales competentes para el ejercicio de sus competencias relativas a lo dispuesto en el artículo 22.2.e) del Reglamento (UE) 2021/241 del Parlamento Europeo y del Consejo, de 12 de febrero de 2021, y en el artículo 129 del Reglamento Financiero (Reglamento (UE, Euratom) 2018/1046 del Parlamento Europeo y del Consejo, de 18 de julio de 2018).</w:t>
      </w:r>
    </w:p>
    <w:p w:rsidR="00482668" w:rsidRDefault="00482668">
      <w:pPr>
        <w:ind w:left="426" w:firstLine="0"/>
        <w:jc w:val="both"/>
        <w:rPr>
          <w:bCs/>
        </w:rPr>
      </w:pPr>
    </w:p>
    <w:p w:rsidR="00482668" w:rsidRDefault="00482668">
      <w:pPr>
        <w:ind w:firstLine="0"/>
        <w:jc w:val="both"/>
        <w:rPr>
          <w:bCs/>
        </w:rPr>
      </w:pPr>
    </w:p>
    <w:p w:rsidR="00482668" w:rsidRDefault="00762B21">
      <w:pPr>
        <w:pStyle w:val="Zerrenda-paragrafoa"/>
        <w:numPr>
          <w:ilvl w:val="0"/>
          <w:numId w:val="25"/>
        </w:numPr>
        <w:jc w:val="both"/>
        <w:outlineLvl w:val="1"/>
        <w:rPr>
          <w:b/>
        </w:rPr>
      </w:pPr>
      <w:bookmarkStart w:id="80" w:name="_Toc108763763"/>
      <w:bookmarkStart w:id="81" w:name="_Toc115897514"/>
      <w:bookmarkStart w:id="82" w:name="_Toc108599904"/>
      <w:bookmarkStart w:id="83" w:name="_Toc121128536"/>
      <w:r>
        <w:rPr>
          <w:b/>
        </w:rPr>
        <w:t>REQUISITOS DE LOS EDIFICIOS OBJETO DE REHABILITACIÓN</w:t>
      </w:r>
      <w:bookmarkEnd w:id="80"/>
      <w:bookmarkEnd w:id="81"/>
      <w:bookmarkEnd w:id="82"/>
      <w:bookmarkEnd w:id="83"/>
    </w:p>
    <w:p w:rsidR="00482668" w:rsidRDefault="00482668">
      <w:pPr>
        <w:pStyle w:val="Zerrenda-paragrafoa"/>
        <w:ind w:left="1080" w:firstLine="0"/>
        <w:jc w:val="both"/>
        <w:rPr>
          <w:b/>
        </w:rPr>
      </w:pPr>
    </w:p>
    <w:p w:rsidR="00482668" w:rsidRDefault="00762B21">
      <w:pPr>
        <w:pStyle w:val="Zerrenda-paragrafoa"/>
        <w:ind w:left="0" w:firstLine="0"/>
        <w:jc w:val="both"/>
        <w:rPr>
          <w:bCs/>
        </w:rPr>
      </w:pPr>
      <w:r>
        <w:rPr>
          <w:bCs/>
        </w:rPr>
        <w:t>Los edificios para los que se solicite financiación de este programa han de cumplir los siguientes requisitos necesarios para la justificación de la ejecución de las actuaciones subvencionables:</w:t>
      </w:r>
    </w:p>
    <w:p w:rsidR="00482668" w:rsidRDefault="00482668">
      <w:pPr>
        <w:pStyle w:val="Zerrenda-paragrafoa"/>
        <w:ind w:left="0" w:firstLine="426"/>
        <w:jc w:val="both"/>
        <w:rPr>
          <w:bCs/>
        </w:rPr>
      </w:pPr>
    </w:p>
    <w:p w:rsidR="00482668" w:rsidRDefault="00762B21">
      <w:pPr>
        <w:pStyle w:val="Zerrenda-paragrafoa"/>
        <w:numPr>
          <w:ilvl w:val="0"/>
          <w:numId w:val="7"/>
        </w:numPr>
        <w:ind w:left="426"/>
        <w:jc w:val="both"/>
        <w:rPr>
          <w:bCs/>
          <w:u w:val="single"/>
        </w:rPr>
      </w:pPr>
      <w:r>
        <w:rPr>
          <w:bCs/>
          <w:u w:val="single"/>
        </w:rPr>
        <w:t xml:space="preserve">Disponer de proyecto de las actuaciones a realizar.  </w:t>
      </w:r>
    </w:p>
    <w:p w:rsidR="00482668" w:rsidRDefault="00482668">
      <w:pPr>
        <w:pStyle w:val="Zerrenda-paragrafoa"/>
        <w:tabs>
          <w:tab w:val="left" w:pos="1134"/>
        </w:tabs>
        <w:ind w:left="1069" w:firstLine="0"/>
        <w:jc w:val="both"/>
        <w:rPr>
          <w:bCs/>
          <w:u w:val="single"/>
        </w:rPr>
      </w:pPr>
    </w:p>
    <w:p w:rsidR="00482668" w:rsidRDefault="00762B21">
      <w:pPr>
        <w:pStyle w:val="Zerrenda-paragrafoa"/>
        <w:spacing w:before="240" w:after="240"/>
        <w:ind w:left="426" w:firstLine="0"/>
        <w:jc w:val="both"/>
        <w:rPr>
          <w:bCs/>
        </w:rPr>
      </w:pPr>
      <w:r>
        <w:rPr>
          <w:bCs/>
        </w:rPr>
        <w:t>El proyecto incluirá un estudio de gestión de residuos de construcción y demolición que se desarrollará posteriormente en el correspondiente plan de gestión de residuos de construcción y demolición, conforme a lo establecido Decreto 105/2008, de 1 de febrero, por el que se regula la producción y gestión de los residuos de construcción y demolición, donde se cumplirán las siguientes condiciones:</w:t>
      </w:r>
    </w:p>
    <w:p w:rsidR="00482668" w:rsidRDefault="00762B21">
      <w:pPr>
        <w:pStyle w:val="Zerrenda-paragrafoa"/>
        <w:spacing w:before="240" w:after="240"/>
        <w:ind w:left="426" w:firstLine="0"/>
        <w:jc w:val="both"/>
        <w:rPr>
          <w:bCs/>
        </w:rPr>
      </w:pPr>
      <w:r>
        <w:rPr>
          <w:bCs/>
        </w:rPr>
        <w:t xml:space="preserve"> </w:t>
      </w:r>
    </w:p>
    <w:p w:rsidR="00482668" w:rsidRDefault="00762B21">
      <w:pPr>
        <w:pStyle w:val="Zerrenda-paragrafoa"/>
        <w:ind w:left="709" w:firstLine="0"/>
        <w:jc w:val="both"/>
        <w:rPr>
          <w:bCs/>
        </w:rPr>
      </w:pPr>
      <w:r>
        <w:rPr>
          <w:bCs/>
        </w:rPr>
        <w:t>1º. Al menos el 70% (en peso) de los residuos de construcción y demolición no peligrosos (excluyendo el material natural mencionado en la categoría 17 05 04 en la Lista europea de residuos establecida por la Decisión 2000/532 /EC) generados en el sitio de construcción se preparará para su reutilización, reciclaje y recuperación de otros materiales, incluidas las operaciones de relleno utilizando residuos para sustituir otros materiales, de acuerdo con la jerarquía de residuos y el Protocolo de gestión de residuos de construcción y demolición de la UE. Página 21 de 67 Ministerio de Transpo</w:t>
      </w:r>
      <w:r w:rsidR="003A65EB">
        <w:rPr>
          <w:bCs/>
        </w:rPr>
        <w:t>rtes, Movilidad y Agenda Urbana.</w:t>
      </w:r>
    </w:p>
    <w:p w:rsidR="00482668" w:rsidRDefault="00482668">
      <w:pPr>
        <w:pStyle w:val="Zerrenda-paragrafoa"/>
        <w:ind w:left="851" w:firstLine="0"/>
        <w:jc w:val="both"/>
        <w:rPr>
          <w:bCs/>
        </w:rPr>
      </w:pPr>
    </w:p>
    <w:p w:rsidR="00482668" w:rsidRDefault="00762B21">
      <w:pPr>
        <w:pStyle w:val="Zerrenda-paragrafoa"/>
        <w:ind w:left="709" w:firstLine="0"/>
        <w:jc w:val="both"/>
      </w:pPr>
      <w:r>
        <w:rPr>
          <w:bCs/>
        </w:rPr>
        <w:t xml:space="preserve">2º. Los operadores deberán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w:t>
      </w:r>
      <w:r>
        <w:rPr>
          <w:bCs/>
        </w:rPr>
        <w:lastRenderedPageBreak/>
        <w:t>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rsidR="00482668" w:rsidRDefault="00482668">
      <w:pPr>
        <w:pStyle w:val="Zerrenda-paragrafoa"/>
        <w:ind w:left="851" w:firstLine="0"/>
        <w:jc w:val="both"/>
        <w:rPr>
          <w:bCs/>
        </w:rPr>
      </w:pPr>
    </w:p>
    <w:p w:rsidR="00482668" w:rsidRDefault="00762B21">
      <w:pPr>
        <w:pStyle w:val="Zerrenda-paragrafoa"/>
        <w:spacing w:before="240" w:after="240"/>
        <w:ind w:left="426" w:firstLine="0"/>
        <w:jc w:val="both"/>
        <w:rPr>
          <w:bCs/>
        </w:rPr>
      </w:pPr>
      <w:r>
        <w:rPr>
          <w:bCs/>
        </w:rPr>
        <w:t>El proyecto incluirá un programa de control de calidad que se desarrollará posteriormente en el correspondiente plan de control de calidad, conforme a lo establecido Decreto 209/2014, de 28 de octubre, por el que se regula el control de calidad en la construcción, donde se incluirán, para las nuevas intervenciones, como mínimo de forma específica, aunque no exclusiva, las siguientes condiciones:</w:t>
      </w:r>
    </w:p>
    <w:p w:rsidR="00482668" w:rsidRDefault="00482668">
      <w:pPr>
        <w:pStyle w:val="Zerrenda-paragrafoa"/>
        <w:spacing w:before="240" w:after="240"/>
        <w:ind w:left="426" w:firstLine="0"/>
        <w:jc w:val="both"/>
        <w:rPr>
          <w:bCs/>
        </w:rPr>
      </w:pPr>
    </w:p>
    <w:p w:rsidR="00482668" w:rsidRDefault="00762B21">
      <w:pPr>
        <w:pStyle w:val="Zerrenda-paragrafoa"/>
        <w:ind w:left="709" w:firstLine="0"/>
        <w:jc w:val="both"/>
        <w:rPr>
          <w:bCs/>
        </w:rPr>
      </w:pPr>
      <w:r>
        <w:rPr>
          <w:bCs/>
        </w:rPr>
        <w:t>1º. Se realizarán termografías de carácter cualitativo, por personal acreditado para su realización, antes y después de la intervención.</w:t>
      </w:r>
    </w:p>
    <w:p w:rsidR="00482668" w:rsidRDefault="00482668">
      <w:pPr>
        <w:pStyle w:val="Zerrenda-paragrafoa"/>
        <w:ind w:left="709" w:firstLine="0"/>
        <w:jc w:val="both"/>
        <w:rPr>
          <w:bCs/>
        </w:rPr>
      </w:pPr>
    </w:p>
    <w:p w:rsidR="00482668" w:rsidRDefault="00762B21">
      <w:pPr>
        <w:pStyle w:val="Zerrenda-paragrafoa"/>
        <w:ind w:left="709" w:firstLine="0"/>
        <w:jc w:val="both"/>
        <w:rPr>
          <w:bCs/>
        </w:rPr>
      </w:pPr>
      <w:r>
        <w:rPr>
          <w:bCs/>
        </w:rPr>
        <w:t>2º. Se realizarán ensayos de tracción y capacidad portante sobre el soporte del aislamiento de fachada que se vaya a emplear (SATE o Fachada ventilada). El sistema de aislamiento y su puesta en obra deberán disponer del certificado de idoneidad emitido por el fabricante del producto utilizado.</w:t>
      </w:r>
    </w:p>
    <w:p w:rsidR="00482668" w:rsidRDefault="00482668">
      <w:pPr>
        <w:pStyle w:val="Zerrenda-paragrafoa"/>
        <w:ind w:left="709" w:firstLine="0"/>
        <w:jc w:val="both"/>
        <w:rPr>
          <w:bCs/>
        </w:rPr>
      </w:pPr>
    </w:p>
    <w:p w:rsidR="00482668" w:rsidRDefault="00762B21">
      <w:pPr>
        <w:pStyle w:val="Zerrenda-paragrafoa"/>
        <w:ind w:left="709" w:firstLine="0"/>
        <w:jc w:val="both"/>
        <w:rPr>
          <w:bCs/>
        </w:rPr>
      </w:pPr>
      <w:r>
        <w:rPr>
          <w:bCs/>
        </w:rPr>
        <w:t>3º Las carpinterías y vidrios deberán disponer de los ensayos de permeabilidad al aire, estanqueidad al agua y resistencia a la carga de viento y contar con los certificados correspondientes a sus características, resultados y transmitancia.</w:t>
      </w:r>
    </w:p>
    <w:p w:rsidR="00482668" w:rsidRDefault="00482668">
      <w:pPr>
        <w:jc w:val="both"/>
        <w:rPr>
          <w:bCs/>
        </w:rPr>
      </w:pPr>
    </w:p>
    <w:p w:rsidR="00482668" w:rsidRDefault="00762B21">
      <w:pPr>
        <w:pStyle w:val="Zerrenda-paragrafoa"/>
        <w:numPr>
          <w:ilvl w:val="0"/>
          <w:numId w:val="7"/>
        </w:numPr>
        <w:spacing w:after="240"/>
        <w:ind w:left="426"/>
        <w:jc w:val="both"/>
      </w:pPr>
      <w:r>
        <w:rPr>
          <w:bCs/>
          <w:u w:val="single"/>
        </w:rPr>
        <w:t>Retirar del edificio objeto de actuación de aquellos productos de construcción que contengan amianto.</w:t>
      </w:r>
      <w:r>
        <w:rPr>
          <w:bCs/>
        </w:rPr>
        <w:t xml:space="preserve"> </w:t>
      </w:r>
    </w:p>
    <w:p w:rsidR="00482668" w:rsidRDefault="00482668">
      <w:pPr>
        <w:pStyle w:val="Zerrenda-paragrafoa"/>
        <w:rPr>
          <w:bCs/>
        </w:rPr>
      </w:pPr>
    </w:p>
    <w:p w:rsidR="00482668" w:rsidRDefault="00762B21">
      <w:pPr>
        <w:pStyle w:val="Zerrenda-paragrafoa"/>
        <w:ind w:left="426" w:firstLine="0"/>
        <w:jc w:val="both"/>
        <w:rPr>
          <w:bCs/>
        </w:rPr>
      </w:pPr>
      <w:r>
        <w:rPr>
          <w:bCs/>
        </w:rPr>
        <w:t>La retirada deberá realizarse conforme a lo establecido el Real Decreto 396/2006, de 31 de marzo, por el que se establecen las disposiciones mínimas de seguridad y salud aplicables a los trabajos con riesgo de exposición al amianto, por una empresa legalmente autorizada. La gestión de los residuos originados en el proceso deberá realizarse conforme a lo establecido en el Real Decreto 105/2008, de 1 de febrero, por el que se regula la producción y gestión de los residuos de construcción y demolición.</w:t>
      </w:r>
    </w:p>
    <w:p w:rsidR="00482668" w:rsidRDefault="00482668">
      <w:pPr>
        <w:pStyle w:val="Zerrenda-paragrafoa"/>
        <w:ind w:left="426" w:firstLine="643"/>
        <w:jc w:val="both"/>
        <w:rPr>
          <w:bCs/>
        </w:rPr>
      </w:pPr>
    </w:p>
    <w:p w:rsidR="00482668" w:rsidRDefault="00762B21">
      <w:pPr>
        <w:ind w:firstLine="0"/>
        <w:jc w:val="both"/>
      </w:pPr>
      <w:r>
        <w:rPr>
          <w:bCs/>
        </w:rPr>
        <w:t xml:space="preserve">A su vez, en el caso de </w:t>
      </w:r>
      <w:r>
        <w:rPr>
          <w:bCs/>
          <w:u w:val="single"/>
        </w:rPr>
        <w:t>edificios de tipología residencial colectiva</w:t>
      </w:r>
      <w:r>
        <w:rPr>
          <w:bCs/>
        </w:rPr>
        <w:t xml:space="preserve">, se deberá cumplir que: </w:t>
      </w:r>
    </w:p>
    <w:p w:rsidR="00482668" w:rsidRDefault="00482668">
      <w:pPr>
        <w:ind w:firstLine="0"/>
        <w:jc w:val="both"/>
        <w:rPr>
          <w:bCs/>
        </w:rPr>
      </w:pPr>
    </w:p>
    <w:p w:rsidR="00482668" w:rsidRDefault="00762B21">
      <w:pPr>
        <w:pStyle w:val="Zerrenda-paragrafoa"/>
        <w:numPr>
          <w:ilvl w:val="0"/>
          <w:numId w:val="8"/>
        </w:numPr>
        <w:ind w:left="426"/>
        <w:jc w:val="both"/>
        <w:rPr>
          <w:bCs/>
        </w:rPr>
      </w:pPr>
      <w:r>
        <w:rPr>
          <w:bCs/>
        </w:rPr>
        <w:t xml:space="preserve">Al menos el 50% de su superficie construida sobre rasante, excluida la planta baja o plantas inferiores si tiene o tienen otros usos compatibles, tenga uso residencial de vivienda. </w:t>
      </w:r>
    </w:p>
    <w:p w:rsidR="00482668" w:rsidRDefault="00762B21">
      <w:pPr>
        <w:pStyle w:val="Zerrenda-paragrafoa"/>
        <w:numPr>
          <w:ilvl w:val="0"/>
          <w:numId w:val="8"/>
        </w:numPr>
        <w:ind w:left="426"/>
        <w:jc w:val="both"/>
        <w:rPr>
          <w:bCs/>
        </w:rPr>
      </w:pPr>
      <w:r>
        <w:rPr>
          <w:bCs/>
        </w:rPr>
        <w:t>Las actuaciones cuenten con el acuerdo de la comunidad o comunidades de propietarios de que se trate, debidamente agrupadas, salvo en los casos de edificios de propietario único, y con la autorización o autorizaciones administrativas correspondientes, cuando sea preceptivo.</w:t>
      </w:r>
    </w:p>
    <w:p w:rsidR="00482668" w:rsidRDefault="00482668">
      <w:pPr>
        <w:ind w:left="426" w:firstLine="0"/>
        <w:jc w:val="both"/>
        <w:rPr>
          <w:bCs/>
        </w:rPr>
      </w:pPr>
    </w:p>
    <w:p w:rsidR="00482668" w:rsidRDefault="00762B21">
      <w:pPr>
        <w:ind w:firstLine="0"/>
        <w:jc w:val="both"/>
      </w:pPr>
      <w:r>
        <w:rPr>
          <w:bCs/>
        </w:rPr>
        <w:t xml:space="preserve">Se acompaña en el </w:t>
      </w:r>
      <w:r w:rsidR="000723F6">
        <w:rPr>
          <w:bCs/>
        </w:rPr>
        <w:fldChar w:fldCharType="begin"/>
      </w:r>
      <w:r>
        <w:rPr>
          <w:bCs/>
        </w:rPr>
        <w:instrText>REF _Ref108119288 \h</w:instrText>
      </w:r>
      <w:r w:rsidR="000723F6">
        <w:rPr>
          <w:bCs/>
        </w:rPr>
      </w:r>
      <w:r w:rsidR="000723F6">
        <w:rPr>
          <w:bCs/>
        </w:rPr>
        <w:fldChar w:fldCharType="separate"/>
      </w:r>
      <w:r w:rsidR="00904A83">
        <w:rPr>
          <w:rFonts w:ascii="Arial" w:eastAsia="Times New Roman" w:hAnsi="Arial" w:cs="Arial"/>
          <w:lang w:eastAsia="es-ES"/>
        </w:rPr>
        <w:t>ANEXO III</w:t>
      </w:r>
      <w:r w:rsidR="000723F6">
        <w:rPr>
          <w:bCs/>
        </w:rPr>
        <w:fldChar w:fldCharType="end"/>
      </w:r>
      <w:r>
        <w:rPr>
          <w:bCs/>
        </w:rPr>
        <w:t xml:space="preserve"> el Documento de apoyo para la implementación de la circularidad en proyectos de construcción y la evaluación de los requisitos de circularidad en los programas del RD 853/2021 (con referencia a la ISO 20887:2020), un modelo de documento acreditativo para el cumplimiento de los requisitos en materia de circularidad.”</w:t>
      </w:r>
    </w:p>
    <w:p w:rsidR="00482668" w:rsidRDefault="00482668">
      <w:pPr>
        <w:ind w:firstLine="426"/>
        <w:jc w:val="both"/>
        <w:rPr>
          <w:bCs/>
        </w:rPr>
      </w:pPr>
    </w:p>
    <w:p w:rsidR="00EE0398" w:rsidRDefault="00EE0398">
      <w:pPr>
        <w:ind w:firstLine="426"/>
        <w:jc w:val="both"/>
        <w:rPr>
          <w:bCs/>
        </w:rPr>
      </w:pPr>
    </w:p>
    <w:p w:rsidR="00EE0398" w:rsidRDefault="00EE0398">
      <w:pPr>
        <w:ind w:firstLine="426"/>
        <w:jc w:val="both"/>
        <w:rPr>
          <w:bCs/>
        </w:rPr>
      </w:pPr>
    </w:p>
    <w:p w:rsidR="00EE0398" w:rsidRDefault="00EE0398">
      <w:pPr>
        <w:ind w:firstLine="426"/>
        <w:jc w:val="both"/>
        <w:rPr>
          <w:bCs/>
        </w:rPr>
      </w:pPr>
    </w:p>
    <w:p w:rsidR="00482668" w:rsidRDefault="00762B21">
      <w:pPr>
        <w:pStyle w:val="Zerrenda-paragrafoa"/>
        <w:numPr>
          <w:ilvl w:val="0"/>
          <w:numId w:val="25"/>
        </w:numPr>
        <w:jc w:val="both"/>
        <w:outlineLvl w:val="1"/>
      </w:pPr>
      <w:bookmarkStart w:id="84" w:name="_Toc108711077"/>
      <w:bookmarkStart w:id="85" w:name="_Toc108599905"/>
      <w:bookmarkStart w:id="86" w:name="_Ref108716312"/>
      <w:bookmarkStart w:id="87" w:name="_Ref108716322"/>
      <w:bookmarkStart w:id="88" w:name="_Toc108763764"/>
      <w:bookmarkStart w:id="89" w:name="_Ref115896604"/>
      <w:bookmarkStart w:id="90" w:name="_Toc115897515"/>
      <w:bookmarkStart w:id="91" w:name="_Toc121128537"/>
      <w:bookmarkEnd w:id="84"/>
      <w:r>
        <w:rPr>
          <w:b/>
        </w:rPr>
        <w:lastRenderedPageBreak/>
        <w:t>REQUISITOS RELATIVOS A LA COMUNICACIÓN Y PUBLICIDAD</w:t>
      </w:r>
      <w:bookmarkEnd w:id="85"/>
      <w:bookmarkEnd w:id="86"/>
      <w:bookmarkEnd w:id="87"/>
      <w:bookmarkEnd w:id="88"/>
      <w:bookmarkEnd w:id="89"/>
      <w:bookmarkEnd w:id="90"/>
      <w:bookmarkEnd w:id="91"/>
      <w:r>
        <w:rPr>
          <w:b/>
        </w:rPr>
        <w:t xml:space="preserve"> </w:t>
      </w:r>
    </w:p>
    <w:p w:rsidR="00482668" w:rsidRDefault="00482668">
      <w:pPr>
        <w:pStyle w:val="Zerrenda-paragrafoa"/>
        <w:ind w:left="1080" w:firstLine="0"/>
        <w:jc w:val="both"/>
        <w:rPr>
          <w:b/>
        </w:rPr>
      </w:pPr>
    </w:p>
    <w:p w:rsidR="00482668" w:rsidRDefault="00762B21">
      <w:pPr>
        <w:pStyle w:val="Zerrenda-paragrafoa"/>
        <w:ind w:left="0" w:firstLine="0"/>
        <w:jc w:val="both"/>
        <w:rPr>
          <w:bCs/>
        </w:rPr>
      </w:pPr>
      <w:r>
        <w:rPr>
          <w:bCs/>
        </w:rPr>
        <w:t>Tanto los gestores como los beneficiarios de las ayudas concedidas con arreglo a estas Bases tienen la obligación general de reconocer el origen y garantizar la visibilidad de la financiación de la UE recibida. Toda referencia que se realice en cualquier medio de difusión sobre la actuación objeto de las ayudas están obligados a cumplir lo especificado en:</w:t>
      </w:r>
    </w:p>
    <w:p w:rsidR="00482668" w:rsidRDefault="00482668">
      <w:pPr>
        <w:pStyle w:val="Zerrenda-paragrafoa"/>
        <w:ind w:left="0" w:firstLine="426"/>
        <w:jc w:val="both"/>
        <w:rPr>
          <w:bCs/>
        </w:rPr>
      </w:pPr>
    </w:p>
    <w:p w:rsidR="00482668" w:rsidRDefault="00762B21">
      <w:pPr>
        <w:pStyle w:val="Zerrenda-paragrafoa"/>
        <w:numPr>
          <w:ilvl w:val="0"/>
          <w:numId w:val="14"/>
        </w:numPr>
        <w:ind w:left="426"/>
        <w:jc w:val="both"/>
      </w:pPr>
      <w:r>
        <w:rPr>
          <w:bCs/>
        </w:rPr>
        <w:t xml:space="preserve">“FAQ sobre obligaciones de comunicación de obligado cumplimiento” del </w:t>
      </w:r>
      <w:r>
        <w:t>Mecanismo de Recuperación y Resiliencia</w:t>
      </w:r>
      <w:r w:rsidR="003A65EB">
        <w:t>.</w:t>
      </w:r>
    </w:p>
    <w:p w:rsidR="00482668" w:rsidRDefault="000723F6">
      <w:pPr>
        <w:pStyle w:val="Zerrenda-paragrafoa"/>
        <w:ind w:left="426" w:firstLine="0"/>
        <w:jc w:val="both"/>
      </w:pPr>
      <w:hyperlink r:id="rId8">
        <w:r w:rsidR="00762B21">
          <w:rPr>
            <w:rStyle w:val="EnlacedeInternet"/>
            <w:color w:val="034990"/>
          </w:rPr>
          <w:t>https://www.mitma.gob.es/recursos_mfom/paginabasica/recursos/fag_acciones_de_comunicacion_de_obligado_cumplimiento.pdf</w:t>
        </w:r>
      </w:hyperlink>
    </w:p>
    <w:p w:rsidR="00482668" w:rsidRDefault="00482668">
      <w:pPr>
        <w:pStyle w:val="Zerrenda-paragrafoa"/>
        <w:ind w:left="426" w:firstLine="0"/>
        <w:jc w:val="both"/>
        <w:rPr>
          <w:bCs/>
        </w:rPr>
      </w:pPr>
    </w:p>
    <w:p w:rsidR="00482668" w:rsidRDefault="00762B21">
      <w:pPr>
        <w:pStyle w:val="Zerrenda-paragrafoa"/>
        <w:numPr>
          <w:ilvl w:val="0"/>
          <w:numId w:val="14"/>
        </w:numPr>
        <w:ind w:left="426"/>
        <w:jc w:val="both"/>
        <w:rPr>
          <w:bCs/>
        </w:rPr>
      </w:pPr>
      <w:r>
        <w:rPr>
          <w:bCs/>
        </w:rPr>
        <w:t>“Manual de comunicación para gestores y beneficiarios de los fondos del Plan de Recuperación, Transformación y Resiliencia” elaborado por la Secretaría General de Fondos Europeos del Ministerio de Hacienda y Función Pública</w:t>
      </w:r>
      <w:r w:rsidR="003A65EB">
        <w:rPr>
          <w:bCs/>
        </w:rPr>
        <w:t>.</w:t>
      </w:r>
    </w:p>
    <w:p w:rsidR="00482668" w:rsidRDefault="000723F6">
      <w:pPr>
        <w:pStyle w:val="Zerrenda-paragrafoa"/>
        <w:ind w:left="426" w:firstLine="0"/>
        <w:jc w:val="both"/>
      </w:pPr>
      <w:hyperlink r:id="rId9">
        <w:r w:rsidR="00762B21">
          <w:rPr>
            <w:color w:val="2E74B5"/>
            <w:spacing w:val="-1"/>
            <w:w w:val="105"/>
          </w:rPr>
          <w:t>https://www.mitma.gob.es/recursos</w:t>
        </w:r>
      </w:hyperlink>
      <w:r w:rsidR="00762B21">
        <w:rPr>
          <w:color w:val="2E74B5"/>
          <w:spacing w:val="-1"/>
          <w:w w:val="105"/>
        </w:rPr>
        <w:t>_</w:t>
      </w:r>
      <w:r w:rsidR="00762B21">
        <w:rPr>
          <w:color w:val="2E74B5"/>
          <w:w w:val="105"/>
        </w:rPr>
        <w:t>mfom/paginabas</w:t>
      </w:r>
      <w:r w:rsidR="00762B21">
        <w:rPr>
          <w:color w:val="2E74B5"/>
          <w:spacing w:val="-31"/>
          <w:w w:val="125"/>
        </w:rPr>
        <w:t>i</w:t>
      </w:r>
      <w:r w:rsidR="00762B21">
        <w:rPr>
          <w:color w:val="2E74B5"/>
          <w:w w:val="105"/>
        </w:rPr>
        <w:t>ca/</w:t>
      </w:r>
      <w:r w:rsidR="00762B21">
        <w:rPr>
          <w:color w:val="2E74B5"/>
          <w:spacing w:val="-1"/>
          <w:w w:val="105"/>
        </w:rPr>
        <w:t>r</w:t>
      </w:r>
      <w:r w:rsidR="00762B21">
        <w:rPr>
          <w:color w:val="2E74B5"/>
          <w:spacing w:val="-2"/>
          <w:w w:val="105"/>
        </w:rPr>
        <w:t>ecu</w:t>
      </w:r>
      <w:r w:rsidR="00762B21">
        <w:rPr>
          <w:color w:val="2E74B5"/>
          <w:w w:val="105"/>
        </w:rPr>
        <w:t>rsos/</w:t>
      </w:r>
      <w:r w:rsidR="00762B21">
        <w:rPr>
          <w:color w:val="2E74B5"/>
          <w:spacing w:val="-1"/>
          <w:w w:val="105"/>
        </w:rPr>
        <w:t>m</w:t>
      </w:r>
      <w:r w:rsidR="00762B21">
        <w:rPr>
          <w:color w:val="2E74B5"/>
          <w:spacing w:val="-2"/>
          <w:w w:val="105"/>
        </w:rPr>
        <w:t>anual_</w:t>
      </w:r>
      <w:r w:rsidR="00762B21">
        <w:rPr>
          <w:color w:val="2E74B5"/>
          <w:w w:val="105"/>
        </w:rPr>
        <w:t>de_comunicacion_para_los_gestores_del_plan_O.pdf</w:t>
      </w:r>
    </w:p>
    <w:p w:rsidR="00482668" w:rsidRDefault="00482668">
      <w:pPr>
        <w:pStyle w:val="Zerrenda-paragrafoa"/>
        <w:ind w:left="426" w:firstLine="0"/>
        <w:jc w:val="both"/>
        <w:rPr>
          <w:bCs/>
          <w:color w:val="2E74B5"/>
        </w:rPr>
      </w:pPr>
    </w:p>
    <w:p w:rsidR="00482668" w:rsidRDefault="00762B21">
      <w:pPr>
        <w:pStyle w:val="Zerrenda-paragrafoa"/>
        <w:numPr>
          <w:ilvl w:val="0"/>
          <w:numId w:val="14"/>
        </w:numPr>
        <w:ind w:left="426"/>
        <w:jc w:val="both"/>
        <w:rPr>
          <w:bCs/>
        </w:rPr>
      </w:pPr>
      <w:r>
        <w:rPr>
          <w:bCs/>
        </w:rPr>
        <w:t>Obligaciones de comunicación, publicidad y difusión de los beneficiarios y gestores del Mecanismo de Recuperación y Resiliencia (MITMA)</w:t>
      </w:r>
      <w:r w:rsidR="003A65EB">
        <w:rPr>
          <w:bCs/>
        </w:rPr>
        <w:t>.</w:t>
      </w:r>
    </w:p>
    <w:p w:rsidR="00482668" w:rsidRDefault="00762B21">
      <w:pPr>
        <w:pStyle w:val="Zerrenda-paragrafoa"/>
        <w:ind w:left="426" w:firstLine="0"/>
        <w:jc w:val="both"/>
        <w:rPr>
          <w:bCs/>
          <w:color w:val="2E74B5"/>
        </w:rPr>
      </w:pPr>
      <w:r>
        <w:rPr>
          <w:bCs/>
          <w:color w:val="2E74B5"/>
        </w:rPr>
        <w:t>https://www.mitma.gob.es/ministerio/proyectos-singulares/prtr/transporte/publicidad-y-difusion-de-las-ayudas-del</w:t>
      </w:r>
      <w:r>
        <w:rPr>
          <w:bCs/>
          <w:color w:val="2E74B5"/>
        </w:rPr>
        <w:softHyphen/>
        <w:t>mecanismo-de-recuperacion-y-resiliencia</w:t>
      </w:r>
    </w:p>
    <w:p w:rsidR="00482668" w:rsidRDefault="00482668">
      <w:pPr>
        <w:pStyle w:val="Zerrenda-paragrafoa"/>
        <w:ind w:left="426" w:firstLine="0"/>
        <w:jc w:val="both"/>
        <w:rPr>
          <w:bCs/>
        </w:rPr>
      </w:pPr>
    </w:p>
    <w:p w:rsidR="00482668" w:rsidRDefault="00482668">
      <w:pPr>
        <w:pStyle w:val="Zerrenda-paragrafoa"/>
        <w:ind w:left="142" w:firstLine="284"/>
        <w:jc w:val="both"/>
        <w:rPr>
          <w:bCs/>
        </w:rPr>
      </w:pPr>
    </w:p>
    <w:p w:rsidR="00482668" w:rsidRDefault="00762B21">
      <w:pPr>
        <w:ind w:firstLine="0"/>
        <w:jc w:val="both"/>
        <w:rPr>
          <w:bCs/>
        </w:rPr>
      </w:pPr>
      <w:r>
        <w:rPr>
          <w:bCs/>
        </w:rPr>
        <w:t xml:space="preserve">Asimismo, en los carteles u otros soportes de comunicación, como infografías, presentaciones o cartelas para redes sociales, los lagos se situarán, prioritariamente, en la zona inferior y se deberá instalar y mantener: </w:t>
      </w:r>
    </w:p>
    <w:p w:rsidR="00482668" w:rsidRDefault="00482668">
      <w:pPr>
        <w:ind w:firstLine="567"/>
        <w:jc w:val="both"/>
        <w:rPr>
          <w:bCs/>
        </w:rPr>
      </w:pPr>
    </w:p>
    <w:p w:rsidR="00482668" w:rsidRDefault="00762B21">
      <w:pPr>
        <w:pStyle w:val="Zerrenda-paragrafoa"/>
        <w:numPr>
          <w:ilvl w:val="0"/>
          <w:numId w:val="15"/>
        </w:numPr>
        <w:ind w:left="426"/>
        <w:jc w:val="both"/>
      </w:pPr>
      <w:r>
        <w:rPr>
          <w:b/>
          <w:bCs/>
        </w:rPr>
        <w:t xml:space="preserve">Un cartel de carácter temporal </w:t>
      </w:r>
      <w:r>
        <w:rPr>
          <w:bCs/>
        </w:rPr>
        <w:t>mientras dure la obra, en un lugar visible para el público general en la localización del proyecto, preferiblemente situado en la instalación o andamio que recubra la fachada del edificio, y en todo caso conforme a lo dispuesto y de acuerdo a las ordenanzas municipales correspondientes, de tamaño suficiente para que sea perfectamente visible y legible en el que conste claramente el título del proyecto y la denominación e imagen del Programa y que mencione la ayuda económica otorgada por la Unión Europea incluyendo el logo de la UE y el lema «Una manera de hacer Europa». El diseño gráfico del cartel y soportes de difusión que se realicen cumplirán con los requisitos que establezca el MITMA y que estarán disponibles en el Manual de Imagen del Programa en las direcciones de Internet anteriores.</w:t>
      </w:r>
    </w:p>
    <w:p w:rsidR="00482668" w:rsidRDefault="00482668">
      <w:pPr>
        <w:pStyle w:val="Zerrenda-paragrafoa"/>
        <w:ind w:left="426" w:firstLine="0"/>
        <w:jc w:val="both"/>
        <w:rPr>
          <w:bCs/>
        </w:rPr>
      </w:pPr>
    </w:p>
    <w:p w:rsidR="00482668" w:rsidRDefault="00762B21">
      <w:pPr>
        <w:pStyle w:val="Zerrenda-paragrafoa"/>
        <w:numPr>
          <w:ilvl w:val="0"/>
          <w:numId w:val="15"/>
        </w:numPr>
        <w:ind w:left="426"/>
        <w:jc w:val="both"/>
      </w:pPr>
      <w:r>
        <w:rPr>
          <w:b/>
          <w:bCs/>
        </w:rPr>
        <w:t>Un cartel de carácter permanente</w:t>
      </w:r>
      <w:r>
        <w:rPr>
          <w:bCs/>
        </w:rPr>
        <w:t>, en un lugar visible para el público general en la localización del proyecto, conforme a lo dispuesto y de conformidad con las ordenanzas municipales, de tamaño suficiente para que sea perfectamente visible y legible y en el que conste claramente el título del proyecto y la denominación e imagen del Programa y que mencione la ayuda económica otorgada por la Unión Europea incluyendo el logo de la UE y el lema “Una manera de hacer Europa”. El diseño gráfico del cartel y soportes de difusión que se realicen cumplirán con los requisitos que establezca el MITMA y que estarán disponibles en el Manual de Imagen del Programa en las direcciones de Internet anteriores.</w:t>
      </w:r>
    </w:p>
    <w:p w:rsidR="00482668" w:rsidRDefault="00482668">
      <w:pPr>
        <w:pStyle w:val="Zerrenda-paragrafoa"/>
        <w:rPr>
          <w:bCs/>
        </w:rPr>
      </w:pPr>
    </w:p>
    <w:p w:rsidR="00482668" w:rsidRDefault="00762B21">
      <w:pPr>
        <w:pStyle w:val="Zerrenda-paragrafoa"/>
        <w:ind w:left="0" w:firstLine="0"/>
        <w:jc w:val="both"/>
      </w:pPr>
      <w:r>
        <w:rPr>
          <w:bCs/>
        </w:rPr>
        <w:t xml:space="preserve">Todas las convocatorias, licitaciones, convenios y resto de instrumentos jurídicos, que se desarrollen en este ámbito, deberán contener tanto en su encabezamiento como en su cuerpo de desarrollo la </w:t>
      </w:r>
      <w:r>
        <w:rPr>
          <w:bCs/>
        </w:rPr>
        <w:lastRenderedPageBreak/>
        <w:t>siguiente referencia «Plan de Recuperación, Transformación y Resiliencia - Financiado por la Unión Europea - NextGenerationEU»</w:t>
      </w:r>
      <w:r w:rsidR="00B76C09">
        <w:rPr>
          <w:bCs/>
        </w:rPr>
        <w:t>.</w:t>
      </w:r>
    </w:p>
    <w:p w:rsidR="00482668" w:rsidRDefault="00482668">
      <w:pPr>
        <w:pStyle w:val="Zerrenda-paragrafoa"/>
        <w:ind w:left="0" w:firstLine="426"/>
        <w:jc w:val="both"/>
        <w:rPr>
          <w:bCs/>
        </w:rPr>
      </w:pPr>
    </w:p>
    <w:p w:rsidR="00482668" w:rsidRDefault="00762B21">
      <w:pPr>
        <w:ind w:firstLine="0"/>
        <w:jc w:val="both"/>
        <w:rPr>
          <w:bCs/>
        </w:rPr>
      </w:pPr>
      <w:r>
        <w:rPr>
          <w:bCs/>
        </w:rPr>
        <w:t>Se aplicará a documentos como:</w:t>
      </w:r>
    </w:p>
    <w:p w:rsidR="00482668" w:rsidRDefault="00482668">
      <w:pPr>
        <w:pStyle w:val="Zerrenda-paragrafoa"/>
        <w:ind w:firstLine="426"/>
        <w:jc w:val="both"/>
        <w:rPr>
          <w:bCs/>
        </w:rPr>
      </w:pPr>
    </w:p>
    <w:p w:rsidR="00482668" w:rsidRDefault="00762B21">
      <w:pPr>
        <w:pStyle w:val="Zerrenda-paragrafoa"/>
        <w:ind w:left="0" w:firstLine="426"/>
        <w:jc w:val="both"/>
        <w:rPr>
          <w:bCs/>
        </w:rPr>
      </w:pPr>
      <w:r>
        <w:rPr>
          <w:bCs/>
        </w:rPr>
        <w:t>•</w:t>
      </w:r>
      <w:r>
        <w:rPr>
          <w:bCs/>
        </w:rPr>
        <w:tab/>
        <w:t>Formularios de solicitudes de ayudas</w:t>
      </w:r>
    </w:p>
    <w:p w:rsidR="00482668" w:rsidRDefault="00762B21">
      <w:pPr>
        <w:pStyle w:val="Zerrenda-paragrafoa"/>
        <w:ind w:left="0" w:firstLine="426"/>
        <w:jc w:val="both"/>
        <w:rPr>
          <w:bCs/>
        </w:rPr>
      </w:pPr>
      <w:r>
        <w:rPr>
          <w:bCs/>
        </w:rPr>
        <w:t>•</w:t>
      </w:r>
      <w:r>
        <w:rPr>
          <w:bCs/>
        </w:rPr>
        <w:tab/>
        <w:t>Anuncios de licitación</w:t>
      </w:r>
    </w:p>
    <w:p w:rsidR="00482668" w:rsidRDefault="00762B21">
      <w:pPr>
        <w:pStyle w:val="Zerrenda-paragrafoa"/>
        <w:ind w:left="0" w:firstLine="426"/>
        <w:jc w:val="both"/>
        <w:rPr>
          <w:bCs/>
        </w:rPr>
      </w:pPr>
      <w:r>
        <w:rPr>
          <w:bCs/>
        </w:rPr>
        <w:t>•</w:t>
      </w:r>
      <w:r>
        <w:rPr>
          <w:bCs/>
        </w:rPr>
        <w:tab/>
        <w:t>Pliegos de cláusulas administrativas y de prescripciones técnicas</w:t>
      </w:r>
    </w:p>
    <w:p w:rsidR="00482668" w:rsidRDefault="00762B21">
      <w:pPr>
        <w:pStyle w:val="Zerrenda-paragrafoa"/>
        <w:ind w:left="0" w:firstLine="426"/>
        <w:jc w:val="both"/>
        <w:rPr>
          <w:bCs/>
        </w:rPr>
      </w:pPr>
      <w:r>
        <w:rPr>
          <w:bCs/>
        </w:rPr>
        <w:t>•</w:t>
      </w:r>
      <w:r>
        <w:rPr>
          <w:bCs/>
        </w:rPr>
        <w:tab/>
        <w:t>Contratos</w:t>
      </w:r>
    </w:p>
    <w:p w:rsidR="00482668" w:rsidRDefault="00762B21">
      <w:pPr>
        <w:pStyle w:val="Zerrenda-paragrafoa"/>
        <w:ind w:left="0" w:firstLine="426"/>
        <w:jc w:val="both"/>
        <w:rPr>
          <w:bCs/>
        </w:rPr>
      </w:pPr>
      <w:r>
        <w:rPr>
          <w:bCs/>
        </w:rPr>
        <w:t>•</w:t>
      </w:r>
      <w:r>
        <w:rPr>
          <w:bCs/>
        </w:rPr>
        <w:tab/>
        <w:t>Trabajos presentados por el contratista (estudios, informes, encuestas, otros)</w:t>
      </w:r>
    </w:p>
    <w:p w:rsidR="00482668" w:rsidRDefault="00762B21">
      <w:pPr>
        <w:pStyle w:val="Zerrenda-paragrafoa"/>
        <w:ind w:left="0" w:firstLine="426"/>
        <w:jc w:val="both"/>
        <w:rPr>
          <w:bCs/>
        </w:rPr>
      </w:pPr>
      <w:r>
        <w:rPr>
          <w:bCs/>
        </w:rPr>
        <w:t>•</w:t>
      </w:r>
      <w:r>
        <w:rPr>
          <w:bCs/>
        </w:rPr>
        <w:tab/>
        <w:t>Nota de prensa (referencia en el cuerpo del texto)</w:t>
      </w:r>
    </w:p>
    <w:p w:rsidR="00482668" w:rsidRDefault="00482668">
      <w:pPr>
        <w:pStyle w:val="Zerrenda-paragrafoa"/>
        <w:ind w:left="0" w:firstLine="426"/>
        <w:jc w:val="both"/>
        <w:rPr>
          <w:bCs/>
        </w:rPr>
      </w:pPr>
    </w:p>
    <w:p w:rsidR="00482668" w:rsidRDefault="00762B21">
      <w:pPr>
        <w:pStyle w:val="Zerrenda-paragrafoa"/>
        <w:ind w:left="0" w:firstLine="0"/>
        <w:jc w:val="both"/>
        <w:rPr>
          <w:bCs/>
        </w:rPr>
      </w:pPr>
      <w:r>
        <w:rPr>
          <w:bCs/>
        </w:rPr>
        <w:t>La Persona Beneficiaria de las ayudas informará al público del apoyo obtenido de los fondos europeos haciendo una breve descripción de la operación en su sitio de Internet, en caso de que disponga de uno, de manera proporcionada al nivel del apoyo prestado con sus objetivos y resultados y destacando el apoyo financiero de la Unión.</w:t>
      </w:r>
    </w:p>
    <w:p w:rsidR="00482668" w:rsidRDefault="00482668">
      <w:pPr>
        <w:pStyle w:val="Zerrenda-paragrafoa"/>
        <w:ind w:left="0" w:firstLine="426"/>
        <w:jc w:val="both"/>
        <w:rPr>
          <w:bCs/>
        </w:rPr>
      </w:pPr>
    </w:p>
    <w:p w:rsidR="00482668" w:rsidRDefault="00762B21">
      <w:pPr>
        <w:pStyle w:val="Zerrenda-paragrafoa"/>
        <w:ind w:left="0" w:firstLine="0"/>
        <w:jc w:val="both"/>
        <w:rPr>
          <w:bCs/>
        </w:rPr>
      </w:pPr>
      <w:r>
        <w:rPr>
          <w:bCs/>
        </w:rPr>
        <w:t>En su caso, adicionalmente, deberá cumplirse lo establecido en la Ley 19/2013, de 9 de diciembre, de transparencia, acceso a la información pública y buen gobierno, respecto a las obligaciones de publicidad de las ayudas objeto de estas Bases.</w:t>
      </w:r>
    </w:p>
    <w:p w:rsidR="00482668" w:rsidRDefault="00482668">
      <w:pPr>
        <w:pStyle w:val="Zerrenda-paragrafoa"/>
        <w:ind w:left="426" w:firstLine="643"/>
        <w:jc w:val="both"/>
        <w:rPr>
          <w:bCs/>
        </w:rPr>
      </w:pPr>
    </w:p>
    <w:p w:rsidR="00482668" w:rsidRDefault="00482668">
      <w:pPr>
        <w:pStyle w:val="Zerrenda-paragrafoa"/>
        <w:ind w:left="426" w:firstLine="643"/>
        <w:jc w:val="both"/>
        <w:rPr>
          <w:bCs/>
        </w:rPr>
      </w:pPr>
    </w:p>
    <w:p w:rsidR="00482668" w:rsidRDefault="00762B21">
      <w:pPr>
        <w:pStyle w:val="Zerrenda-paragrafoa"/>
        <w:numPr>
          <w:ilvl w:val="0"/>
          <w:numId w:val="25"/>
        </w:numPr>
        <w:jc w:val="both"/>
        <w:outlineLvl w:val="1"/>
      </w:pPr>
      <w:bookmarkStart w:id="92" w:name="_Toc121128538"/>
      <w:r>
        <w:rPr>
          <w:b/>
        </w:rPr>
        <w:t>COMISIONES GESTORAS. REQUISITOS DE ADJUDICACIÓN DE LOS TRABAJ</w:t>
      </w:r>
      <w:bookmarkStart w:id="93" w:name="_Hlk101095122"/>
      <w:bookmarkEnd w:id="93"/>
      <w:r>
        <w:rPr>
          <w:b/>
        </w:rPr>
        <w:t>O</w:t>
      </w:r>
      <w:bookmarkStart w:id="94" w:name="_Toc115897516"/>
      <w:bookmarkStart w:id="95" w:name="_Toc108763765"/>
      <w:bookmarkStart w:id="96" w:name="_Toc108599906"/>
      <w:bookmarkStart w:id="97" w:name="_Ref108118550"/>
      <w:bookmarkStart w:id="98" w:name="_Ref108118546"/>
      <w:bookmarkEnd w:id="94"/>
      <w:bookmarkEnd w:id="95"/>
      <w:bookmarkEnd w:id="96"/>
      <w:bookmarkEnd w:id="97"/>
      <w:bookmarkEnd w:id="98"/>
      <w:r>
        <w:rPr>
          <w:b/>
        </w:rPr>
        <w:t>S</w:t>
      </w:r>
      <w:bookmarkEnd w:id="92"/>
    </w:p>
    <w:p w:rsidR="00482668" w:rsidRDefault="00482668">
      <w:pPr>
        <w:jc w:val="both"/>
      </w:pPr>
    </w:p>
    <w:p w:rsidR="00482668" w:rsidRDefault="00762B21">
      <w:pPr>
        <w:ind w:firstLine="0"/>
        <w:jc w:val="both"/>
      </w:pPr>
      <w:r>
        <w:t>Con el fin de garantizar la transparencia exigible en cuantas contrataciones de los trabajos técnicos y obras fueran precisos para lograr los objetivos propuestos, se crearán Comisiones Gestoras constituidas por una persona en representación de la Dirección de Planificación Territorial y Agenda Urbana del Gobierno Vasco, una persona en representación del Ayuntamiento y una persona en representación de las Comunidades de Propietarios.</w:t>
      </w:r>
    </w:p>
    <w:p w:rsidR="00482668" w:rsidRDefault="00482668">
      <w:pPr>
        <w:jc w:val="both"/>
      </w:pPr>
    </w:p>
    <w:p w:rsidR="00482668" w:rsidRDefault="00762B21">
      <w:pPr>
        <w:ind w:firstLine="0"/>
        <w:jc w:val="both"/>
      </w:pPr>
      <w:r>
        <w:t>En los casos en que se subvencionen actuaciones que no hayan sido realizadas, y con carácter previo a la contratación por las comunidades del equipo técnico que se encargue del proyecto y dirección de obra de la rehabilitación o de la empresa que vaya a ejecutar las obras, se realizará, para las nuevas actuaciones, un concurso con un mínimo de tres licitadores admitidos a éste por cumplir con el baremo de la Comisión Gestora. De igual forma se actuará para la adjudicación de cualquier otro trabajo necesario, así como para la realización de las obras.</w:t>
      </w:r>
    </w:p>
    <w:p w:rsidR="00482668" w:rsidRDefault="00482668">
      <w:pPr>
        <w:jc w:val="both"/>
      </w:pPr>
    </w:p>
    <w:p w:rsidR="00482668" w:rsidRDefault="00762B21">
      <w:pPr>
        <w:ind w:firstLine="0"/>
        <w:jc w:val="both"/>
      </w:pPr>
      <w:r>
        <w:t xml:space="preserve">Las Comisiones Gestoras elaborarán, con carácter previo a la selección de los licitadores en cada caso, baremos totalmente objetivos para la evaluación de las ofertas de los profesionales, equipos técnicos o empresas licitadoras. Como consecuencia de la aplicación de tales baremos, la Comisión Gestora correspondiente, tras analizar y evaluar las ofertas presentadas, elaborará un Informe de Propuesta de Adjudicación de cada uno de los trabajos en cuestión. </w:t>
      </w:r>
    </w:p>
    <w:p w:rsidR="00482668" w:rsidRDefault="00482668">
      <w:pPr>
        <w:jc w:val="both"/>
      </w:pPr>
    </w:p>
    <w:p w:rsidR="00482668" w:rsidRDefault="00762B21">
      <w:pPr>
        <w:ind w:firstLine="0"/>
        <w:jc w:val="both"/>
      </w:pPr>
      <w:r>
        <w:t>Si en algún caso surgieran dudas y/o discrepancias en la interpretación de los resultados de la aplicación del baremo o de la redacción del Informe de Propuesta de Adjudicación correspondiente, ésta se decidirá a favor del licitador que obtuviera la mayoría de los votos de la Comisión Gestora, ponderados según las aportaciones económicas de los organismos o comunidades a que representen.</w:t>
      </w:r>
    </w:p>
    <w:p w:rsidR="00482668" w:rsidRDefault="00482668">
      <w:pPr>
        <w:ind w:firstLine="426"/>
        <w:jc w:val="both"/>
      </w:pPr>
    </w:p>
    <w:p w:rsidR="00482668" w:rsidRDefault="00762B21">
      <w:pPr>
        <w:ind w:firstLine="0"/>
        <w:jc w:val="both"/>
      </w:pPr>
      <w:r>
        <w:lastRenderedPageBreak/>
        <w:t>A partir de la aprobación de estas Bases, la propuesta final de adjudicación deberá ser aceptada y ratificada mediante su aprobación por el órgano competente de cada Comunidad de Propietarios que pretenda acceder a las ayudas contempladas en estas bases. En el supuesto de que no se produzca esa ratificación y aprobación por el órgano competente, o que sea diferente a la propuesta por la Comisión Gestora, la Comunidad de Propietarios no tendrá acceso a las ayudas contempladas en estas bases, debiendo proceder a la devolución de todas las que hubiera recibido con anterioridad, salvo que a juicio de la Comisión Gestora exista una justificación de esa desviación de la propuesta, que esté suficientemente acreditada, pudiendo en ese caso ser admitida la adjudicación.</w:t>
      </w:r>
    </w:p>
    <w:p w:rsidR="00482668" w:rsidRDefault="00482668">
      <w:pPr>
        <w:ind w:firstLine="357"/>
        <w:jc w:val="both"/>
      </w:pPr>
    </w:p>
    <w:p w:rsidR="00482668" w:rsidRDefault="00762B21">
      <w:pPr>
        <w:ind w:firstLine="0"/>
        <w:jc w:val="both"/>
      </w:pPr>
      <w:r>
        <w:t>En cumplimiento de lo establecido en el Plan de Recuperación Transformación y Resiliencia (PRTR), aprobado por Consejo de Ministros el 27 de abril de 2021 y por el Reglamento (UE) n.º 2021/241 del Parlamento Europeo y del Consejo, de 12 de febrero de 2021, por el que se establece el Mecanismo de Recuperación y Resiliencia (MRR), así como con lo requerido en la Decisión de Ejecución del Consejo relativa a la aprobación de la evaluación del plan de recuperación y resiliencia de España (CID) las Comisiones Gestoras deberán cumplir con las obligaciones descritas en el</w:t>
      </w:r>
      <w:r w:rsidR="003A65EB">
        <w:t xml:space="preserve"> art.</w:t>
      </w:r>
      <w:r>
        <w:t xml:space="preserve"> </w:t>
      </w:r>
      <w:r w:rsidR="000723F6">
        <w:fldChar w:fldCharType="begin"/>
      </w:r>
      <w:r>
        <w:instrText>REF _Ref115895419 \r \h</w:instrText>
      </w:r>
      <w:r w:rsidR="000723F6">
        <w:fldChar w:fldCharType="separate"/>
      </w:r>
      <w:r w:rsidR="00904A83">
        <w:t>10</w:t>
      </w:r>
      <w:r w:rsidR="000723F6">
        <w:fldChar w:fldCharType="end"/>
      </w:r>
      <w:r>
        <w:t xml:space="preserve">. </w:t>
      </w:r>
      <w:r w:rsidR="000723F6">
        <w:fldChar w:fldCharType="begin"/>
      </w:r>
      <w:r>
        <w:instrText>REF _Ref115895425 \h</w:instrText>
      </w:r>
      <w:r w:rsidR="000723F6">
        <w:fldChar w:fldCharType="separate"/>
      </w:r>
      <w:r w:rsidR="00904A83">
        <w:rPr>
          <w:b/>
        </w:rPr>
        <w:t>OBLIGACIONES DE LOS OTROS ENTES INTERVINIENTES</w:t>
      </w:r>
      <w:r w:rsidR="000723F6">
        <w:fldChar w:fldCharType="end"/>
      </w:r>
      <w:r w:rsidR="003A65EB">
        <w:t>.</w:t>
      </w:r>
    </w:p>
    <w:p w:rsidR="00482668" w:rsidRDefault="00762B21">
      <w:pPr>
        <w:ind w:firstLine="0"/>
      </w:pPr>
      <w:r>
        <w:br w:type="page"/>
      </w:r>
    </w:p>
    <w:p w:rsidR="00482668" w:rsidRDefault="00762B21" w:rsidP="00762B21">
      <w:pPr>
        <w:pStyle w:val="Heading1"/>
        <w:numPr>
          <w:ilvl w:val="0"/>
          <w:numId w:val="0"/>
        </w:numPr>
        <w:ind w:hanging="284"/>
      </w:pPr>
      <w:bookmarkStart w:id="99" w:name="_Hlk99530843"/>
      <w:bookmarkStart w:id="100" w:name="_Toc108599907"/>
      <w:bookmarkStart w:id="101" w:name="_Toc108763766"/>
      <w:bookmarkStart w:id="102" w:name="_Toc115897517"/>
      <w:bookmarkStart w:id="103" w:name="_Toc121128539"/>
      <w:r>
        <w:rPr>
          <w:color w:val="auto"/>
        </w:rPr>
        <w:lastRenderedPageBreak/>
        <w:t xml:space="preserve">CAPÍTULO III. </w:t>
      </w:r>
      <w:bookmarkEnd w:id="99"/>
      <w:r>
        <w:rPr>
          <w:color w:val="auto"/>
        </w:rPr>
        <w:t xml:space="preserve"> SUBVENCIONES CONVOCADAS DESDE ESTAS BASES</w:t>
      </w:r>
      <w:bookmarkEnd w:id="100"/>
      <w:bookmarkEnd w:id="101"/>
      <w:bookmarkEnd w:id="102"/>
      <w:bookmarkEnd w:id="103"/>
      <w:r>
        <w:rPr>
          <w:color w:val="auto"/>
        </w:rPr>
        <w:t xml:space="preserve"> </w:t>
      </w:r>
      <w:bookmarkStart w:id="104" w:name="_Hlk98957762"/>
      <w:bookmarkEnd w:id="104"/>
    </w:p>
    <w:p w:rsidR="00482668" w:rsidRDefault="00482668">
      <w:pPr>
        <w:jc w:val="both"/>
        <w:outlineLvl w:val="1"/>
      </w:pPr>
    </w:p>
    <w:p w:rsidR="00482668" w:rsidRDefault="00762B21">
      <w:pPr>
        <w:pStyle w:val="Zerrenda-paragrafoa"/>
        <w:numPr>
          <w:ilvl w:val="0"/>
          <w:numId w:val="25"/>
        </w:numPr>
        <w:jc w:val="both"/>
        <w:outlineLvl w:val="1"/>
      </w:pPr>
      <w:bookmarkStart w:id="105" w:name="_Toc108763767"/>
      <w:bookmarkStart w:id="106" w:name="_Toc115897518"/>
      <w:bookmarkStart w:id="107" w:name="_Toc108599908"/>
      <w:bookmarkStart w:id="108" w:name="_Toc121128540"/>
      <w:r>
        <w:rPr>
          <w:b/>
          <w:bCs/>
        </w:rPr>
        <w:t>PROCEDENCIA DE LAS SUBVENCIONES CONVOCADAS</w:t>
      </w:r>
      <w:bookmarkEnd w:id="105"/>
      <w:bookmarkEnd w:id="106"/>
      <w:bookmarkEnd w:id="107"/>
      <w:bookmarkEnd w:id="108"/>
      <w:r>
        <w:rPr>
          <w:b/>
          <w:bCs/>
        </w:rPr>
        <w:t xml:space="preserve"> </w:t>
      </w:r>
    </w:p>
    <w:p w:rsidR="00482668" w:rsidRDefault="00482668">
      <w:pPr>
        <w:ind w:firstLine="0"/>
        <w:jc w:val="both"/>
      </w:pPr>
    </w:p>
    <w:p w:rsidR="00482668" w:rsidRDefault="00762B21">
      <w:pPr>
        <w:ind w:firstLine="0"/>
        <w:jc w:val="both"/>
      </w:pPr>
      <w:r>
        <w:t xml:space="preserve">La concesión de las subvenciones siguientes, con carácter general, tendrá como límite la partida habilitada en el presupuesto vigente indicado en el </w:t>
      </w:r>
      <w:r w:rsidR="000723F6">
        <w:fldChar w:fldCharType="begin"/>
      </w:r>
      <w:r>
        <w:instrText>REF _Ref108599837 \r \h</w:instrText>
      </w:r>
      <w:r w:rsidR="000723F6">
        <w:fldChar w:fldCharType="separate"/>
      </w:r>
      <w:r w:rsidR="00904A83">
        <w:t>5</w:t>
      </w:r>
      <w:r w:rsidR="000723F6">
        <w:fldChar w:fldCharType="end"/>
      </w:r>
      <w:r>
        <w:t xml:space="preserve"> </w:t>
      </w:r>
      <w:r w:rsidR="000723F6">
        <w:rPr>
          <w:bCs/>
        </w:rPr>
        <w:fldChar w:fldCharType="begin"/>
      </w:r>
      <w:r>
        <w:rPr>
          <w:bCs/>
        </w:rPr>
        <w:instrText>REF _Ref108599843 \h</w:instrText>
      </w:r>
      <w:r w:rsidR="000723F6">
        <w:rPr>
          <w:bCs/>
        </w:rPr>
      </w:r>
      <w:r w:rsidR="000723F6">
        <w:rPr>
          <w:bCs/>
        </w:rPr>
        <w:fldChar w:fldCharType="separate"/>
      </w:r>
      <w:r w:rsidR="00904A83">
        <w:rPr>
          <w:b/>
          <w:bCs/>
        </w:rPr>
        <w:t>FINANCIACIÓN, CRÉDITOS PRESUPUESTARIOS Y CUANTÍA TOTAL MÁXIMA DE LAS SUBVENCIONES DE ESTAS BASES</w:t>
      </w:r>
      <w:r w:rsidR="000723F6">
        <w:rPr>
          <w:bCs/>
        </w:rPr>
        <w:fldChar w:fldCharType="end"/>
      </w:r>
      <w:r>
        <w:rPr>
          <w:bCs/>
        </w:rPr>
        <w:t xml:space="preserve"> </w:t>
      </w:r>
      <w:r>
        <w:rPr>
          <w:b/>
          <w:bCs/>
        </w:rPr>
        <w:t>,</w:t>
      </w:r>
      <w:r>
        <w:t xml:space="preserve"> y procederán de la siguiente fuente de financiación:</w:t>
      </w:r>
    </w:p>
    <w:p w:rsidR="00482668" w:rsidRDefault="00762B21">
      <w:pPr>
        <w:ind w:firstLine="0"/>
        <w:jc w:val="both"/>
      </w:pPr>
      <w:r>
        <w:t xml:space="preserve"> </w:t>
      </w:r>
    </w:p>
    <w:p w:rsidR="00482668" w:rsidRDefault="00762B21">
      <w:pPr>
        <w:pStyle w:val="Zerrenda-paragrafoa"/>
        <w:ind w:left="927" w:firstLine="0"/>
        <w:jc w:val="both"/>
      </w:pPr>
      <w:bookmarkStart w:id="109" w:name="_Ref108710135"/>
      <w:r>
        <w:rPr>
          <w:b/>
          <w:bCs/>
          <w:i/>
          <w:iCs/>
        </w:rPr>
        <w:t>SUBVENCIONES PROCEDENTES DEL PROGRAMA 1 DEL REAL DECRETO 853/2021</w:t>
      </w:r>
      <w:bookmarkEnd w:id="109"/>
      <w:r>
        <w:rPr>
          <w:b/>
          <w:bCs/>
          <w:i/>
          <w:iCs/>
        </w:rPr>
        <w:t xml:space="preserve"> </w:t>
      </w:r>
    </w:p>
    <w:p w:rsidR="00482668" w:rsidRDefault="00482668">
      <w:pPr>
        <w:ind w:left="426" w:firstLine="0"/>
        <w:jc w:val="both"/>
      </w:pPr>
    </w:p>
    <w:p w:rsidR="00482668" w:rsidRDefault="00762B21">
      <w:pPr>
        <w:ind w:firstLine="0"/>
        <w:jc w:val="both"/>
      </w:pPr>
      <w:r>
        <w:t>Las presentes bases regulan las condiciones de tramitación y concesión, en su caso, de las ayudas económicas incluidas en el “Acuerdo del Consejo de Gobierno de la Comunidad Autónoma del País Vasco por el que se concede una subvención directa al Ayuntamiento de Lasarte-Oria, con cargo al “Programa 1. Ayuda a las actuaciones de rehabilitación a nivel de barrio del R.D. 853/2021”, que constituye una actuación incluida en la Inversión C02.I01, comprendida en el Componente 2 “Implementación de la Agenda Urbana española: Plan de rehabilitación y regeneración urbana” del “Plan de Recuperación, Transformación y Resiliencia”, y que se destinan a:</w:t>
      </w:r>
    </w:p>
    <w:p w:rsidR="00482668" w:rsidRDefault="00482668">
      <w:pPr>
        <w:ind w:firstLine="0"/>
        <w:jc w:val="both"/>
      </w:pPr>
    </w:p>
    <w:p w:rsidR="00482668" w:rsidRDefault="00762B21">
      <w:pPr>
        <w:ind w:firstLine="0"/>
        <w:jc w:val="both"/>
      </w:pPr>
      <w:r>
        <w:t>•</w:t>
      </w:r>
      <w:r>
        <w:tab/>
        <w:t>Actuaciones para la reducción del consumo de energí</w:t>
      </w:r>
      <w:r w:rsidR="003A65EB">
        <w:t>a no renovable de los edificios</w:t>
      </w:r>
      <w:r w:rsidR="007A65F6">
        <w:t>.</w:t>
      </w:r>
      <w:r>
        <w:t xml:space="preserve">  </w:t>
      </w:r>
    </w:p>
    <w:p w:rsidR="00482668" w:rsidRDefault="00762B21">
      <w:pPr>
        <w:ind w:firstLine="0"/>
        <w:jc w:val="both"/>
      </w:pPr>
      <w:r>
        <w:t>•</w:t>
      </w:r>
      <w:r>
        <w:tab/>
        <w:t>Actuaciones de retirada, manipulación, transporte y gestión de residuos de amianto</w:t>
      </w:r>
      <w:r w:rsidR="007A65F6">
        <w:t>.</w:t>
      </w:r>
    </w:p>
    <w:p w:rsidR="00482668" w:rsidRDefault="00762B21">
      <w:pPr>
        <w:pStyle w:val="Zerrenda-paragrafoa"/>
        <w:numPr>
          <w:ilvl w:val="0"/>
          <w:numId w:val="34"/>
        </w:numPr>
        <w:ind w:hanging="720"/>
        <w:jc w:val="both"/>
      </w:pPr>
      <w:r>
        <w:t>Ayudas adicionales destinadas a las personas físicas o unidades de convivencia en las que se hubiera detectado una situación de vulnerabilidad económica</w:t>
      </w:r>
      <w:bookmarkStart w:id="110" w:name="_Hlk103849732"/>
      <w:bookmarkEnd w:id="110"/>
      <w:r w:rsidR="007A65F6">
        <w:t>.</w:t>
      </w:r>
    </w:p>
    <w:p w:rsidR="00482668" w:rsidRDefault="00482668">
      <w:pPr>
        <w:ind w:firstLine="0"/>
        <w:jc w:val="both"/>
      </w:pPr>
    </w:p>
    <w:p w:rsidR="00482668" w:rsidRDefault="00762B21">
      <w:pPr>
        <w:ind w:firstLine="0"/>
        <w:jc w:val="both"/>
      </w:pPr>
      <w:r>
        <w:t>Estas subvenciones se financiarán a través del Mecanismo de Recuperación y Resiliencia establecido por el Reglamento (UE) 2021/241 del Parlamento Europeo y del Consejo, de 12 de febrero de 2021, por el que se establece el Mecanismo de Recuperación y Resiliencia. A la tramitación y concesión de estas subvenciones financiables con fondos europeos les será de aplicación lo previsto por el Real Decreto-ley 36/2020, de 30 de diciembre, por el que se aprueban medidas urgentes para la modernización de la Administración Pública y para la ejecución del Plan de Recuperación, Transformación y Resiliencia, sin perjuicio del resto de normativa que resulte de aplicación.</w:t>
      </w:r>
    </w:p>
    <w:p w:rsidR="00482668" w:rsidRDefault="00482668">
      <w:pPr>
        <w:ind w:firstLine="0"/>
        <w:jc w:val="both"/>
      </w:pPr>
    </w:p>
    <w:p w:rsidR="00482668" w:rsidRDefault="00762B21">
      <w:pPr>
        <w:ind w:firstLine="0"/>
        <w:jc w:val="both"/>
      </w:pPr>
      <w:r>
        <w:t>En la sede electrónica del Ayuntamiento de Lasarte-Oria se podrá descargar los modelos de los formatos de los desgloses de estas las solicitudes.</w:t>
      </w:r>
    </w:p>
    <w:p w:rsidR="00482668" w:rsidRDefault="00482668">
      <w:pPr>
        <w:ind w:firstLine="0"/>
        <w:jc w:val="both"/>
      </w:pPr>
    </w:p>
    <w:p w:rsidR="00482668" w:rsidRDefault="00482668">
      <w:pPr>
        <w:ind w:firstLine="0"/>
        <w:jc w:val="both"/>
      </w:pPr>
    </w:p>
    <w:p w:rsidR="00482668" w:rsidRDefault="00762B21">
      <w:pPr>
        <w:pStyle w:val="Zerrenda-paragrafoa"/>
        <w:numPr>
          <w:ilvl w:val="0"/>
          <w:numId w:val="25"/>
        </w:numPr>
        <w:jc w:val="both"/>
        <w:outlineLvl w:val="1"/>
      </w:pPr>
      <w:bookmarkStart w:id="111" w:name="_Hlk98958115"/>
      <w:bookmarkStart w:id="112" w:name="_Toc108599909"/>
      <w:bookmarkStart w:id="113" w:name="_Ref108600677"/>
      <w:bookmarkStart w:id="114" w:name="_Ref108600681"/>
      <w:bookmarkStart w:id="115" w:name="_Ref108605826"/>
      <w:bookmarkStart w:id="116" w:name="_Ref108605835"/>
      <w:bookmarkStart w:id="117" w:name="_Ref108712546"/>
      <w:bookmarkStart w:id="118" w:name="_Ref108712818"/>
      <w:bookmarkStart w:id="119" w:name="_Toc108763768"/>
      <w:bookmarkStart w:id="120" w:name="_Toc115897519"/>
      <w:bookmarkStart w:id="121" w:name="_Toc121128541"/>
      <w:r>
        <w:rPr>
          <w:b/>
        </w:rPr>
        <w:t>CONSIDERACI</w:t>
      </w:r>
      <w:bookmarkEnd w:id="111"/>
      <w:r>
        <w:rPr>
          <w:b/>
        </w:rPr>
        <w:t>ONES GENERALES</w:t>
      </w:r>
      <w:bookmarkEnd w:id="112"/>
      <w:bookmarkEnd w:id="113"/>
      <w:bookmarkEnd w:id="114"/>
      <w:bookmarkEnd w:id="115"/>
      <w:bookmarkEnd w:id="116"/>
      <w:bookmarkEnd w:id="117"/>
      <w:bookmarkEnd w:id="118"/>
      <w:bookmarkEnd w:id="119"/>
      <w:bookmarkEnd w:id="120"/>
      <w:bookmarkEnd w:id="121"/>
      <w:r>
        <w:rPr>
          <w:b/>
        </w:rPr>
        <w:t xml:space="preserve"> </w:t>
      </w:r>
    </w:p>
    <w:p w:rsidR="00482668" w:rsidRDefault="00482668">
      <w:pPr>
        <w:pStyle w:val="Zerrenda-paragrafoa"/>
        <w:ind w:left="1080" w:firstLine="0"/>
        <w:jc w:val="both"/>
        <w:rPr>
          <w:b/>
        </w:rPr>
      </w:pPr>
    </w:p>
    <w:p w:rsidR="00482668" w:rsidRDefault="00762B21">
      <w:pPr>
        <w:spacing w:after="240"/>
        <w:ind w:firstLine="0"/>
        <w:jc w:val="both"/>
        <w:rPr>
          <w:bCs/>
        </w:rPr>
      </w:pPr>
      <w:r>
        <w:rPr>
          <w:bCs/>
        </w:rPr>
        <w:t>La cuantía máxima de las ayudas se determinará atendiendo al coste total de las actuaciones a desarrollar, según los criterios de fijación de cuantías establecidos en los puntos siguientes. Por consiguiente, entre las actuaciones subvencionables se podrán incluir aquellos gastos necesarios para el desarrollo de cada actuación, incluyendo:</w:t>
      </w:r>
    </w:p>
    <w:p w:rsidR="00482668" w:rsidRDefault="00762B21">
      <w:pPr>
        <w:pStyle w:val="Zerrenda-paragrafoa"/>
        <w:numPr>
          <w:ilvl w:val="0"/>
          <w:numId w:val="9"/>
        </w:numPr>
        <w:ind w:left="426"/>
        <w:jc w:val="both"/>
        <w:rPr>
          <w:bCs/>
        </w:rPr>
      </w:pPr>
      <w:r>
        <w:rPr>
          <w:bCs/>
        </w:rPr>
        <w:t>Los costes directos e indirectos de las propias obras que le sean atribuibles, total o parcialmente</w:t>
      </w:r>
      <w:r w:rsidR="003A65EB">
        <w:rPr>
          <w:bCs/>
        </w:rPr>
        <w:t>.</w:t>
      </w:r>
    </w:p>
    <w:p w:rsidR="00482668" w:rsidRDefault="00762B21">
      <w:pPr>
        <w:pStyle w:val="Zerrenda-paragrafoa"/>
        <w:numPr>
          <w:ilvl w:val="0"/>
          <w:numId w:val="9"/>
        </w:numPr>
        <w:ind w:left="426"/>
        <w:jc w:val="both"/>
      </w:pPr>
      <w:r>
        <w:rPr>
          <w:bCs/>
        </w:rPr>
        <w:t xml:space="preserve">Los relativos al control de calidad, la retirada, </w:t>
      </w:r>
      <w:r>
        <w:t>el transporte y la gestión de los residuos,</w:t>
      </w:r>
      <w:r>
        <w:rPr>
          <w:bCs/>
        </w:rPr>
        <w:t xml:space="preserve"> los medios auxiliares utilizados, etc.</w:t>
      </w:r>
    </w:p>
    <w:p w:rsidR="00482668" w:rsidRDefault="00762B21">
      <w:pPr>
        <w:pStyle w:val="Zerrenda-paragrafoa"/>
        <w:numPr>
          <w:ilvl w:val="0"/>
          <w:numId w:val="9"/>
        </w:numPr>
        <w:ind w:left="426"/>
        <w:jc w:val="both"/>
        <w:rPr>
          <w:bCs/>
        </w:rPr>
      </w:pPr>
      <w:r>
        <w:rPr>
          <w:bCs/>
        </w:rPr>
        <w:t>La gestión inherente al desarrollo de las actuaciones y los gastos asociados</w:t>
      </w:r>
      <w:r w:rsidR="003A65EB">
        <w:rPr>
          <w:bCs/>
        </w:rPr>
        <w:t>.</w:t>
      </w:r>
    </w:p>
    <w:p w:rsidR="00482668" w:rsidRDefault="00762B21">
      <w:pPr>
        <w:pStyle w:val="Zerrenda-paragrafoa"/>
        <w:numPr>
          <w:ilvl w:val="0"/>
          <w:numId w:val="9"/>
        </w:numPr>
        <w:ind w:left="426"/>
        <w:jc w:val="both"/>
      </w:pPr>
      <w:r>
        <w:rPr>
          <w:bCs/>
        </w:rPr>
        <w:lastRenderedPageBreak/>
        <w:t>Los honorarios de los profesionales intervinientes, los de redacción de los proyectos y dirección de obra, certificados e informes técnicos y monitorización de las viviendas del edificio.</w:t>
      </w:r>
    </w:p>
    <w:p w:rsidR="00482668" w:rsidRDefault="00762B21">
      <w:pPr>
        <w:pStyle w:val="Zerrenda-paragrafoa"/>
        <w:numPr>
          <w:ilvl w:val="0"/>
          <w:numId w:val="9"/>
        </w:numPr>
        <w:ind w:left="426"/>
        <w:jc w:val="both"/>
      </w:pPr>
      <w:r>
        <w:rPr>
          <w:bCs/>
        </w:rPr>
        <w:t>La elaboración del Libro del Edificio Existente y de la ITE, en su caso.</w:t>
      </w:r>
      <w:r>
        <w:t xml:space="preserve"> </w:t>
      </w:r>
      <w:r>
        <w:rPr>
          <w:bCs/>
        </w:rPr>
        <w:t xml:space="preserve">El Libro del Edificio deberá ajustarse a la “Guía para la elaboración del libro del edificio existente para la rehabilitación. Instrucciones, recomendaciones, consejos y ejemplos” para la justificación del anexo I del Real Decreto 853/2021” elaborado en noviembre 2021 por la Secretaría General de Agenda Urbana y Vivienda del MITMA. </w:t>
      </w:r>
    </w:p>
    <w:p w:rsidR="00482668" w:rsidRDefault="00762B21">
      <w:pPr>
        <w:pStyle w:val="Zerrenda-paragrafoa"/>
        <w:numPr>
          <w:ilvl w:val="0"/>
          <w:numId w:val="9"/>
        </w:numPr>
        <w:ind w:left="426"/>
        <w:jc w:val="both"/>
        <w:rPr>
          <w:bCs/>
        </w:rPr>
      </w:pPr>
      <w:r>
        <w:rPr>
          <w:bCs/>
        </w:rPr>
        <w:t>Los derivados de</w:t>
      </w:r>
      <w:r w:rsidR="003A65EB">
        <w:rPr>
          <w:bCs/>
        </w:rPr>
        <w:t xml:space="preserve"> la tramitación administrativa.</w:t>
      </w:r>
    </w:p>
    <w:p w:rsidR="00482668" w:rsidRDefault="00762B21">
      <w:pPr>
        <w:pStyle w:val="Zerrenda-paragrafoa"/>
        <w:numPr>
          <w:ilvl w:val="0"/>
          <w:numId w:val="9"/>
        </w:numPr>
        <w:ind w:left="426"/>
        <w:jc w:val="both"/>
        <w:rPr>
          <w:bCs/>
        </w:rPr>
      </w:pPr>
      <w:r>
        <w:rPr>
          <w:bCs/>
        </w:rPr>
        <w:t xml:space="preserve">Las actuaciones de realojo temporal de ocupantes, acompañamiento social y otras similares vinculadas a </w:t>
      </w:r>
      <w:r w:rsidR="003A65EB">
        <w:rPr>
          <w:bCs/>
        </w:rPr>
        <w:t>las actuaciones que procedieran.</w:t>
      </w:r>
      <w:r>
        <w:rPr>
          <w:bCs/>
        </w:rPr>
        <w:t xml:space="preserve"> </w:t>
      </w:r>
    </w:p>
    <w:p w:rsidR="00482668" w:rsidRDefault="00762B21">
      <w:pPr>
        <w:pStyle w:val="Zerrenda-paragrafoa"/>
        <w:numPr>
          <w:ilvl w:val="0"/>
          <w:numId w:val="9"/>
        </w:numPr>
        <w:ind w:left="426"/>
        <w:jc w:val="both"/>
      </w:pPr>
      <w:r>
        <w:rPr>
          <w:bCs/>
        </w:rPr>
        <w:t xml:space="preserve">El IVA o el impuesto indirecto equivalente, </w:t>
      </w:r>
      <w:r>
        <w:t>siempre y cuando no puedan ser susceptibles de recuperación o compensación total o parcial</w:t>
      </w:r>
      <w:r>
        <w:rPr>
          <w:bCs/>
        </w:rPr>
        <w:t xml:space="preserve">. </w:t>
      </w:r>
    </w:p>
    <w:p w:rsidR="00482668" w:rsidRDefault="00482668">
      <w:pPr>
        <w:jc w:val="both"/>
        <w:rPr>
          <w:bCs/>
        </w:rPr>
      </w:pPr>
    </w:p>
    <w:p w:rsidR="00482668" w:rsidRDefault="00762B21">
      <w:pPr>
        <w:ind w:firstLine="0"/>
        <w:jc w:val="both"/>
        <w:rPr>
          <w:bCs/>
        </w:rPr>
      </w:pPr>
      <w:r>
        <w:rPr>
          <w:bCs/>
        </w:rPr>
        <w:t>No se consideran costes subvencionables los correspondientes a licencias, tasas y otros impuestos o tributos diferentes al IVA</w:t>
      </w:r>
      <w:r w:rsidR="003A65EB">
        <w:rPr>
          <w:bCs/>
        </w:rPr>
        <w:t>.</w:t>
      </w:r>
    </w:p>
    <w:p w:rsidR="00482668" w:rsidRDefault="00482668">
      <w:pPr>
        <w:jc w:val="both"/>
        <w:rPr>
          <w:bCs/>
        </w:rPr>
      </w:pPr>
    </w:p>
    <w:p w:rsidR="00482668" w:rsidRDefault="00762B21">
      <w:pPr>
        <w:ind w:firstLine="0"/>
        <w:jc w:val="both"/>
      </w:pPr>
      <w:r>
        <w:rPr>
          <w:bCs/>
        </w:rPr>
        <w:t xml:space="preserve">La OTGP asesorará y pautará a los equipos técnicos que redacten los proyectos sobre la distribución de los costes directos e indirectos en cada uno de los diferentes presupuestos parciales en que se ha de dividir cada presupuesto global en función de los tipos de subvenciones que se indican a continuación, siguiendo el contenido y distribución de Capítulos detallado en la Tabla 1 del </w:t>
      </w:r>
      <w:r w:rsidR="00B76C09">
        <w:rPr>
          <w:bCs/>
        </w:rPr>
        <w:t xml:space="preserve">art. </w:t>
      </w:r>
      <w:r w:rsidR="000723F6">
        <w:rPr>
          <w:bCs/>
        </w:rPr>
        <w:fldChar w:fldCharType="begin"/>
      </w:r>
      <w:r>
        <w:rPr>
          <w:bCs/>
        </w:rPr>
        <w:instrText>REF _Ref507957007 \r \h</w:instrText>
      </w:r>
      <w:r w:rsidR="000723F6">
        <w:rPr>
          <w:bCs/>
        </w:rPr>
      </w:r>
      <w:r w:rsidR="000723F6">
        <w:rPr>
          <w:bCs/>
        </w:rPr>
        <w:fldChar w:fldCharType="separate"/>
      </w:r>
      <w:r w:rsidR="00904A83">
        <w:rPr>
          <w:bCs/>
        </w:rPr>
        <w:t>4</w:t>
      </w:r>
      <w:r w:rsidR="000723F6">
        <w:rPr>
          <w:bCs/>
        </w:rPr>
        <w:fldChar w:fldCharType="end"/>
      </w:r>
      <w:r>
        <w:rPr>
          <w:bCs/>
        </w:rPr>
        <w:t xml:space="preserve"> </w:t>
      </w:r>
      <w:r w:rsidR="000723F6">
        <w:fldChar w:fldCharType="begin"/>
      </w:r>
      <w:r>
        <w:instrText>REF _Ref507957007 \h</w:instrText>
      </w:r>
      <w:r w:rsidR="000723F6">
        <w:fldChar w:fldCharType="separate"/>
      </w:r>
      <w:r w:rsidR="00904A83">
        <w:rPr>
          <w:b/>
        </w:rPr>
        <w:t>ACTUACIONES QUE SE DEBEN CONSIDERAR EN LA REHABILITACIÓN ENERGÉTICA EFICIENTE</w:t>
      </w:r>
      <w:r w:rsidR="000723F6">
        <w:fldChar w:fldCharType="end"/>
      </w:r>
    </w:p>
    <w:p w:rsidR="00482668" w:rsidRDefault="00482668">
      <w:pPr>
        <w:jc w:val="both"/>
        <w:rPr>
          <w:bCs/>
        </w:rPr>
      </w:pPr>
    </w:p>
    <w:p w:rsidR="00482668" w:rsidRDefault="00762B21">
      <w:pPr>
        <w:ind w:firstLine="0"/>
        <w:jc w:val="both"/>
      </w:pPr>
      <w:r>
        <w:t>En las solicitudes de las ayudas a todas las actuaciones relacionadas en los puntos siguientes de este apartado se hará constar el porcentaje sobre el coste de las actuaciones y su cuantía. A su vez, la OTGP, en su función de ventanilla única, coordinará la tramitación de aquellas ayudas con cualesquiera otras que, con el mismo fin, fueran compatibles con las mismas. La OTGP elaborará un documento con la relación, porcentaje y cuantías de todas las ayudas solicitadas o por solicitar por los beneficiarios, con el fin de garantizar la inexistencia de una doble financiación y evitar que el conjunto de subvenciones que se pudieran conceder exceda el 100% del costo de estas actuaciones evitando la sobrefinanciación.</w:t>
      </w:r>
    </w:p>
    <w:p w:rsidR="00482668" w:rsidRDefault="00482668">
      <w:pPr>
        <w:jc w:val="both"/>
        <w:rPr>
          <w:bCs/>
        </w:rPr>
      </w:pPr>
    </w:p>
    <w:p w:rsidR="00482668" w:rsidRDefault="00762B21">
      <w:pPr>
        <w:ind w:firstLine="0"/>
        <w:jc w:val="both"/>
      </w:pPr>
      <w:r>
        <w:t xml:space="preserve">Los beneficiarios finales de las ayudas tendrán que manifestar de modo expreso el compromiso de cumplir con todas las medidas antifraude establecidas en la normativa europea, nacional y autonómica, así como las contenidas en estas bases. El compromiso se formalizará en la notificación y el documento de aceptación de las ayudas que tendrán que firmar los adjudicatarios. </w:t>
      </w:r>
    </w:p>
    <w:p w:rsidR="00482668" w:rsidRDefault="00482668">
      <w:pPr>
        <w:jc w:val="both"/>
      </w:pPr>
    </w:p>
    <w:p w:rsidR="00482668" w:rsidRDefault="00482668">
      <w:pPr>
        <w:jc w:val="both"/>
      </w:pPr>
    </w:p>
    <w:p w:rsidR="00482668" w:rsidRPr="003A65EB" w:rsidRDefault="00762B21">
      <w:pPr>
        <w:pStyle w:val="Zerrenda-paragrafoa"/>
        <w:numPr>
          <w:ilvl w:val="0"/>
          <w:numId w:val="25"/>
        </w:numPr>
        <w:ind w:left="426" w:hanging="426"/>
        <w:jc w:val="both"/>
        <w:outlineLvl w:val="1"/>
      </w:pPr>
      <w:bookmarkStart w:id="122" w:name="_Ref108605692"/>
      <w:bookmarkStart w:id="123" w:name="_Toc108763769"/>
      <w:bookmarkStart w:id="124" w:name="_Toc115897520"/>
      <w:bookmarkStart w:id="125" w:name="_Toc121128542"/>
      <w:r>
        <w:rPr>
          <w:b/>
          <w:bCs/>
        </w:rPr>
        <w:t>AYUDAS ADICIONALES PARA PERSONAS FÍSICAS O UNIDADES DE CONVIVENCIA EN SITUACIÓN DE VULNERABILIDAD ECONÓMICA</w:t>
      </w:r>
      <w:bookmarkEnd w:id="122"/>
      <w:bookmarkEnd w:id="123"/>
      <w:bookmarkEnd w:id="124"/>
      <w:bookmarkEnd w:id="125"/>
    </w:p>
    <w:p w:rsidR="003A65EB" w:rsidRDefault="003A65EB" w:rsidP="003A65EB">
      <w:pPr>
        <w:pStyle w:val="Zerrenda-paragrafoa"/>
        <w:ind w:left="426" w:firstLine="0"/>
        <w:jc w:val="both"/>
        <w:outlineLvl w:val="1"/>
      </w:pPr>
    </w:p>
    <w:p w:rsidR="00482668" w:rsidRDefault="00762B21">
      <w:pPr>
        <w:tabs>
          <w:tab w:val="left" w:pos="1134"/>
        </w:tabs>
        <w:spacing w:after="240"/>
        <w:ind w:firstLine="0"/>
        <w:jc w:val="both"/>
      </w:pPr>
      <w:r>
        <w:t>La OTGP colaborará con los particulares en la preparación de la documentación necesaria para solicitar la concesión de estas ayudas conforme a estas Bases y al “Programa 1 de ayuda a las actuaciones de rehabilitación a nivel de barrio” del Real Decreto 853/2021.</w:t>
      </w:r>
    </w:p>
    <w:p w:rsidR="00482668" w:rsidRDefault="00762B21">
      <w:pPr>
        <w:tabs>
          <w:tab w:val="left" w:pos="1134"/>
        </w:tabs>
        <w:spacing w:after="240"/>
        <w:ind w:firstLine="0"/>
        <w:jc w:val="both"/>
      </w:pPr>
      <w:r>
        <w:t>Cuando las Personas Beneficiarias sean personas físicas o en la vivienda (a estos efectos se considera como unidad de convivencia) convivan varias personas físicas con ingresos, la determinación de los ingresos, a efectos de su valoración para la obtención del complemento de la ayuda por motivos de vulnerabilidad económica, se calcularán en base a lo establecido en este apartado.</w:t>
      </w:r>
    </w:p>
    <w:p w:rsidR="00482668" w:rsidRDefault="00762B21">
      <w:pPr>
        <w:pStyle w:val="Zerrenda-paragrafoa"/>
        <w:spacing w:after="240"/>
        <w:ind w:left="0" w:firstLine="0"/>
        <w:jc w:val="both"/>
      </w:pPr>
      <w:r>
        <w:lastRenderedPageBreak/>
        <w:t xml:space="preserve">La solicitud del </w:t>
      </w:r>
      <w:r>
        <w:rPr>
          <w:bCs/>
        </w:rPr>
        <w:t>incremento de la ayuda a conceder sobre la cuantía máxima por vivienda para los casos de unidades convivenciales “Vulnerables” se elaborará en expediente aparte para cada persona o unidad de convivencia beneficiaria. En dicha solicitud se hará constar el porcentaje sobre el coste de las actuaciones y su cuantía. A su vez, la OTGP</w:t>
      </w:r>
      <w:r>
        <w:t xml:space="preserve">, en su función de asistencia a las personas beneficiarias, coordinará la tramitación de aquellas ayudas con cualesquiera otras que, con el mismo fin, fueran compatibles con las mismas. </w:t>
      </w:r>
    </w:p>
    <w:p w:rsidR="00482668" w:rsidRDefault="00762B21">
      <w:pPr>
        <w:ind w:firstLine="0"/>
        <w:jc w:val="both"/>
      </w:pPr>
      <w:r>
        <w:t xml:space="preserve">Cuando se identifiquen situaciones de vulnerabilidad económica en alguno de los propietarios, usufructuarios o unidades de convivencia de las viviendas incluidas en el entorno residencial definido, se podrá conceder una ayuda adicional que </w:t>
      </w:r>
      <w:r>
        <w:rPr>
          <w:bCs/>
        </w:rPr>
        <w:t xml:space="preserve">podrá alcanzar hasta el 100 % del coste de la actuación imputable a dicha unidad de convivencia, </w:t>
      </w:r>
      <w:r>
        <w:t xml:space="preserve">si bien no podrá superar las cuantías proporcionadas en la columna “Ayuda máxima a vulnerables (100%)” prevista en las </w:t>
      </w:r>
      <w:r w:rsidR="00B76C09">
        <w:rPr>
          <w:bCs/>
        </w:rPr>
        <w:t>Tablas 3, 4 y 5</w:t>
      </w:r>
      <w:r>
        <w:rPr>
          <w:bCs/>
        </w:rPr>
        <w:t xml:space="preserve"> para cada uno de los conceptos</w:t>
      </w:r>
      <w:r>
        <w:t>.</w:t>
      </w:r>
    </w:p>
    <w:p w:rsidR="00482668" w:rsidRDefault="00482668">
      <w:pPr>
        <w:jc w:val="both"/>
      </w:pPr>
    </w:p>
    <w:p w:rsidR="00482668" w:rsidRDefault="00762B21">
      <w:pPr>
        <w:ind w:firstLine="0"/>
        <w:jc w:val="both"/>
      </w:pPr>
      <w:r>
        <w:rPr>
          <w:rFonts w:cs="Calibri"/>
        </w:rPr>
        <w:t xml:space="preserve">Para cada </w:t>
      </w:r>
      <w:r>
        <w:t>persona o unidad de convivencia s</w:t>
      </w:r>
      <w:r>
        <w:rPr>
          <w:rFonts w:cs="Calibri"/>
        </w:rPr>
        <w:t>e determinará el “porcentaje” y/o “Cuantía máxima” de las ayudas totales relativas a las actuaciones, en función de:</w:t>
      </w:r>
    </w:p>
    <w:p w:rsidR="00482668" w:rsidRDefault="00482668">
      <w:pPr>
        <w:ind w:firstLine="426"/>
        <w:jc w:val="both"/>
        <w:rPr>
          <w:rFonts w:cs="Calibri"/>
        </w:rPr>
      </w:pPr>
    </w:p>
    <w:p w:rsidR="00482668" w:rsidRDefault="00762B21">
      <w:pPr>
        <w:pStyle w:val="Zerrenda-paragrafoa"/>
        <w:numPr>
          <w:ilvl w:val="0"/>
          <w:numId w:val="10"/>
        </w:numPr>
        <w:ind w:left="426"/>
        <w:jc w:val="both"/>
        <w:rPr>
          <w:rFonts w:cs="Calibri"/>
        </w:rPr>
      </w:pPr>
      <w:r>
        <w:rPr>
          <w:rFonts w:cs="Calibri"/>
        </w:rPr>
        <w:t xml:space="preserve">El nivel de ahorro en el consumo de energía primaria no renovable alcanzado en el edificio. </w:t>
      </w:r>
    </w:p>
    <w:p w:rsidR="00482668" w:rsidRDefault="00482668">
      <w:pPr>
        <w:pStyle w:val="Zerrenda-paragrafoa"/>
        <w:ind w:left="426" w:firstLine="0"/>
        <w:jc w:val="both"/>
        <w:rPr>
          <w:rFonts w:cs="Calibri"/>
        </w:rPr>
      </w:pPr>
    </w:p>
    <w:p w:rsidR="00482668" w:rsidRDefault="00762B21">
      <w:pPr>
        <w:pStyle w:val="Zerrenda-paragrafoa"/>
        <w:numPr>
          <w:ilvl w:val="0"/>
          <w:numId w:val="10"/>
        </w:numPr>
        <w:ind w:left="426"/>
        <w:jc w:val="both"/>
      </w:pPr>
      <w:r>
        <w:rPr>
          <w:rFonts w:cs="Calibri"/>
          <w:shd w:val="clear" w:color="auto" w:fill="FFFFFF"/>
        </w:rPr>
        <w:t xml:space="preserve">Los ingresos brutos de la persona física o unidad de convivencia. Se entienden por ingresos brutos los siguientes:  Las </w:t>
      </w:r>
      <w:r>
        <w:rPr>
          <w:rFonts w:cs="Times New Roman"/>
        </w:rPr>
        <w:t>bases Imponibles, general y de ahorro del IRPF, los rendimientos de trabajo y sus retenciones, emitidos por la Diputación Foral; o, en su defecto,</w:t>
      </w:r>
      <w:r>
        <w:t xml:space="preserve"> las p</w:t>
      </w:r>
      <w:r>
        <w:rPr>
          <w:rFonts w:cs="Times New Roman"/>
        </w:rPr>
        <w:t>restaciones de desempleo, pensiones u otros ingresos, abonados por la Seguridad Social u otros organismos competentes.</w:t>
      </w:r>
    </w:p>
    <w:p w:rsidR="00482668" w:rsidRDefault="00482668">
      <w:pPr>
        <w:ind w:left="426" w:firstLine="0"/>
        <w:jc w:val="both"/>
        <w:rPr>
          <w:rFonts w:cs="Calibri"/>
        </w:rPr>
      </w:pPr>
    </w:p>
    <w:p w:rsidR="00482668" w:rsidRDefault="00762B21">
      <w:pPr>
        <w:pStyle w:val="Zerrenda-paragrafoa"/>
        <w:numPr>
          <w:ilvl w:val="0"/>
          <w:numId w:val="10"/>
        </w:numPr>
        <w:ind w:left="426"/>
        <w:jc w:val="both"/>
        <w:rPr>
          <w:rFonts w:cs="Calibri"/>
          <w:shd w:val="clear" w:color="auto" w:fill="FFFFFF"/>
        </w:rPr>
      </w:pPr>
      <w:r>
        <w:rPr>
          <w:rFonts w:cs="Calibri"/>
          <w:shd w:val="clear" w:color="auto" w:fill="FFFFFF"/>
        </w:rPr>
        <w:t>El número de miembros de la unidad de convivencia (UC)</w:t>
      </w:r>
      <w:r w:rsidR="003A65EB">
        <w:rPr>
          <w:rFonts w:cs="Calibri"/>
          <w:shd w:val="clear" w:color="auto" w:fill="FFFFFF"/>
        </w:rPr>
        <w:t>.</w:t>
      </w:r>
    </w:p>
    <w:p w:rsidR="00482668" w:rsidRDefault="00482668">
      <w:pPr>
        <w:pStyle w:val="Zerrenda-paragrafoa"/>
        <w:ind w:firstLine="0"/>
        <w:jc w:val="both"/>
        <w:rPr>
          <w:rFonts w:cs="Calibri"/>
        </w:rPr>
      </w:pPr>
    </w:p>
    <w:p w:rsidR="00482668" w:rsidRDefault="00762B21">
      <w:pPr>
        <w:ind w:firstLine="0"/>
        <w:jc w:val="both"/>
        <w:rPr>
          <w:rFonts w:cs="Calibri"/>
        </w:rPr>
      </w:pPr>
      <w:r>
        <w:rPr>
          <w:rFonts w:cs="Calibri"/>
        </w:rPr>
        <w:t>Dicho “Porcentaje” y/o “Cuantía máxima” se establecerá de la siguiente forma:</w:t>
      </w:r>
    </w:p>
    <w:p w:rsidR="00482668" w:rsidRDefault="00482668">
      <w:pPr>
        <w:pStyle w:val="Zerrenda-paragrafoa"/>
        <w:ind w:left="426" w:firstLine="0"/>
        <w:jc w:val="both"/>
        <w:rPr>
          <w:rFonts w:cs="Calibri"/>
        </w:rPr>
      </w:pPr>
    </w:p>
    <w:p w:rsidR="00482668" w:rsidRDefault="00762B21">
      <w:pPr>
        <w:pStyle w:val="Zerrenda-paragrafoa"/>
        <w:numPr>
          <w:ilvl w:val="0"/>
          <w:numId w:val="11"/>
        </w:numPr>
        <w:ind w:left="426"/>
        <w:jc w:val="both"/>
      </w:pPr>
      <w:r>
        <w:t xml:space="preserve">En los casos en que se consiga un ahorro en el consumo de energía primaria no renovable, </w:t>
      </w:r>
      <w:r>
        <w:rPr>
          <w:b/>
        </w:rPr>
        <w:t>ΔCep,nren ≥30% y &lt;45%,</w:t>
      </w:r>
      <w:r>
        <w:t xml:space="preserve"> y considerando 20.250 € como el 100% de la ayuda máxima disponible, </w:t>
      </w:r>
      <w:r w:rsidR="00B76C09">
        <w:t>se aplicará la siguiente Tabla 3</w:t>
      </w:r>
      <w:r>
        <w:t xml:space="preserve"> de Porcentajes y Cuantías totales máximas:</w:t>
      </w:r>
    </w:p>
    <w:p w:rsidR="00A21DFB" w:rsidRDefault="00A21DFB" w:rsidP="00A21DFB">
      <w:pPr>
        <w:pStyle w:val="Zerrenda-paragrafoa"/>
        <w:ind w:left="426" w:firstLine="0"/>
        <w:jc w:val="both"/>
      </w:pPr>
    </w:p>
    <w:tbl>
      <w:tblPr>
        <w:tblW w:w="6961" w:type="dxa"/>
        <w:tblInd w:w="924" w:type="dxa"/>
        <w:tblLayout w:type="fixed"/>
        <w:tblCellMar>
          <w:left w:w="70" w:type="dxa"/>
          <w:right w:w="70" w:type="dxa"/>
        </w:tblCellMar>
        <w:tblLook w:val="04A0"/>
      </w:tblPr>
      <w:tblGrid>
        <w:gridCol w:w="2140"/>
        <w:gridCol w:w="710"/>
        <w:gridCol w:w="851"/>
        <w:gridCol w:w="709"/>
        <w:gridCol w:w="850"/>
        <w:gridCol w:w="709"/>
        <w:gridCol w:w="992"/>
      </w:tblGrid>
      <w:tr w:rsidR="00A21DFB" w:rsidRPr="00EC102B" w:rsidTr="0098771A">
        <w:trPr>
          <w:trHeight w:val="615"/>
        </w:trPr>
        <w:tc>
          <w:tcPr>
            <w:tcW w:w="69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 AYUDAS e IMPORTE MÁXIMO SEGÚN NIVELES DE RENTA Y MIEMBROS</w:t>
            </w:r>
            <w:r w:rsidRPr="00EC102B">
              <w:rPr>
                <w:rFonts w:eastAsia="Times New Roman" w:cs="Calibri"/>
                <w:b/>
                <w:bCs/>
                <w:color w:val="000000"/>
                <w:lang w:eastAsia="es-ES"/>
              </w:rPr>
              <w:br/>
              <w:t>30% ≤ ΔCep,nrenv &lt; 45%</w:t>
            </w:r>
          </w:p>
        </w:tc>
      </w:tr>
      <w:tr w:rsidR="00A21DFB" w:rsidRPr="00EC102B" w:rsidTr="0098771A">
        <w:trPr>
          <w:trHeight w:val="300"/>
        </w:trPr>
        <w:tc>
          <w:tcPr>
            <w:tcW w:w="2140" w:type="dxa"/>
            <w:vMerge w:val="restart"/>
            <w:tcBorders>
              <w:top w:val="nil"/>
              <w:left w:val="single" w:sz="4" w:space="0" w:color="auto"/>
              <w:bottom w:val="single" w:sz="4" w:space="0" w:color="auto"/>
              <w:right w:val="single" w:sz="4" w:space="0" w:color="auto"/>
            </w:tcBorders>
            <w:shd w:val="clear" w:color="auto" w:fill="F2F2F2" w:themeFill="background1" w:themeFillShade="F2"/>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INGRESOS BRUTOS de la Unidad Conv</w:t>
            </w:r>
            <w:r w:rsidRPr="00EC102B">
              <w:rPr>
                <w:rFonts w:eastAsia="Times New Roman" w:cs="Calibri"/>
                <w:b/>
                <w:bCs/>
                <w:color w:val="000000"/>
                <w:lang w:eastAsia="es-ES"/>
              </w:rPr>
              <w:t>i</w:t>
            </w:r>
            <w:r w:rsidRPr="00EC102B">
              <w:rPr>
                <w:rFonts w:eastAsia="Times New Roman" w:cs="Calibri"/>
                <w:b/>
                <w:bCs/>
                <w:color w:val="000000"/>
                <w:lang w:eastAsia="es-ES"/>
              </w:rPr>
              <w:t>vencial</w:t>
            </w:r>
          </w:p>
        </w:tc>
        <w:tc>
          <w:tcPr>
            <w:tcW w:w="4821" w:type="dxa"/>
            <w:gridSpan w:val="6"/>
            <w:tcBorders>
              <w:top w:val="nil"/>
              <w:left w:val="nil"/>
              <w:bottom w:val="single" w:sz="4" w:space="0" w:color="auto"/>
              <w:right w:val="single" w:sz="4" w:space="0" w:color="auto"/>
            </w:tcBorders>
            <w:shd w:val="clear" w:color="auto" w:fill="F2F2F2" w:themeFill="background1" w:themeFillShade="F2"/>
            <w:vAlign w:val="bottom"/>
            <w:hideMark/>
          </w:tcPr>
          <w:p w:rsidR="00A21DFB" w:rsidRDefault="00A21DFB" w:rsidP="0098771A">
            <w:pPr>
              <w:suppressAutoHyphens w:val="0"/>
              <w:ind w:firstLine="0"/>
              <w:jc w:val="center"/>
              <w:rPr>
                <w:rFonts w:eastAsia="Times New Roman" w:cs="Calibri"/>
                <w:b/>
                <w:bCs/>
                <w:color w:val="000000"/>
                <w:lang w:eastAsia="es-ES"/>
              </w:rPr>
            </w:pPr>
            <w:r>
              <w:rPr>
                <w:rFonts w:eastAsia="Times New Roman" w:cs="Calibri"/>
                <w:b/>
                <w:bCs/>
                <w:color w:val="000000"/>
                <w:lang w:eastAsia="es-ES"/>
              </w:rPr>
              <w:t>Ayudas vinculadas a RD 853/2021</w:t>
            </w:r>
          </w:p>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Miembros de la Unidad Convivencial</w:t>
            </w:r>
          </w:p>
        </w:tc>
      </w:tr>
      <w:tr w:rsidR="00A21DFB" w:rsidRPr="00EC102B" w:rsidTr="0098771A">
        <w:trPr>
          <w:trHeight w:val="300"/>
        </w:trPr>
        <w:tc>
          <w:tcPr>
            <w:tcW w:w="2140" w:type="dxa"/>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A21DFB" w:rsidRPr="00EC102B" w:rsidRDefault="00A21DFB" w:rsidP="0098771A">
            <w:pPr>
              <w:suppressAutoHyphens w:val="0"/>
              <w:ind w:firstLine="0"/>
              <w:rPr>
                <w:rFonts w:eastAsia="Times New Roman" w:cs="Calibri"/>
                <w:b/>
                <w:bCs/>
                <w:color w:val="000000"/>
                <w:lang w:eastAsia="es-ES"/>
              </w:rPr>
            </w:pPr>
          </w:p>
        </w:tc>
        <w:tc>
          <w:tcPr>
            <w:tcW w:w="1561" w:type="dxa"/>
            <w:gridSpan w:val="2"/>
            <w:tcBorders>
              <w:top w:val="single" w:sz="4" w:space="0" w:color="auto"/>
              <w:left w:val="nil"/>
              <w:bottom w:val="single" w:sz="4" w:space="0" w:color="auto"/>
              <w:right w:val="single" w:sz="4" w:space="0" w:color="auto"/>
            </w:tcBorders>
            <w:shd w:val="clear" w:color="auto" w:fill="F2F2F2" w:themeFill="background1" w:themeFillShade="F2"/>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w:t>
            </w:r>
          </w:p>
        </w:tc>
        <w:tc>
          <w:tcPr>
            <w:tcW w:w="1559" w:type="dxa"/>
            <w:gridSpan w:val="2"/>
            <w:tcBorders>
              <w:top w:val="single" w:sz="4" w:space="0" w:color="auto"/>
              <w:left w:val="nil"/>
              <w:bottom w:val="single" w:sz="4" w:space="0" w:color="auto"/>
              <w:right w:val="single" w:sz="4" w:space="0" w:color="auto"/>
            </w:tcBorders>
            <w:shd w:val="clear" w:color="auto" w:fill="F2F2F2" w:themeFill="background1" w:themeFillShade="F2"/>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w:t>
            </w:r>
          </w:p>
        </w:tc>
        <w:tc>
          <w:tcPr>
            <w:tcW w:w="1701" w:type="dxa"/>
            <w:gridSpan w:val="2"/>
            <w:tcBorders>
              <w:top w:val="single" w:sz="4" w:space="0" w:color="auto"/>
              <w:left w:val="nil"/>
              <w:bottom w:val="single" w:sz="4" w:space="0" w:color="auto"/>
              <w:right w:val="single" w:sz="4" w:space="0" w:color="auto"/>
            </w:tcBorders>
            <w:shd w:val="clear" w:color="auto" w:fill="F2F2F2" w:themeFill="background1" w:themeFillShade="F2"/>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≥3</w:t>
            </w:r>
          </w:p>
        </w:tc>
      </w:tr>
      <w:tr w:rsidR="00A21DFB" w:rsidRPr="00EC102B" w:rsidTr="0098771A">
        <w:trPr>
          <w:trHeight w:val="300"/>
        </w:trPr>
        <w:tc>
          <w:tcPr>
            <w:tcW w:w="2140" w:type="dxa"/>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A21DFB" w:rsidRPr="00EC102B" w:rsidRDefault="00A21DFB" w:rsidP="0098771A">
            <w:pPr>
              <w:suppressAutoHyphens w:val="0"/>
              <w:ind w:firstLine="0"/>
              <w:rPr>
                <w:rFonts w:eastAsia="Times New Roman" w:cs="Calibri"/>
                <w:b/>
                <w:bCs/>
                <w:color w:val="000000"/>
                <w:lang w:eastAsia="es-ES"/>
              </w:rPr>
            </w:pPr>
          </w:p>
        </w:tc>
        <w:tc>
          <w:tcPr>
            <w:tcW w:w="710" w:type="dxa"/>
            <w:tcBorders>
              <w:top w:val="nil"/>
              <w:left w:val="nil"/>
              <w:bottom w:val="single" w:sz="4" w:space="0" w:color="auto"/>
              <w:right w:val="single" w:sz="4" w:space="0" w:color="auto"/>
            </w:tcBorders>
            <w:shd w:val="clear" w:color="auto" w:fill="F2F2F2" w:themeFill="background1" w:themeFillShade="F2"/>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w:t>
            </w:r>
          </w:p>
        </w:tc>
        <w:tc>
          <w:tcPr>
            <w:tcW w:w="851" w:type="dxa"/>
            <w:tcBorders>
              <w:top w:val="nil"/>
              <w:left w:val="nil"/>
              <w:bottom w:val="single" w:sz="4" w:space="0" w:color="auto"/>
              <w:right w:val="single" w:sz="4" w:space="0" w:color="auto"/>
            </w:tcBorders>
            <w:shd w:val="clear" w:color="auto" w:fill="F2F2F2" w:themeFill="background1" w:themeFillShade="F2"/>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Máx.</w:t>
            </w:r>
          </w:p>
        </w:tc>
        <w:tc>
          <w:tcPr>
            <w:tcW w:w="709" w:type="dxa"/>
            <w:tcBorders>
              <w:top w:val="nil"/>
              <w:left w:val="nil"/>
              <w:bottom w:val="single" w:sz="4" w:space="0" w:color="auto"/>
              <w:right w:val="single" w:sz="4" w:space="0" w:color="auto"/>
            </w:tcBorders>
            <w:shd w:val="clear" w:color="auto" w:fill="F2F2F2" w:themeFill="background1" w:themeFillShade="F2"/>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w:t>
            </w:r>
          </w:p>
        </w:tc>
        <w:tc>
          <w:tcPr>
            <w:tcW w:w="850" w:type="dxa"/>
            <w:tcBorders>
              <w:top w:val="nil"/>
              <w:left w:val="nil"/>
              <w:bottom w:val="single" w:sz="4" w:space="0" w:color="auto"/>
              <w:right w:val="single" w:sz="4" w:space="0" w:color="auto"/>
            </w:tcBorders>
            <w:shd w:val="clear" w:color="auto" w:fill="F2F2F2" w:themeFill="background1" w:themeFillShade="F2"/>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Máx.</w:t>
            </w:r>
          </w:p>
        </w:tc>
        <w:tc>
          <w:tcPr>
            <w:tcW w:w="709" w:type="dxa"/>
            <w:tcBorders>
              <w:top w:val="nil"/>
              <w:left w:val="nil"/>
              <w:bottom w:val="single" w:sz="4" w:space="0" w:color="auto"/>
              <w:right w:val="single" w:sz="4" w:space="0" w:color="auto"/>
            </w:tcBorders>
            <w:shd w:val="clear" w:color="auto" w:fill="F2F2F2" w:themeFill="background1" w:themeFillShade="F2"/>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w:t>
            </w:r>
          </w:p>
        </w:tc>
        <w:tc>
          <w:tcPr>
            <w:tcW w:w="992" w:type="dxa"/>
            <w:tcBorders>
              <w:top w:val="nil"/>
              <w:left w:val="nil"/>
              <w:bottom w:val="single" w:sz="4" w:space="0" w:color="auto"/>
              <w:right w:val="single" w:sz="4" w:space="0" w:color="auto"/>
            </w:tcBorders>
            <w:shd w:val="clear" w:color="auto" w:fill="F2F2F2" w:themeFill="background1" w:themeFillShade="F2"/>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Máx.</w:t>
            </w:r>
          </w:p>
        </w:tc>
      </w:tr>
      <w:tr w:rsidR="00A21DFB" w:rsidRPr="00EC102B" w:rsidTr="0098771A">
        <w:trPr>
          <w:trHeight w:val="300"/>
        </w:trPr>
        <w:tc>
          <w:tcPr>
            <w:tcW w:w="2140" w:type="dxa"/>
            <w:tcBorders>
              <w:top w:val="nil"/>
              <w:left w:val="single" w:sz="4" w:space="0" w:color="auto"/>
              <w:bottom w:val="nil"/>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color w:val="000000"/>
                <w:lang w:eastAsia="es-ES"/>
              </w:rPr>
            </w:pPr>
            <w:r w:rsidRPr="00EC102B">
              <w:rPr>
                <w:rFonts w:eastAsia="Times New Roman" w:cs="Calibri"/>
                <w:color w:val="000000"/>
                <w:lang w:eastAsia="es-ES"/>
              </w:rPr>
              <w:t>≤15000</w:t>
            </w:r>
          </w:p>
        </w:tc>
        <w:tc>
          <w:tcPr>
            <w:tcW w:w="710" w:type="dxa"/>
            <w:tcBorders>
              <w:top w:val="nil"/>
              <w:left w:val="nil"/>
              <w:bottom w:val="nil"/>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100%</w:t>
            </w:r>
          </w:p>
        </w:tc>
        <w:tc>
          <w:tcPr>
            <w:tcW w:w="851" w:type="dxa"/>
            <w:tcBorders>
              <w:top w:val="nil"/>
              <w:left w:val="nil"/>
              <w:bottom w:val="nil"/>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20.250</w:t>
            </w:r>
          </w:p>
        </w:tc>
        <w:tc>
          <w:tcPr>
            <w:tcW w:w="709" w:type="dxa"/>
            <w:tcBorders>
              <w:top w:val="nil"/>
              <w:left w:val="nil"/>
              <w:bottom w:val="nil"/>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100%</w:t>
            </w:r>
          </w:p>
        </w:tc>
        <w:tc>
          <w:tcPr>
            <w:tcW w:w="850" w:type="dxa"/>
            <w:tcBorders>
              <w:top w:val="nil"/>
              <w:left w:val="nil"/>
              <w:bottom w:val="nil"/>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20.250</w:t>
            </w:r>
          </w:p>
        </w:tc>
        <w:tc>
          <w:tcPr>
            <w:tcW w:w="709" w:type="dxa"/>
            <w:tcBorders>
              <w:top w:val="nil"/>
              <w:left w:val="nil"/>
              <w:bottom w:val="nil"/>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100%</w:t>
            </w:r>
          </w:p>
        </w:tc>
        <w:tc>
          <w:tcPr>
            <w:tcW w:w="992" w:type="dxa"/>
            <w:tcBorders>
              <w:top w:val="nil"/>
              <w:left w:val="nil"/>
              <w:bottom w:val="nil"/>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20.250</w:t>
            </w:r>
          </w:p>
        </w:tc>
      </w:tr>
      <w:tr w:rsidR="00A21DFB" w:rsidRPr="00EC102B" w:rsidTr="0098771A">
        <w:trPr>
          <w:trHeight w:val="300"/>
        </w:trPr>
        <w:tc>
          <w:tcPr>
            <w:tcW w:w="2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color w:val="000000"/>
                <w:lang w:eastAsia="es-ES"/>
              </w:rPr>
            </w:pPr>
            <w:r w:rsidRPr="00EC102B">
              <w:rPr>
                <w:rFonts w:eastAsia="Times New Roman" w:cs="Calibri"/>
                <w:color w:val="000000"/>
                <w:lang w:eastAsia="es-ES"/>
              </w:rPr>
              <w:t>15.001-18.000€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color w:val="000000"/>
                <w:lang w:eastAsia="es-ES"/>
              </w:rPr>
            </w:pPr>
            <w:r w:rsidRPr="00EC102B">
              <w:rPr>
                <w:rFonts w:eastAsia="Times New Roman" w:cs="Calibri"/>
                <w:color w:val="000000"/>
                <w:lang w:eastAsia="es-ES"/>
              </w:rPr>
              <w:t>80%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color w:val="000000"/>
                <w:lang w:eastAsia="es-ES"/>
              </w:rPr>
            </w:pPr>
            <w:r w:rsidRPr="00EC102B">
              <w:rPr>
                <w:rFonts w:eastAsia="Times New Roman" w:cs="Calibri"/>
                <w:color w:val="000000"/>
                <w:lang w:eastAsia="es-ES"/>
              </w:rPr>
              <w:t>16.200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20.250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20.250</w:t>
            </w:r>
          </w:p>
        </w:tc>
      </w:tr>
      <w:tr w:rsidR="00A21DFB" w:rsidRPr="00EC102B" w:rsidTr="0098771A">
        <w:trPr>
          <w:trHeight w:val="30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color w:val="000000"/>
                <w:lang w:eastAsia="es-ES"/>
              </w:rPr>
            </w:pPr>
            <w:r w:rsidRPr="00EC102B">
              <w:rPr>
                <w:rFonts w:eastAsia="Times New Roman" w:cs="Calibri"/>
                <w:color w:val="000000"/>
                <w:lang w:eastAsia="es-ES"/>
              </w:rPr>
              <w:t>18.001-25.000€</w:t>
            </w:r>
          </w:p>
        </w:tc>
        <w:tc>
          <w:tcPr>
            <w:tcW w:w="710" w:type="dxa"/>
            <w:tcBorders>
              <w:top w:val="nil"/>
              <w:left w:val="nil"/>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color w:val="000000"/>
                <w:lang w:eastAsia="es-ES"/>
              </w:rPr>
            </w:pPr>
            <w:r w:rsidRPr="00EC102B">
              <w:rPr>
                <w:rFonts w:eastAsia="Times New Roman" w:cs="Calibri"/>
                <w:color w:val="000000"/>
                <w:lang w:eastAsia="es-ES"/>
              </w:rPr>
              <w:t>60%</w:t>
            </w:r>
          </w:p>
        </w:tc>
        <w:tc>
          <w:tcPr>
            <w:tcW w:w="851" w:type="dxa"/>
            <w:tcBorders>
              <w:top w:val="nil"/>
              <w:left w:val="nil"/>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color w:val="000000"/>
                <w:lang w:eastAsia="es-ES"/>
              </w:rPr>
            </w:pPr>
            <w:r w:rsidRPr="00EC102B">
              <w:rPr>
                <w:rFonts w:eastAsia="Times New Roman" w:cs="Calibri"/>
                <w:color w:val="000000"/>
                <w:lang w:eastAsia="es-ES"/>
              </w:rPr>
              <w:t>12.150</w:t>
            </w:r>
          </w:p>
        </w:tc>
        <w:tc>
          <w:tcPr>
            <w:tcW w:w="709" w:type="dxa"/>
            <w:tcBorders>
              <w:top w:val="nil"/>
              <w:left w:val="nil"/>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color w:val="000000"/>
                <w:lang w:eastAsia="es-ES"/>
              </w:rPr>
            </w:pPr>
            <w:r w:rsidRPr="00EC102B">
              <w:rPr>
                <w:rFonts w:eastAsia="Times New Roman" w:cs="Calibri"/>
                <w:color w:val="000000"/>
                <w:lang w:eastAsia="es-ES"/>
              </w:rPr>
              <w:t>70%</w:t>
            </w:r>
          </w:p>
        </w:tc>
        <w:tc>
          <w:tcPr>
            <w:tcW w:w="850" w:type="dxa"/>
            <w:tcBorders>
              <w:top w:val="nil"/>
              <w:left w:val="nil"/>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color w:val="000000"/>
                <w:lang w:eastAsia="es-ES"/>
              </w:rPr>
            </w:pPr>
            <w:r w:rsidRPr="00EC102B">
              <w:rPr>
                <w:rFonts w:eastAsia="Times New Roman" w:cs="Calibri"/>
                <w:color w:val="000000"/>
                <w:lang w:eastAsia="es-ES"/>
              </w:rPr>
              <w:t>14.175</w:t>
            </w:r>
          </w:p>
        </w:tc>
        <w:tc>
          <w:tcPr>
            <w:tcW w:w="709" w:type="dxa"/>
            <w:tcBorders>
              <w:top w:val="nil"/>
              <w:left w:val="nil"/>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100%</w:t>
            </w:r>
          </w:p>
        </w:tc>
        <w:tc>
          <w:tcPr>
            <w:tcW w:w="992" w:type="dxa"/>
            <w:tcBorders>
              <w:top w:val="nil"/>
              <w:left w:val="nil"/>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20.250</w:t>
            </w:r>
          </w:p>
        </w:tc>
      </w:tr>
    </w:tbl>
    <w:p w:rsidR="00A21DFB" w:rsidRPr="00A21DFB" w:rsidRDefault="00A21DFB" w:rsidP="00A21DFB">
      <w:pPr>
        <w:pStyle w:val="Zerrenda-paragrafoa"/>
        <w:spacing w:before="120" w:after="120" w:line="240" w:lineRule="atLeast"/>
        <w:ind w:left="142" w:firstLine="0"/>
        <w:jc w:val="center"/>
        <w:rPr>
          <w:bCs/>
          <w:sz w:val="20"/>
          <w:szCs w:val="20"/>
        </w:rPr>
      </w:pPr>
      <w:r w:rsidRPr="00A21DFB">
        <w:rPr>
          <w:bCs/>
          <w:sz w:val="20"/>
          <w:szCs w:val="20"/>
        </w:rPr>
        <w:t>Tabla 3</w:t>
      </w:r>
    </w:p>
    <w:p w:rsidR="00482668" w:rsidRDefault="00482668">
      <w:pPr>
        <w:ind w:firstLine="0"/>
        <w:jc w:val="both"/>
      </w:pPr>
    </w:p>
    <w:p w:rsidR="00482668" w:rsidRDefault="00762B21">
      <w:pPr>
        <w:pStyle w:val="Zerrenda-paragrafoa"/>
        <w:numPr>
          <w:ilvl w:val="0"/>
          <w:numId w:val="11"/>
        </w:numPr>
        <w:ind w:left="426"/>
        <w:jc w:val="both"/>
      </w:pPr>
      <w:r>
        <w:t xml:space="preserve">En los casos en que se consiga un ahorro en el consumo de energía primaria no renovable, </w:t>
      </w:r>
      <w:r>
        <w:rPr>
          <w:b/>
          <w:bCs/>
        </w:rPr>
        <w:t>ΔCep,nren ≥45% y &lt;60%,</w:t>
      </w:r>
      <w:r>
        <w:t xml:space="preserve"> y considerando 22.308 € como el 100% de la ayuda máxima disponible, se aplicará la siguiente Tabla </w:t>
      </w:r>
      <w:r w:rsidR="00B76C09">
        <w:t xml:space="preserve">4 </w:t>
      </w:r>
      <w:r>
        <w:t>de Porcentajes y Cuantías totales máximas:</w:t>
      </w:r>
    </w:p>
    <w:tbl>
      <w:tblPr>
        <w:tblW w:w="6819" w:type="dxa"/>
        <w:tblInd w:w="999" w:type="dxa"/>
        <w:tblLayout w:type="fixed"/>
        <w:tblCellMar>
          <w:left w:w="70" w:type="dxa"/>
          <w:right w:w="70" w:type="dxa"/>
        </w:tblCellMar>
        <w:tblLook w:val="04A0"/>
      </w:tblPr>
      <w:tblGrid>
        <w:gridCol w:w="2140"/>
        <w:gridCol w:w="710"/>
        <w:gridCol w:w="851"/>
        <w:gridCol w:w="709"/>
        <w:gridCol w:w="850"/>
        <w:gridCol w:w="709"/>
        <w:gridCol w:w="850"/>
      </w:tblGrid>
      <w:tr w:rsidR="00A21DFB" w:rsidRPr="00EC102B" w:rsidTr="0098771A">
        <w:trPr>
          <w:trHeight w:val="615"/>
        </w:trPr>
        <w:tc>
          <w:tcPr>
            <w:tcW w:w="6819"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lastRenderedPageBreak/>
              <w:t>% AYUDAS e IMPORTE MÁXIMO SEGÚN NIVELES DE RENTA Y MIEMBROS</w:t>
            </w:r>
            <w:r w:rsidRPr="00EC102B">
              <w:rPr>
                <w:rFonts w:eastAsia="Times New Roman" w:cs="Calibri"/>
                <w:b/>
                <w:bCs/>
                <w:color w:val="000000"/>
                <w:lang w:eastAsia="es-ES"/>
              </w:rPr>
              <w:br/>
              <w:t>45% ≤ ΔCep,nrenv &lt; 60%</w:t>
            </w:r>
          </w:p>
        </w:tc>
      </w:tr>
      <w:tr w:rsidR="00A21DFB" w:rsidRPr="00EC102B" w:rsidTr="0098771A">
        <w:trPr>
          <w:trHeight w:val="300"/>
        </w:trPr>
        <w:tc>
          <w:tcPr>
            <w:tcW w:w="2140" w:type="dxa"/>
            <w:vMerge w:val="restart"/>
            <w:tcBorders>
              <w:top w:val="nil"/>
              <w:left w:val="single" w:sz="4" w:space="0" w:color="auto"/>
              <w:bottom w:val="single" w:sz="4" w:space="0" w:color="000000"/>
              <w:right w:val="single" w:sz="4" w:space="0" w:color="auto"/>
            </w:tcBorders>
            <w:shd w:val="clear" w:color="auto" w:fill="F2F2F2" w:themeFill="background1" w:themeFillShade="F2"/>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INGRESOS BRUTOS de la Unidad Conv</w:t>
            </w:r>
            <w:r w:rsidRPr="00EC102B">
              <w:rPr>
                <w:rFonts w:eastAsia="Times New Roman" w:cs="Calibri"/>
                <w:b/>
                <w:bCs/>
                <w:color w:val="000000"/>
                <w:lang w:eastAsia="es-ES"/>
              </w:rPr>
              <w:t>i</w:t>
            </w:r>
            <w:r w:rsidRPr="00EC102B">
              <w:rPr>
                <w:rFonts w:eastAsia="Times New Roman" w:cs="Calibri"/>
                <w:b/>
                <w:bCs/>
                <w:color w:val="000000"/>
                <w:lang w:eastAsia="es-ES"/>
              </w:rPr>
              <w:t>vencial</w:t>
            </w:r>
          </w:p>
        </w:tc>
        <w:tc>
          <w:tcPr>
            <w:tcW w:w="4679" w:type="dxa"/>
            <w:gridSpan w:val="6"/>
            <w:tcBorders>
              <w:top w:val="nil"/>
              <w:left w:val="nil"/>
              <w:bottom w:val="single" w:sz="4" w:space="0" w:color="auto"/>
              <w:right w:val="single" w:sz="4" w:space="0" w:color="auto"/>
            </w:tcBorders>
            <w:shd w:val="clear" w:color="auto" w:fill="F2F2F2" w:themeFill="background1" w:themeFillShade="F2"/>
            <w:vAlign w:val="bottom"/>
            <w:hideMark/>
          </w:tcPr>
          <w:p w:rsidR="00A21DFB" w:rsidRDefault="00A21DFB" w:rsidP="00A21DFB">
            <w:pPr>
              <w:suppressAutoHyphens w:val="0"/>
              <w:ind w:firstLine="0"/>
              <w:jc w:val="center"/>
              <w:rPr>
                <w:rFonts w:eastAsia="Times New Roman" w:cs="Calibri"/>
                <w:b/>
                <w:bCs/>
                <w:color w:val="000000"/>
                <w:lang w:eastAsia="es-ES"/>
              </w:rPr>
            </w:pPr>
            <w:r>
              <w:rPr>
                <w:rFonts w:eastAsia="Times New Roman" w:cs="Calibri"/>
                <w:b/>
                <w:bCs/>
                <w:color w:val="000000"/>
                <w:lang w:eastAsia="es-ES"/>
              </w:rPr>
              <w:t>Ayudas vinculadas a RD 853/2021</w:t>
            </w:r>
          </w:p>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Miembros de la Unidad Convivencial</w:t>
            </w:r>
          </w:p>
        </w:tc>
      </w:tr>
      <w:tr w:rsidR="00A21DFB" w:rsidRPr="00EC102B" w:rsidTr="0098771A">
        <w:trPr>
          <w:trHeight w:val="300"/>
        </w:trPr>
        <w:tc>
          <w:tcPr>
            <w:tcW w:w="2140"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rsidR="00A21DFB" w:rsidRPr="00EC102B" w:rsidRDefault="00A21DFB" w:rsidP="0098771A">
            <w:pPr>
              <w:suppressAutoHyphens w:val="0"/>
              <w:ind w:firstLine="0"/>
              <w:rPr>
                <w:rFonts w:eastAsia="Times New Roman" w:cs="Calibri"/>
                <w:b/>
                <w:bCs/>
                <w:color w:val="000000"/>
                <w:lang w:eastAsia="es-ES"/>
              </w:rPr>
            </w:pPr>
          </w:p>
        </w:tc>
        <w:tc>
          <w:tcPr>
            <w:tcW w:w="1561" w:type="dxa"/>
            <w:gridSpan w:val="2"/>
            <w:tcBorders>
              <w:top w:val="single" w:sz="4" w:space="0" w:color="auto"/>
              <w:left w:val="nil"/>
              <w:bottom w:val="single" w:sz="4" w:space="0" w:color="auto"/>
              <w:right w:val="single" w:sz="4" w:space="0" w:color="auto"/>
            </w:tcBorders>
            <w:shd w:val="clear" w:color="auto" w:fill="F2F2F2" w:themeFill="background1" w:themeFillShade="F2"/>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w:t>
            </w:r>
          </w:p>
        </w:tc>
        <w:tc>
          <w:tcPr>
            <w:tcW w:w="1559" w:type="dxa"/>
            <w:gridSpan w:val="2"/>
            <w:tcBorders>
              <w:top w:val="single" w:sz="4" w:space="0" w:color="auto"/>
              <w:left w:val="nil"/>
              <w:bottom w:val="single" w:sz="4" w:space="0" w:color="auto"/>
              <w:right w:val="single" w:sz="4" w:space="0" w:color="auto"/>
            </w:tcBorders>
            <w:shd w:val="clear" w:color="auto" w:fill="F2F2F2" w:themeFill="background1" w:themeFillShade="F2"/>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w:t>
            </w:r>
          </w:p>
        </w:tc>
        <w:tc>
          <w:tcPr>
            <w:tcW w:w="1559" w:type="dxa"/>
            <w:gridSpan w:val="2"/>
            <w:tcBorders>
              <w:top w:val="single" w:sz="4" w:space="0" w:color="auto"/>
              <w:left w:val="nil"/>
              <w:bottom w:val="single" w:sz="4" w:space="0" w:color="auto"/>
              <w:right w:val="single" w:sz="4" w:space="0" w:color="auto"/>
            </w:tcBorders>
            <w:shd w:val="clear" w:color="auto" w:fill="F2F2F2" w:themeFill="background1" w:themeFillShade="F2"/>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≥3</w:t>
            </w:r>
          </w:p>
        </w:tc>
      </w:tr>
      <w:tr w:rsidR="00A21DFB" w:rsidRPr="00EC102B" w:rsidTr="0098771A">
        <w:trPr>
          <w:trHeight w:val="300"/>
        </w:trPr>
        <w:tc>
          <w:tcPr>
            <w:tcW w:w="2140"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rsidR="00A21DFB" w:rsidRPr="00EC102B" w:rsidRDefault="00A21DFB" w:rsidP="0098771A">
            <w:pPr>
              <w:suppressAutoHyphens w:val="0"/>
              <w:ind w:firstLine="0"/>
              <w:rPr>
                <w:rFonts w:eastAsia="Times New Roman" w:cs="Calibri"/>
                <w:b/>
                <w:bCs/>
                <w:color w:val="000000"/>
                <w:lang w:eastAsia="es-ES"/>
              </w:rPr>
            </w:pPr>
          </w:p>
        </w:tc>
        <w:tc>
          <w:tcPr>
            <w:tcW w:w="710" w:type="dxa"/>
            <w:tcBorders>
              <w:top w:val="nil"/>
              <w:left w:val="nil"/>
              <w:bottom w:val="single" w:sz="4" w:space="0" w:color="auto"/>
              <w:right w:val="single" w:sz="4" w:space="0" w:color="auto"/>
            </w:tcBorders>
            <w:shd w:val="clear" w:color="auto" w:fill="F2F2F2" w:themeFill="background1" w:themeFillShade="F2"/>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w:t>
            </w:r>
          </w:p>
        </w:tc>
        <w:tc>
          <w:tcPr>
            <w:tcW w:w="851" w:type="dxa"/>
            <w:tcBorders>
              <w:top w:val="nil"/>
              <w:left w:val="nil"/>
              <w:bottom w:val="single" w:sz="4" w:space="0" w:color="auto"/>
              <w:right w:val="single" w:sz="4" w:space="0" w:color="auto"/>
            </w:tcBorders>
            <w:shd w:val="clear" w:color="auto" w:fill="F2F2F2" w:themeFill="background1" w:themeFillShade="F2"/>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Máx.</w:t>
            </w:r>
          </w:p>
        </w:tc>
        <w:tc>
          <w:tcPr>
            <w:tcW w:w="709" w:type="dxa"/>
            <w:tcBorders>
              <w:top w:val="nil"/>
              <w:left w:val="nil"/>
              <w:bottom w:val="single" w:sz="4" w:space="0" w:color="auto"/>
              <w:right w:val="single" w:sz="4" w:space="0" w:color="auto"/>
            </w:tcBorders>
            <w:shd w:val="clear" w:color="auto" w:fill="F2F2F2" w:themeFill="background1" w:themeFillShade="F2"/>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w:t>
            </w:r>
          </w:p>
        </w:tc>
        <w:tc>
          <w:tcPr>
            <w:tcW w:w="850" w:type="dxa"/>
            <w:tcBorders>
              <w:top w:val="nil"/>
              <w:left w:val="nil"/>
              <w:bottom w:val="single" w:sz="4" w:space="0" w:color="auto"/>
              <w:right w:val="single" w:sz="4" w:space="0" w:color="auto"/>
            </w:tcBorders>
            <w:shd w:val="clear" w:color="auto" w:fill="F2F2F2" w:themeFill="background1" w:themeFillShade="F2"/>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Máx.</w:t>
            </w:r>
          </w:p>
        </w:tc>
        <w:tc>
          <w:tcPr>
            <w:tcW w:w="709" w:type="dxa"/>
            <w:tcBorders>
              <w:top w:val="nil"/>
              <w:left w:val="nil"/>
              <w:bottom w:val="single" w:sz="4" w:space="0" w:color="auto"/>
              <w:right w:val="single" w:sz="4" w:space="0" w:color="auto"/>
            </w:tcBorders>
            <w:shd w:val="clear" w:color="auto" w:fill="F2F2F2" w:themeFill="background1" w:themeFillShade="F2"/>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w:t>
            </w:r>
          </w:p>
        </w:tc>
        <w:tc>
          <w:tcPr>
            <w:tcW w:w="850" w:type="dxa"/>
            <w:tcBorders>
              <w:top w:val="nil"/>
              <w:left w:val="nil"/>
              <w:bottom w:val="single" w:sz="4" w:space="0" w:color="auto"/>
              <w:right w:val="single" w:sz="4" w:space="0" w:color="auto"/>
            </w:tcBorders>
            <w:shd w:val="clear" w:color="auto" w:fill="F2F2F2" w:themeFill="background1" w:themeFillShade="F2"/>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Máx.</w:t>
            </w:r>
          </w:p>
        </w:tc>
      </w:tr>
      <w:tr w:rsidR="00A21DFB" w:rsidRPr="00EC102B" w:rsidTr="0098771A">
        <w:trPr>
          <w:trHeight w:val="300"/>
        </w:trPr>
        <w:tc>
          <w:tcPr>
            <w:tcW w:w="2140" w:type="dxa"/>
            <w:tcBorders>
              <w:top w:val="nil"/>
              <w:left w:val="single" w:sz="4" w:space="0" w:color="auto"/>
              <w:bottom w:val="nil"/>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color w:val="000000"/>
                <w:lang w:eastAsia="es-ES"/>
              </w:rPr>
            </w:pPr>
            <w:r w:rsidRPr="00EC102B">
              <w:rPr>
                <w:rFonts w:eastAsia="Times New Roman" w:cs="Calibri"/>
                <w:color w:val="000000"/>
                <w:lang w:eastAsia="es-ES"/>
              </w:rPr>
              <w:t>≤15000</w:t>
            </w:r>
          </w:p>
        </w:tc>
        <w:tc>
          <w:tcPr>
            <w:tcW w:w="710" w:type="dxa"/>
            <w:tcBorders>
              <w:top w:val="nil"/>
              <w:left w:val="nil"/>
              <w:bottom w:val="nil"/>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100%</w:t>
            </w:r>
          </w:p>
        </w:tc>
        <w:tc>
          <w:tcPr>
            <w:tcW w:w="851" w:type="dxa"/>
            <w:tcBorders>
              <w:top w:val="nil"/>
              <w:left w:val="nil"/>
              <w:bottom w:val="nil"/>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22.308</w:t>
            </w:r>
          </w:p>
        </w:tc>
        <w:tc>
          <w:tcPr>
            <w:tcW w:w="709" w:type="dxa"/>
            <w:tcBorders>
              <w:top w:val="nil"/>
              <w:left w:val="nil"/>
              <w:bottom w:val="nil"/>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100%</w:t>
            </w:r>
          </w:p>
        </w:tc>
        <w:tc>
          <w:tcPr>
            <w:tcW w:w="850" w:type="dxa"/>
            <w:tcBorders>
              <w:top w:val="nil"/>
              <w:left w:val="nil"/>
              <w:bottom w:val="nil"/>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22.308</w:t>
            </w:r>
          </w:p>
        </w:tc>
        <w:tc>
          <w:tcPr>
            <w:tcW w:w="709" w:type="dxa"/>
            <w:tcBorders>
              <w:top w:val="nil"/>
              <w:left w:val="nil"/>
              <w:bottom w:val="nil"/>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100%</w:t>
            </w:r>
          </w:p>
        </w:tc>
        <w:tc>
          <w:tcPr>
            <w:tcW w:w="850" w:type="dxa"/>
            <w:tcBorders>
              <w:top w:val="nil"/>
              <w:left w:val="nil"/>
              <w:bottom w:val="nil"/>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22.308</w:t>
            </w:r>
          </w:p>
        </w:tc>
      </w:tr>
      <w:tr w:rsidR="00A21DFB" w:rsidRPr="00EC102B" w:rsidTr="0098771A">
        <w:trPr>
          <w:trHeight w:val="300"/>
        </w:trPr>
        <w:tc>
          <w:tcPr>
            <w:tcW w:w="2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color w:val="000000"/>
                <w:lang w:eastAsia="es-ES"/>
              </w:rPr>
            </w:pPr>
            <w:r w:rsidRPr="00EC102B">
              <w:rPr>
                <w:rFonts w:eastAsia="Times New Roman" w:cs="Calibri"/>
                <w:color w:val="000000"/>
                <w:lang w:eastAsia="es-ES"/>
              </w:rPr>
              <w:t>15.001-18.000€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color w:val="000000"/>
                <w:lang w:eastAsia="es-ES"/>
              </w:rPr>
            </w:pPr>
            <w:r w:rsidRPr="00EC102B">
              <w:rPr>
                <w:rFonts w:eastAsia="Times New Roman" w:cs="Calibri"/>
                <w:color w:val="000000"/>
                <w:lang w:eastAsia="es-ES"/>
              </w:rPr>
              <w:t>88%</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color w:val="000000"/>
                <w:lang w:eastAsia="es-ES"/>
              </w:rPr>
            </w:pPr>
            <w:r w:rsidRPr="00EC102B">
              <w:rPr>
                <w:rFonts w:eastAsia="Times New Roman" w:cs="Calibri"/>
                <w:color w:val="000000"/>
                <w:lang w:eastAsia="es-ES"/>
              </w:rPr>
              <w:t>19.630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22.308</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22.308</w:t>
            </w:r>
          </w:p>
        </w:tc>
      </w:tr>
      <w:tr w:rsidR="00A21DFB" w:rsidRPr="00EC102B" w:rsidTr="0098771A">
        <w:trPr>
          <w:trHeight w:val="30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color w:val="000000"/>
                <w:lang w:eastAsia="es-ES"/>
              </w:rPr>
            </w:pPr>
            <w:r w:rsidRPr="00EC102B">
              <w:rPr>
                <w:rFonts w:eastAsia="Times New Roman" w:cs="Calibri"/>
                <w:color w:val="000000"/>
                <w:lang w:eastAsia="es-ES"/>
              </w:rPr>
              <w:t>18.001-25.000€</w:t>
            </w:r>
          </w:p>
        </w:tc>
        <w:tc>
          <w:tcPr>
            <w:tcW w:w="710" w:type="dxa"/>
            <w:tcBorders>
              <w:top w:val="nil"/>
              <w:left w:val="nil"/>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color w:val="000000"/>
                <w:lang w:eastAsia="es-ES"/>
              </w:rPr>
            </w:pPr>
            <w:r w:rsidRPr="00EC102B">
              <w:rPr>
                <w:rFonts w:eastAsia="Times New Roman" w:cs="Calibri"/>
                <w:color w:val="000000"/>
                <w:lang w:eastAsia="es-ES"/>
              </w:rPr>
              <w:t>77%</w:t>
            </w:r>
          </w:p>
        </w:tc>
        <w:tc>
          <w:tcPr>
            <w:tcW w:w="851" w:type="dxa"/>
            <w:tcBorders>
              <w:top w:val="nil"/>
              <w:left w:val="nil"/>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color w:val="000000"/>
                <w:lang w:eastAsia="es-ES"/>
              </w:rPr>
            </w:pPr>
            <w:r w:rsidRPr="00EC102B">
              <w:rPr>
                <w:rFonts w:eastAsia="Times New Roman" w:cs="Calibri"/>
                <w:color w:val="000000"/>
                <w:lang w:eastAsia="es-ES"/>
              </w:rPr>
              <w:t>17.177</w:t>
            </w:r>
          </w:p>
        </w:tc>
        <w:tc>
          <w:tcPr>
            <w:tcW w:w="709" w:type="dxa"/>
            <w:tcBorders>
              <w:top w:val="nil"/>
              <w:left w:val="nil"/>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color w:val="000000"/>
                <w:lang w:eastAsia="es-ES"/>
              </w:rPr>
            </w:pPr>
            <w:r w:rsidRPr="00EC102B">
              <w:rPr>
                <w:rFonts w:eastAsia="Times New Roman" w:cs="Calibri"/>
                <w:color w:val="000000"/>
                <w:lang w:eastAsia="es-ES"/>
              </w:rPr>
              <w:t>83%</w:t>
            </w:r>
          </w:p>
        </w:tc>
        <w:tc>
          <w:tcPr>
            <w:tcW w:w="850" w:type="dxa"/>
            <w:tcBorders>
              <w:top w:val="nil"/>
              <w:left w:val="nil"/>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color w:val="000000"/>
                <w:lang w:eastAsia="es-ES"/>
              </w:rPr>
            </w:pPr>
            <w:r w:rsidRPr="00EC102B">
              <w:rPr>
                <w:rFonts w:eastAsia="Times New Roman" w:cs="Calibri"/>
                <w:color w:val="000000"/>
                <w:lang w:eastAsia="es-ES"/>
              </w:rPr>
              <w:t>18.515</w:t>
            </w:r>
          </w:p>
        </w:tc>
        <w:tc>
          <w:tcPr>
            <w:tcW w:w="709" w:type="dxa"/>
            <w:tcBorders>
              <w:top w:val="nil"/>
              <w:left w:val="nil"/>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100%</w:t>
            </w:r>
          </w:p>
        </w:tc>
        <w:tc>
          <w:tcPr>
            <w:tcW w:w="850" w:type="dxa"/>
            <w:tcBorders>
              <w:top w:val="nil"/>
              <w:left w:val="nil"/>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22.308</w:t>
            </w:r>
          </w:p>
        </w:tc>
      </w:tr>
    </w:tbl>
    <w:p w:rsidR="00A21DFB" w:rsidRPr="00A21DFB" w:rsidRDefault="00A21DFB" w:rsidP="00A21DFB">
      <w:pPr>
        <w:pStyle w:val="Zerrenda-paragrafoa"/>
        <w:spacing w:before="120" w:after="120" w:line="240" w:lineRule="atLeast"/>
        <w:ind w:left="142" w:firstLine="0"/>
        <w:jc w:val="center"/>
        <w:rPr>
          <w:bCs/>
          <w:sz w:val="20"/>
          <w:szCs w:val="20"/>
        </w:rPr>
      </w:pPr>
      <w:r w:rsidRPr="00A21DFB">
        <w:rPr>
          <w:bCs/>
          <w:sz w:val="20"/>
          <w:szCs w:val="20"/>
        </w:rPr>
        <w:t>Tabla 4</w:t>
      </w:r>
    </w:p>
    <w:p w:rsidR="00A21DFB" w:rsidRDefault="00A21DFB" w:rsidP="00A21DFB">
      <w:pPr>
        <w:pStyle w:val="Zerrenda-paragrafoa"/>
        <w:ind w:left="426" w:firstLine="0"/>
        <w:jc w:val="both"/>
      </w:pPr>
    </w:p>
    <w:p w:rsidR="00482668" w:rsidRDefault="00762B21">
      <w:pPr>
        <w:pStyle w:val="Zerrenda-paragrafoa"/>
        <w:numPr>
          <w:ilvl w:val="0"/>
          <w:numId w:val="11"/>
        </w:numPr>
        <w:ind w:left="426"/>
        <w:jc w:val="both"/>
      </w:pPr>
      <w:r>
        <w:t xml:space="preserve">En los casos en que se consiga un ahorro en el consumo de energía primaria no renovable, </w:t>
      </w:r>
      <w:r>
        <w:rPr>
          <w:b/>
          <w:bCs/>
        </w:rPr>
        <w:t>ΔCep,nren ≥60%,</w:t>
      </w:r>
      <w:r>
        <w:t xml:space="preserve"> y considerando 26.750 € como el 100% de la ayuda máxima disponible, </w:t>
      </w:r>
      <w:r w:rsidR="00B76C09">
        <w:t>se aplicará la siguiente Tabla 5</w:t>
      </w:r>
      <w:r>
        <w:t xml:space="preserve"> de Porcentajes y Cuantías totales máximas:</w:t>
      </w:r>
    </w:p>
    <w:p w:rsidR="00A21DFB" w:rsidRDefault="00A21DFB" w:rsidP="00A21DFB">
      <w:pPr>
        <w:pStyle w:val="Zerrenda-paragrafoa"/>
        <w:spacing w:before="120" w:after="120" w:line="240" w:lineRule="atLeast"/>
        <w:ind w:left="1080" w:firstLine="0"/>
        <w:jc w:val="both"/>
      </w:pPr>
    </w:p>
    <w:tbl>
      <w:tblPr>
        <w:tblW w:w="6934" w:type="dxa"/>
        <w:tblInd w:w="1074" w:type="dxa"/>
        <w:tblLayout w:type="fixed"/>
        <w:tblCellMar>
          <w:left w:w="70" w:type="dxa"/>
          <w:right w:w="70" w:type="dxa"/>
        </w:tblCellMar>
        <w:tblLook w:val="04A0"/>
      </w:tblPr>
      <w:tblGrid>
        <w:gridCol w:w="2115"/>
        <w:gridCol w:w="709"/>
        <w:gridCol w:w="850"/>
        <w:gridCol w:w="709"/>
        <w:gridCol w:w="850"/>
        <w:gridCol w:w="709"/>
        <w:gridCol w:w="992"/>
      </w:tblGrid>
      <w:tr w:rsidR="00A21DFB" w:rsidRPr="00EC102B" w:rsidTr="0098771A">
        <w:trPr>
          <w:trHeight w:val="615"/>
        </w:trPr>
        <w:tc>
          <w:tcPr>
            <w:tcW w:w="6934"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 AYUDAS e IMPORTE MÁXIMO SEGÚN NIVELES DE RENTA Y MIEMBROS</w:t>
            </w:r>
            <w:r w:rsidRPr="00EC102B">
              <w:rPr>
                <w:rFonts w:eastAsia="Times New Roman" w:cs="Calibri"/>
                <w:b/>
                <w:bCs/>
                <w:color w:val="000000"/>
                <w:lang w:eastAsia="es-ES"/>
              </w:rPr>
              <w:br/>
              <w:t>60% ≤ ΔCep,nrenv</w:t>
            </w:r>
          </w:p>
        </w:tc>
      </w:tr>
      <w:tr w:rsidR="00A21DFB" w:rsidRPr="00EC102B" w:rsidTr="0098771A">
        <w:trPr>
          <w:trHeight w:val="300"/>
        </w:trPr>
        <w:tc>
          <w:tcPr>
            <w:tcW w:w="2115" w:type="dxa"/>
            <w:vMerge w:val="restart"/>
            <w:tcBorders>
              <w:top w:val="nil"/>
              <w:left w:val="single" w:sz="4" w:space="0" w:color="auto"/>
              <w:bottom w:val="single" w:sz="4" w:space="0" w:color="000000"/>
              <w:right w:val="single" w:sz="4" w:space="0" w:color="auto"/>
            </w:tcBorders>
            <w:shd w:val="clear" w:color="auto" w:fill="F2F2F2" w:themeFill="background1" w:themeFillShade="F2"/>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INGRESOS BRUTOS de la Unidad Conv</w:t>
            </w:r>
            <w:r w:rsidRPr="00EC102B">
              <w:rPr>
                <w:rFonts w:eastAsia="Times New Roman" w:cs="Calibri"/>
                <w:b/>
                <w:bCs/>
                <w:color w:val="000000"/>
                <w:lang w:eastAsia="es-ES"/>
              </w:rPr>
              <w:t>i</w:t>
            </w:r>
            <w:r w:rsidRPr="00EC102B">
              <w:rPr>
                <w:rFonts w:eastAsia="Times New Roman" w:cs="Calibri"/>
                <w:b/>
                <w:bCs/>
                <w:color w:val="000000"/>
                <w:lang w:eastAsia="es-ES"/>
              </w:rPr>
              <w:t>vencial</w:t>
            </w:r>
          </w:p>
        </w:tc>
        <w:tc>
          <w:tcPr>
            <w:tcW w:w="4819" w:type="dxa"/>
            <w:gridSpan w:val="6"/>
            <w:tcBorders>
              <w:top w:val="nil"/>
              <w:left w:val="nil"/>
              <w:bottom w:val="single" w:sz="4" w:space="0" w:color="auto"/>
              <w:right w:val="single" w:sz="4" w:space="0" w:color="auto"/>
            </w:tcBorders>
            <w:shd w:val="clear" w:color="auto" w:fill="F2F2F2" w:themeFill="background1" w:themeFillShade="F2"/>
            <w:vAlign w:val="bottom"/>
            <w:hideMark/>
          </w:tcPr>
          <w:p w:rsidR="00A21DFB" w:rsidRDefault="00A21DFB" w:rsidP="00A21DFB">
            <w:pPr>
              <w:suppressAutoHyphens w:val="0"/>
              <w:ind w:firstLine="0"/>
              <w:jc w:val="center"/>
              <w:rPr>
                <w:rFonts w:eastAsia="Times New Roman" w:cs="Calibri"/>
                <w:b/>
                <w:bCs/>
                <w:color w:val="000000"/>
                <w:lang w:eastAsia="es-ES"/>
              </w:rPr>
            </w:pPr>
            <w:r>
              <w:rPr>
                <w:rFonts w:eastAsia="Times New Roman" w:cs="Calibri"/>
                <w:b/>
                <w:bCs/>
                <w:color w:val="000000"/>
                <w:lang w:eastAsia="es-ES"/>
              </w:rPr>
              <w:t>Ayudas vinculadas a RD 853/2021</w:t>
            </w:r>
          </w:p>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Miembros de la Unidad Convivencial</w:t>
            </w:r>
          </w:p>
        </w:tc>
      </w:tr>
      <w:tr w:rsidR="00A21DFB" w:rsidRPr="00EC102B" w:rsidTr="0098771A">
        <w:trPr>
          <w:trHeight w:val="300"/>
        </w:trPr>
        <w:tc>
          <w:tcPr>
            <w:tcW w:w="2115"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rsidR="00A21DFB" w:rsidRPr="00EC102B" w:rsidRDefault="00A21DFB" w:rsidP="0098771A">
            <w:pPr>
              <w:suppressAutoHyphens w:val="0"/>
              <w:ind w:firstLine="0"/>
              <w:rPr>
                <w:rFonts w:eastAsia="Times New Roman" w:cs="Calibri"/>
                <w:b/>
                <w:bCs/>
                <w:color w:val="000000"/>
                <w:lang w:eastAsia="es-ES"/>
              </w:rPr>
            </w:pPr>
          </w:p>
        </w:tc>
        <w:tc>
          <w:tcPr>
            <w:tcW w:w="1559" w:type="dxa"/>
            <w:gridSpan w:val="2"/>
            <w:tcBorders>
              <w:top w:val="single" w:sz="4" w:space="0" w:color="auto"/>
              <w:left w:val="nil"/>
              <w:bottom w:val="single" w:sz="4" w:space="0" w:color="auto"/>
              <w:right w:val="single" w:sz="4" w:space="0" w:color="auto"/>
            </w:tcBorders>
            <w:shd w:val="clear" w:color="auto" w:fill="F2F2F2" w:themeFill="background1" w:themeFillShade="F2"/>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w:t>
            </w:r>
          </w:p>
        </w:tc>
        <w:tc>
          <w:tcPr>
            <w:tcW w:w="1559" w:type="dxa"/>
            <w:gridSpan w:val="2"/>
            <w:tcBorders>
              <w:top w:val="single" w:sz="4" w:space="0" w:color="auto"/>
              <w:left w:val="nil"/>
              <w:bottom w:val="single" w:sz="4" w:space="0" w:color="auto"/>
              <w:right w:val="single" w:sz="4" w:space="0" w:color="auto"/>
            </w:tcBorders>
            <w:shd w:val="clear" w:color="auto" w:fill="F2F2F2" w:themeFill="background1" w:themeFillShade="F2"/>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w:t>
            </w:r>
          </w:p>
        </w:tc>
        <w:tc>
          <w:tcPr>
            <w:tcW w:w="1701" w:type="dxa"/>
            <w:gridSpan w:val="2"/>
            <w:tcBorders>
              <w:top w:val="single" w:sz="4" w:space="0" w:color="auto"/>
              <w:left w:val="nil"/>
              <w:bottom w:val="single" w:sz="4" w:space="0" w:color="auto"/>
              <w:right w:val="single" w:sz="4" w:space="0" w:color="auto"/>
            </w:tcBorders>
            <w:shd w:val="clear" w:color="auto" w:fill="F2F2F2" w:themeFill="background1" w:themeFillShade="F2"/>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≥3</w:t>
            </w:r>
          </w:p>
        </w:tc>
      </w:tr>
      <w:tr w:rsidR="00A21DFB" w:rsidRPr="00EC102B" w:rsidTr="0098771A">
        <w:trPr>
          <w:trHeight w:val="300"/>
        </w:trPr>
        <w:tc>
          <w:tcPr>
            <w:tcW w:w="2115"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rsidR="00A21DFB" w:rsidRPr="00EC102B" w:rsidRDefault="00A21DFB" w:rsidP="0098771A">
            <w:pPr>
              <w:suppressAutoHyphens w:val="0"/>
              <w:ind w:firstLine="0"/>
              <w:rPr>
                <w:rFonts w:eastAsia="Times New Roman" w:cs="Calibri"/>
                <w:b/>
                <w:bCs/>
                <w:color w:val="000000"/>
                <w:lang w:eastAsia="es-ES"/>
              </w:rPr>
            </w:pPr>
          </w:p>
        </w:tc>
        <w:tc>
          <w:tcPr>
            <w:tcW w:w="709" w:type="dxa"/>
            <w:tcBorders>
              <w:top w:val="nil"/>
              <w:left w:val="nil"/>
              <w:bottom w:val="single" w:sz="4" w:space="0" w:color="auto"/>
              <w:right w:val="single" w:sz="4" w:space="0" w:color="auto"/>
            </w:tcBorders>
            <w:shd w:val="clear" w:color="auto" w:fill="F2F2F2" w:themeFill="background1" w:themeFillShade="F2"/>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w:t>
            </w:r>
          </w:p>
        </w:tc>
        <w:tc>
          <w:tcPr>
            <w:tcW w:w="850" w:type="dxa"/>
            <w:tcBorders>
              <w:top w:val="nil"/>
              <w:left w:val="nil"/>
              <w:bottom w:val="single" w:sz="4" w:space="0" w:color="auto"/>
              <w:right w:val="single" w:sz="4" w:space="0" w:color="auto"/>
            </w:tcBorders>
            <w:shd w:val="clear" w:color="auto" w:fill="F2F2F2" w:themeFill="background1" w:themeFillShade="F2"/>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Máx.</w:t>
            </w:r>
          </w:p>
        </w:tc>
        <w:tc>
          <w:tcPr>
            <w:tcW w:w="709" w:type="dxa"/>
            <w:tcBorders>
              <w:top w:val="nil"/>
              <w:left w:val="nil"/>
              <w:bottom w:val="single" w:sz="4" w:space="0" w:color="auto"/>
              <w:right w:val="single" w:sz="4" w:space="0" w:color="auto"/>
            </w:tcBorders>
            <w:shd w:val="clear" w:color="auto" w:fill="F2F2F2" w:themeFill="background1" w:themeFillShade="F2"/>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w:t>
            </w:r>
          </w:p>
        </w:tc>
        <w:tc>
          <w:tcPr>
            <w:tcW w:w="850" w:type="dxa"/>
            <w:tcBorders>
              <w:top w:val="nil"/>
              <w:left w:val="nil"/>
              <w:bottom w:val="single" w:sz="4" w:space="0" w:color="auto"/>
              <w:right w:val="single" w:sz="4" w:space="0" w:color="auto"/>
            </w:tcBorders>
            <w:shd w:val="clear" w:color="auto" w:fill="F2F2F2" w:themeFill="background1" w:themeFillShade="F2"/>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Máx.</w:t>
            </w:r>
          </w:p>
        </w:tc>
        <w:tc>
          <w:tcPr>
            <w:tcW w:w="709" w:type="dxa"/>
            <w:tcBorders>
              <w:top w:val="nil"/>
              <w:left w:val="nil"/>
              <w:bottom w:val="single" w:sz="4" w:space="0" w:color="auto"/>
              <w:right w:val="single" w:sz="4" w:space="0" w:color="auto"/>
            </w:tcBorders>
            <w:shd w:val="clear" w:color="auto" w:fill="F2F2F2" w:themeFill="background1" w:themeFillShade="F2"/>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w:t>
            </w:r>
          </w:p>
        </w:tc>
        <w:tc>
          <w:tcPr>
            <w:tcW w:w="992" w:type="dxa"/>
            <w:tcBorders>
              <w:top w:val="nil"/>
              <w:left w:val="nil"/>
              <w:bottom w:val="single" w:sz="4" w:space="0" w:color="auto"/>
              <w:right w:val="single" w:sz="4" w:space="0" w:color="auto"/>
            </w:tcBorders>
            <w:shd w:val="clear" w:color="auto" w:fill="F2F2F2" w:themeFill="background1" w:themeFillShade="F2"/>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Máx.</w:t>
            </w:r>
          </w:p>
        </w:tc>
      </w:tr>
      <w:tr w:rsidR="00A21DFB" w:rsidRPr="00EC102B" w:rsidTr="0098771A">
        <w:trPr>
          <w:trHeight w:val="300"/>
        </w:trPr>
        <w:tc>
          <w:tcPr>
            <w:tcW w:w="2115" w:type="dxa"/>
            <w:tcBorders>
              <w:top w:val="nil"/>
              <w:left w:val="single" w:sz="4" w:space="0" w:color="auto"/>
              <w:bottom w:val="nil"/>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color w:val="000000"/>
                <w:lang w:eastAsia="es-ES"/>
              </w:rPr>
            </w:pPr>
            <w:r w:rsidRPr="00EC102B">
              <w:rPr>
                <w:rFonts w:eastAsia="Times New Roman" w:cs="Calibri"/>
                <w:color w:val="000000"/>
                <w:lang w:eastAsia="es-ES"/>
              </w:rPr>
              <w:t>≤15000</w:t>
            </w:r>
          </w:p>
        </w:tc>
        <w:tc>
          <w:tcPr>
            <w:tcW w:w="709" w:type="dxa"/>
            <w:tcBorders>
              <w:top w:val="nil"/>
              <w:left w:val="nil"/>
              <w:bottom w:val="nil"/>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100%</w:t>
            </w:r>
          </w:p>
        </w:tc>
        <w:tc>
          <w:tcPr>
            <w:tcW w:w="850" w:type="dxa"/>
            <w:tcBorders>
              <w:top w:val="nil"/>
              <w:left w:val="nil"/>
              <w:bottom w:val="nil"/>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26.750</w:t>
            </w:r>
          </w:p>
        </w:tc>
        <w:tc>
          <w:tcPr>
            <w:tcW w:w="709" w:type="dxa"/>
            <w:tcBorders>
              <w:top w:val="nil"/>
              <w:left w:val="nil"/>
              <w:bottom w:val="nil"/>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100%</w:t>
            </w:r>
          </w:p>
        </w:tc>
        <w:tc>
          <w:tcPr>
            <w:tcW w:w="850" w:type="dxa"/>
            <w:tcBorders>
              <w:top w:val="nil"/>
              <w:left w:val="nil"/>
              <w:bottom w:val="nil"/>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26.750</w:t>
            </w:r>
          </w:p>
        </w:tc>
        <w:tc>
          <w:tcPr>
            <w:tcW w:w="709" w:type="dxa"/>
            <w:tcBorders>
              <w:top w:val="nil"/>
              <w:left w:val="nil"/>
              <w:bottom w:val="nil"/>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100%</w:t>
            </w:r>
          </w:p>
        </w:tc>
        <w:tc>
          <w:tcPr>
            <w:tcW w:w="992" w:type="dxa"/>
            <w:tcBorders>
              <w:top w:val="nil"/>
              <w:left w:val="nil"/>
              <w:bottom w:val="nil"/>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26.750</w:t>
            </w:r>
          </w:p>
        </w:tc>
      </w:tr>
      <w:tr w:rsidR="00A21DFB" w:rsidRPr="00EC102B" w:rsidTr="0098771A">
        <w:trPr>
          <w:trHeight w:val="300"/>
        </w:trPr>
        <w:tc>
          <w:tcPr>
            <w:tcW w:w="21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color w:val="000000"/>
                <w:lang w:eastAsia="es-ES"/>
              </w:rPr>
            </w:pPr>
            <w:r w:rsidRPr="00EC102B">
              <w:rPr>
                <w:rFonts w:eastAsia="Times New Roman" w:cs="Calibri"/>
                <w:color w:val="000000"/>
                <w:lang w:eastAsia="es-ES"/>
              </w:rPr>
              <w:t>15.001-18.000€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color w:val="000000"/>
                <w:lang w:eastAsia="es-ES"/>
              </w:rPr>
            </w:pPr>
            <w:r w:rsidRPr="00EC102B">
              <w:rPr>
                <w:rFonts w:eastAsia="Times New Roman" w:cs="Calibri"/>
                <w:color w:val="000000"/>
                <w:lang w:eastAsia="es-ES"/>
              </w:rPr>
              <w:t>93%</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color w:val="000000"/>
                <w:lang w:eastAsia="es-ES"/>
              </w:rPr>
            </w:pPr>
            <w:r w:rsidRPr="00EC102B">
              <w:rPr>
                <w:rFonts w:eastAsia="Times New Roman" w:cs="Calibri"/>
                <w:color w:val="000000"/>
                <w:lang w:eastAsia="es-ES"/>
              </w:rPr>
              <w:t>24.878</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26.750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26.750</w:t>
            </w:r>
          </w:p>
        </w:tc>
      </w:tr>
      <w:tr w:rsidR="00A21DFB" w:rsidRPr="00EC102B" w:rsidTr="0098771A">
        <w:trPr>
          <w:trHeight w:val="300"/>
        </w:trPr>
        <w:tc>
          <w:tcPr>
            <w:tcW w:w="2115" w:type="dxa"/>
            <w:tcBorders>
              <w:top w:val="nil"/>
              <w:left w:val="single" w:sz="4" w:space="0" w:color="auto"/>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color w:val="000000"/>
                <w:lang w:eastAsia="es-ES"/>
              </w:rPr>
            </w:pPr>
            <w:r w:rsidRPr="00EC102B">
              <w:rPr>
                <w:rFonts w:eastAsia="Times New Roman" w:cs="Calibri"/>
                <w:color w:val="000000"/>
                <w:lang w:eastAsia="es-ES"/>
              </w:rPr>
              <w:t>18.001-25.000€</w:t>
            </w:r>
          </w:p>
        </w:tc>
        <w:tc>
          <w:tcPr>
            <w:tcW w:w="709" w:type="dxa"/>
            <w:tcBorders>
              <w:top w:val="nil"/>
              <w:left w:val="nil"/>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color w:val="000000"/>
                <w:lang w:eastAsia="es-ES"/>
              </w:rPr>
            </w:pPr>
            <w:r w:rsidRPr="00EC102B">
              <w:rPr>
                <w:rFonts w:eastAsia="Times New Roman" w:cs="Calibri"/>
                <w:color w:val="000000"/>
                <w:lang w:eastAsia="es-ES"/>
              </w:rPr>
              <w:t>87%</w:t>
            </w:r>
          </w:p>
        </w:tc>
        <w:tc>
          <w:tcPr>
            <w:tcW w:w="850" w:type="dxa"/>
            <w:tcBorders>
              <w:top w:val="nil"/>
              <w:left w:val="nil"/>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color w:val="000000"/>
                <w:lang w:eastAsia="es-ES"/>
              </w:rPr>
            </w:pPr>
            <w:r w:rsidRPr="00EC102B">
              <w:rPr>
                <w:rFonts w:eastAsia="Times New Roman" w:cs="Calibri"/>
                <w:color w:val="000000"/>
                <w:lang w:eastAsia="es-ES"/>
              </w:rPr>
              <w:t>23.273</w:t>
            </w:r>
          </w:p>
        </w:tc>
        <w:tc>
          <w:tcPr>
            <w:tcW w:w="709" w:type="dxa"/>
            <w:tcBorders>
              <w:top w:val="nil"/>
              <w:left w:val="nil"/>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color w:val="000000"/>
                <w:lang w:eastAsia="es-ES"/>
              </w:rPr>
            </w:pPr>
            <w:r w:rsidRPr="00EC102B">
              <w:rPr>
                <w:rFonts w:eastAsia="Times New Roman" w:cs="Calibri"/>
                <w:color w:val="000000"/>
                <w:lang w:eastAsia="es-ES"/>
              </w:rPr>
              <w:t>90%</w:t>
            </w:r>
          </w:p>
        </w:tc>
        <w:tc>
          <w:tcPr>
            <w:tcW w:w="850" w:type="dxa"/>
            <w:tcBorders>
              <w:top w:val="nil"/>
              <w:left w:val="nil"/>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color w:val="000000"/>
                <w:lang w:eastAsia="es-ES"/>
              </w:rPr>
            </w:pPr>
            <w:r w:rsidRPr="00EC102B">
              <w:rPr>
                <w:rFonts w:eastAsia="Times New Roman" w:cs="Calibri"/>
                <w:color w:val="000000"/>
                <w:lang w:eastAsia="es-ES"/>
              </w:rPr>
              <w:t>24.075</w:t>
            </w:r>
          </w:p>
        </w:tc>
        <w:tc>
          <w:tcPr>
            <w:tcW w:w="709" w:type="dxa"/>
            <w:tcBorders>
              <w:top w:val="nil"/>
              <w:left w:val="nil"/>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100%</w:t>
            </w:r>
          </w:p>
        </w:tc>
        <w:tc>
          <w:tcPr>
            <w:tcW w:w="992" w:type="dxa"/>
            <w:tcBorders>
              <w:top w:val="nil"/>
              <w:left w:val="nil"/>
              <w:bottom w:val="single" w:sz="4" w:space="0" w:color="auto"/>
              <w:right w:val="single" w:sz="4" w:space="0" w:color="auto"/>
            </w:tcBorders>
            <w:shd w:val="clear" w:color="auto" w:fill="auto"/>
            <w:noWrap/>
            <w:vAlign w:val="bottom"/>
            <w:hideMark/>
          </w:tcPr>
          <w:p w:rsidR="00A21DFB" w:rsidRPr="00EC102B" w:rsidRDefault="00A21DFB" w:rsidP="0098771A">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26.750</w:t>
            </w:r>
          </w:p>
        </w:tc>
      </w:tr>
    </w:tbl>
    <w:p w:rsidR="00A21DFB" w:rsidRPr="00A21DFB" w:rsidRDefault="00A21DFB" w:rsidP="00A21DFB">
      <w:pPr>
        <w:pStyle w:val="Zerrenda-paragrafoa"/>
        <w:spacing w:before="120" w:after="120" w:line="240" w:lineRule="atLeast"/>
        <w:ind w:left="142" w:firstLine="0"/>
        <w:jc w:val="center"/>
        <w:rPr>
          <w:bCs/>
          <w:sz w:val="20"/>
          <w:szCs w:val="20"/>
        </w:rPr>
      </w:pPr>
      <w:r w:rsidRPr="00A21DFB">
        <w:rPr>
          <w:bCs/>
          <w:sz w:val="20"/>
          <w:szCs w:val="20"/>
        </w:rPr>
        <w:t>Tabla 5</w:t>
      </w:r>
    </w:p>
    <w:p w:rsidR="00482668" w:rsidRDefault="00482668">
      <w:pPr>
        <w:pStyle w:val="Zerrenda-paragrafoa"/>
        <w:ind w:left="0" w:firstLine="426"/>
        <w:jc w:val="both"/>
      </w:pPr>
    </w:p>
    <w:p w:rsidR="00482668" w:rsidRDefault="00482668">
      <w:pPr>
        <w:pStyle w:val="Zerrenda-paragrafoa"/>
        <w:ind w:left="0" w:firstLine="426"/>
        <w:jc w:val="both"/>
      </w:pPr>
    </w:p>
    <w:p w:rsidR="00482668" w:rsidRDefault="00762B21">
      <w:pPr>
        <w:ind w:firstLine="0"/>
        <w:jc w:val="both"/>
      </w:pPr>
      <w:r>
        <w:t xml:space="preserve">Estas ayudas tendrán el carácter de Subvenciones que deberán devolverse en el plazo máximo de 30 años cuando se produzca la transmisión de la vivienda si está se realiza antes del cumplimiento de dicho plazo máximo, tal y como se indica en el </w:t>
      </w:r>
      <w:r w:rsidR="003A65EB">
        <w:t xml:space="preserve">art. </w:t>
      </w:r>
      <w:r w:rsidR="000723F6">
        <w:fldChar w:fldCharType="begin"/>
      </w:r>
      <w:r>
        <w:instrText>REF _Ref108712338 \r \h</w:instrText>
      </w:r>
      <w:r w:rsidR="000723F6">
        <w:fldChar w:fldCharType="separate"/>
      </w:r>
      <w:r w:rsidR="00904A83">
        <w:t>24</w:t>
      </w:r>
      <w:r w:rsidR="000723F6">
        <w:fldChar w:fldCharType="end"/>
      </w:r>
      <w:r w:rsidR="003A65EB">
        <w:t>.</w:t>
      </w:r>
      <w:r>
        <w:t xml:space="preserve"> </w:t>
      </w:r>
      <w:r w:rsidR="000723F6">
        <w:fldChar w:fldCharType="begin"/>
      </w:r>
      <w:r>
        <w:instrText>REF _Ref108604049 \h</w:instrText>
      </w:r>
      <w:r w:rsidR="000723F6">
        <w:fldChar w:fldCharType="separate"/>
      </w:r>
      <w:r w:rsidR="00904A83">
        <w:rPr>
          <w:b/>
        </w:rPr>
        <w:t>REINTEGRO DE LAS AYUDAS POR CRITERIO SOCIAL</w:t>
      </w:r>
      <w:r w:rsidR="000723F6">
        <w:fldChar w:fldCharType="end"/>
      </w:r>
      <w:r>
        <w:t xml:space="preserve"> de estas bases. </w:t>
      </w:r>
    </w:p>
    <w:p w:rsidR="00482668" w:rsidRDefault="00482668">
      <w:pPr>
        <w:jc w:val="both"/>
      </w:pPr>
    </w:p>
    <w:p w:rsidR="007A65F6" w:rsidRDefault="007A65F6">
      <w:pPr>
        <w:jc w:val="both"/>
      </w:pPr>
    </w:p>
    <w:p w:rsidR="00482668" w:rsidRDefault="00762B21">
      <w:pPr>
        <w:pStyle w:val="Zerrenda-paragrafoa"/>
        <w:numPr>
          <w:ilvl w:val="0"/>
          <w:numId w:val="25"/>
        </w:numPr>
        <w:ind w:left="426" w:hanging="426"/>
        <w:jc w:val="both"/>
        <w:outlineLvl w:val="1"/>
      </w:pPr>
      <w:bookmarkStart w:id="126" w:name="_Toc108599911"/>
      <w:bookmarkStart w:id="127" w:name="_Toc108763771"/>
      <w:bookmarkStart w:id="128" w:name="_Toc115897521"/>
      <w:bookmarkStart w:id="129" w:name="_Toc121128543"/>
      <w:r>
        <w:rPr>
          <w:b/>
          <w:bCs/>
        </w:rPr>
        <w:t>AYUDAS A COMUNIDADES DE PROPIETARIOS EN LAS ACTUACIONES DESTINADAS A LA REDUCCIÓN DEL CONSUMO DE ENERGÍA PRIMARIA NO RENOVABLE DEL EDIFICIO</w:t>
      </w:r>
      <w:bookmarkEnd w:id="126"/>
      <w:bookmarkEnd w:id="127"/>
      <w:bookmarkEnd w:id="128"/>
      <w:bookmarkEnd w:id="129"/>
    </w:p>
    <w:p w:rsidR="00482668" w:rsidRDefault="00482668">
      <w:pPr>
        <w:pStyle w:val="Zerrenda-paragrafoa"/>
        <w:ind w:left="360" w:firstLine="0"/>
        <w:jc w:val="both"/>
        <w:outlineLvl w:val="1"/>
      </w:pPr>
    </w:p>
    <w:p w:rsidR="00482668" w:rsidRDefault="00762B21">
      <w:pPr>
        <w:spacing w:after="240"/>
        <w:ind w:firstLine="0"/>
        <w:jc w:val="both"/>
      </w:pPr>
      <w:r>
        <w:t>La OTGP colaborará con los particulares en la preparación de la documentación necesaria para solicitar la concesión de estas ayudas conforme a estas Bases y al “Programa 1 de ayuda a las actuaciones de rehabilitación a nivel de bar</w:t>
      </w:r>
      <w:r w:rsidR="003A65EB">
        <w:t>rio” del Real Decreto 853/2021.</w:t>
      </w:r>
    </w:p>
    <w:p w:rsidR="00482668" w:rsidRDefault="00762B21">
      <w:pPr>
        <w:spacing w:after="240"/>
        <w:ind w:firstLine="0"/>
        <w:jc w:val="both"/>
      </w:pPr>
      <w:r>
        <w:t xml:space="preserve">Se incluirán todas aquellas actuaciones que se destinen a conseguir la reducción de la demanda energética anual global de calefacción y refrigeración, así como del consumo de energía primaria no renovable, referidas ambas a la certificación energética, descritas en </w:t>
      </w:r>
      <w:r>
        <w:rPr>
          <w:bCs/>
        </w:rPr>
        <w:t xml:space="preserve">el punto </w:t>
      </w:r>
      <w:r w:rsidR="000723F6">
        <w:rPr>
          <w:bCs/>
        </w:rPr>
        <w:fldChar w:fldCharType="begin"/>
      </w:r>
      <w:r>
        <w:rPr>
          <w:bCs/>
        </w:rPr>
        <w:instrText>REF _Ref108600316 \r \h</w:instrText>
      </w:r>
      <w:r w:rsidR="000723F6">
        <w:rPr>
          <w:bCs/>
        </w:rPr>
      </w:r>
      <w:r w:rsidR="000723F6">
        <w:rPr>
          <w:bCs/>
        </w:rPr>
        <w:fldChar w:fldCharType="separate"/>
      </w:r>
      <w:r w:rsidR="00904A83">
        <w:rPr>
          <w:bCs/>
        </w:rPr>
        <w:t>a</w:t>
      </w:r>
      <w:r w:rsidR="000723F6">
        <w:rPr>
          <w:bCs/>
        </w:rPr>
        <w:fldChar w:fldCharType="end"/>
      </w:r>
      <w:r>
        <w:rPr>
          <w:bCs/>
        </w:rPr>
        <w:t xml:space="preserve"> del </w:t>
      </w:r>
      <w:r w:rsidR="000723F6">
        <w:rPr>
          <w:bCs/>
        </w:rPr>
        <w:fldChar w:fldCharType="begin"/>
      </w:r>
      <w:r>
        <w:rPr>
          <w:bCs/>
        </w:rPr>
        <w:instrText>REF _Ref507957007 \r \h</w:instrText>
      </w:r>
      <w:r w:rsidR="000723F6">
        <w:rPr>
          <w:bCs/>
        </w:rPr>
      </w:r>
      <w:r w:rsidR="000723F6">
        <w:rPr>
          <w:bCs/>
        </w:rPr>
        <w:fldChar w:fldCharType="separate"/>
      </w:r>
      <w:r w:rsidR="00904A83">
        <w:rPr>
          <w:bCs/>
        </w:rPr>
        <w:t>4</w:t>
      </w:r>
      <w:r w:rsidR="000723F6">
        <w:rPr>
          <w:bCs/>
        </w:rPr>
        <w:fldChar w:fldCharType="end"/>
      </w:r>
      <w:r>
        <w:rPr>
          <w:bCs/>
        </w:rPr>
        <w:t xml:space="preserve"> </w:t>
      </w:r>
      <w:r w:rsidR="000723F6">
        <w:fldChar w:fldCharType="begin"/>
      </w:r>
      <w:r>
        <w:instrText>REF _Ref507957007 \h</w:instrText>
      </w:r>
      <w:r w:rsidR="000723F6">
        <w:fldChar w:fldCharType="separate"/>
      </w:r>
      <w:r w:rsidR="00904A83">
        <w:rPr>
          <w:b/>
        </w:rPr>
        <w:t>ACTUACIONES QUE SE DEBEN CONSIDERAR EN LA REHABILITACIÓN ENERGÉTICA EFICIENTE</w:t>
      </w:r>
      <w:r w:rsidR="000723F6">
        <w:fldChar w:fldCharType="end"/>
      </w:r>
      <w:r>
        <w:rPr>
          <w:bCs/>
        </w:rPr>
        <w:t>, de estas Bases.</w:t>
      </w:r>
    </w:p>
    <w:p w:rsidR="00482668" w:rsidRDefault="00762B21">
      <w:pPr>
        <w:pStyle w:val="Zerrenda-paragrafoa"/>
        <w:spacing w:after="240"/>
        <w:ind w:left="0" w:firstLine="0"/>
        <w:jc w:val="both"/>
      </w:pPr>
      <w:bookmarkStart w:id="130" w:name="_Hlk99617069"/>
      <w:bookmarkEnd w:id="130"/>
      <w:r>
        <w:t xml:space="preserve">La cuantía máxima de la subvención a conceder por edificio no podrá superar los límites siguientes: </w:t>
      </w:r>
    </w:p>
    <w:p w:rsidR="00482668" w:rsidRDefault="00482668">
      <w:pPr>
        <w:pStyle w:val="Zerrenda-paragrafoa"/>
        <w:spacing w:after="240"/>
        <w:ind w:left="0" w:firstLine="426"/>
        <w:jc w:val="both"/>
      </w:pPr>
    </w:p>
    <w:p w:rsidR="00482668" w:rsidRDefault="00762B21">
      <w:pPr>
        <w:pStyle w:val="Zerrenda-paragrafoa"/>
        <w:numPr>
          <w:ilvl w:val="0"/>
          <w:numId w:val="37"/>
        </w:numPr>
        <w:spacing w:after="240"/>
        <w:jc w:val="both"/>
      </w:pPr>
      <w:bookmarkStart w:id="131" w:name="_Hlk99020168"/>
      <w:r>
        <w:t xml:space="preserve">La cantidad </w:t>
      </w:r>
      <w:bookmarkEnd w:id="131"/>
      <w:r>
        <w:t xml:space="preserve">obtenida de multiplicar el porcentaje máximo establecido en la </w:t>
      </w:r>
      <w:r w:rsidR="00B76C09">
        <w:rPr>
          <w:b/>
          <w:bCs/>
        </w:rPr>
        <w:t>Tabla 6</w:t>
      </w:r>
      <w:r>
        <w:rPr>
          <w:b/>
          <w:bCs/>
        </w:rPr>
        <w:t xml:space="preserve"> </w:t>
      </w:r>
      <w:r>
        <w:t xml:space="preserve">por el coste de las actuaciones subvencionables. </w:t>
      </w:r>
    </w:p>
    <w:p w:rsidR="00482668" w:rsidRDefault="00482668">
      <w:pPr>
        <w:pStyle w:val="Zerrenda-paragrafoa"/>
        <w:spacing w:after="240"/>
        <w:ind w:left="0" w:hanging="77"/>
        <w:jc w:val="both"/>
      </w:pPr>
    </w:p>
    <w:p w:rsidR="00482668" w:rsidRDefault="00762B21">
      <w:pPr>
        <w:pStyle w:val="Zerrenda-paragrafoa"/>
        <w:numPr>
          <w:ilvl w:val="0"/>
          <w:numId w:val="37"/>
        </w:numPr>
        <w:spacing w:after="240"/>
        <w:jc w:val="both"/>
      </w:pPr>
      <w:r>
        <w:t xml:space="preserve">La cantidad obtenida de multiplicar la cuantía máxima de la ayuda por vivienda, establecida en dicha </w:t>
      </w:r>
      <w:r>
        <w:rPr>
          <w:b/>
          <w:bCs/>
        </w:rPr>
        <w:t xml:space="preserve">Tabla </w:t>
      </w:r>
      <w:r w:rsidR="00B76C09">
        <w:rPr>
          <w:b/>
          <w:bCs/>
        </w:rPr>
        <w:t>6</w:t>
      </w:r>
      <w:r>
        <w:t xml:space="preserve"> por el número de viviendas del edificio, incrementada, en su caso, por la cuantía de ayuda por metro cuadrado de superficie construida sobre rasante de locales comerciales u otros usos distintos al de vivienda, en función del nivel de ahorro en consumo de energía primaria no renovable conseguido mediante la actuación. Para poder computar la cuantía establecida por cada metro cuadrado sobre rasante de uso comercial u otros usos será necesario que los predios correspondientes participen en los costes de ejecución de la actuación.</w:t>
      </w:r>
    </w:p>
    <w:p w:rsidR="00482668" w:rsidRDefault="00482668">
      <w:pPr>
        <w:pStyle w:val="Zerrenda-paragrafoa"/>
        <w:spacing w:after="240"/>
        <w:ind w:left="0" w:firstLine="0"/>
        <w:jc w:val="both"/>
        <w:rPr>
          <w:b/>
          <w:bCs/>
        </w:rPr>
      </w:pPr>
    </w:p>
    <w:p w:rsidR="00482668" w:rsidRDefault="00762B21">
      <w:pPr>
        <w:pStyle w:val="Zerrenda-paragrafoa"/>
        <w:spacing w:after="240"/>
        <w:ind w:left="0" w:firstLine="0"/>
        <w:jc w:val="both"/>
      </w:pPr>
      <w:r>
        <w:rPr>
          <w:noProof/>
          <w:lang w:eastAsia="es-ES"/>
        </w:rPr>
        <w:drawing>
          <wp:inline distT="0" distB="0" distL="0" distR="0">
            <wp:extent cx="5760720" cy="1223645"/>
            <wp:effectExtent l="0" t="0" r="0" b="0"/>
            <wp:docPr id="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6"/>
                    <pic:cNvPicPr>
                      <a:picLocks noChangeAspect="1" noChangeArrowheads="1"/>
                    </pic:cNvPicPr>
                  </pic:nvPicPr>
                  <pic:blipFill>
                    <a:blip r:embed="rId10" cstate="print"/>
                    <a:stretch>
                      <a:fillRect/>
                    </a:stretch>
                  </pic:blipFill>
                  <pic:spPr bwMode="auto">
                    <a:xfrm>
                      <a:off x="0" y="0"/>
                      <a:ext cx="5760720" cy="1223645"/>
                    </a:xfrm>
                    <a:prstGeom prst="rect">
                      <a:avLst/>
                    </a:prstGeom>
                  </pic:spPr>
                </pic:pic>
              </a:graphicData>
            </a:graphic>
          </wp:inline>
        </w:drawing>
      </w:r>
    </w:p>
    <w:p w:rsidR="00482668" w:rsidRPr="00E84F85" w:rsidRDefault="006F55FD" w:rsidP="00E84F85">
      <w:pPr>
        <w:pStyle w:val="Zerrenda-paragrafoa"/>
        <w:spacing w:after="240"/>
        <w:ind w:left="1416" w:hanging="708"/>
        <w:jc w:val="center"/>
        <w:rPr>
          <w:bCs/>
          <w:sz w:val="20"/>
          <w:szCs w:val="20"/>
        </w:rPr>
      </w:pPr>
      <w:r w:rsidRPr="00E84F85">
        <w:rPr>
          <w:bCs/>
          <w:sz w:val="20"/>
          <w:szCs w:val="20"/>
        </w:rPr>
        <w:t>Tabla</w:t>
      </w:r>
      <w:r w:rsidR="00B76C09" w:rsidRPr="00E84F85">
        <w:rPr>
          <w:bCs/>
          <w:sz w:val="20"/>
          <w:szCs w:val="20"/>
        </w:rPr>
        <w:t xml:space="preserve"> 6</w:t>
      </w:r>
    </w:p>
    <w:p w:rsidR="00482668" w:rsidRDefault="00482668">
      <w:pPr>
        <w:pStyle w:val="Zerrenda-paragrafoa"/>
        <w:spacing w:after="240"/>
        <w:ind w:left="0" w:firstLine="0"/>
        <w:jc w:val="both"/>
      </w:pPr>
    </w:p>
    <w:p w:rsidR="00482668" w:rsidRDefault="00762B21">
      <w:pPr>
        <w:pStyle w:val="Zerrenda-paragrafoa"/>
        <w:spacing w:after="240"/>
        <w:ind w:left="0" w:firstLine="0"/>
        <w:jc w:val="both"/>
      </w:pPr>
      <w:bookmarkStart w:id="132" w:name="_Hlk98954819"/>
      <w:bookmarkEnd w:id="132"/>
      <w:r>
        <w:t>Para la determinación de las cuantías máximas de ayuda indicadas, podrán considerarse todos los costes debidamente acreditados e indicados en el</w:t>
      </w:r>
      <w:r>
        <w:rPr>
          <w:b/>
          <w:bCs/>
        </w:rPr>
        <w:t xml:space="preserve"> </w:t>
      </w:r>
      <w:r w:rsidR="000723F6">
        <w:rPr>
          <w:bCs/>
        </w:rPr>
        <w:fldChar w:fldCharType="begin"/>
      </w:r>
      <w:r>
        <w:rPr>
          <w:bCs/>
        </w:rPr>
        <w:instrText>REF _Ref108712546 \r \h</w:instrText>
      </w:r>
      <w:r w:rsidR="000723F6">
        <w:rPr>
          <w:bCs/>
        </w:rPr>
      </w:r>
      <w:r w:rsidR="000723F6">
        <w:rPr>
          <w:bCs/>
        </w:rPr>
        <w:fldChar w:fldCharType="separate"/>
      </w:r>
      <w:r w:rsidR="00904A83">
        <w:rPr>
          <w:bCs/>
        </w:rPr>
        <w:t>15</w:t>
      </w:r>
      <w:r w:rsidR="000723F6">
        <w:rPr>
          <w:bCs/>
        </w:rPr>
        <w:fldChar w:fldCharType="end"/>
      </w:r>
      <w:r>
        <w:rPr>
          <w:b/>
          <w:bCs/>
        </w:rPr>
        <w:t xml:space="preserve"> </w:t>
      </w:r>
      <w:r w:rsidR="000723F6">
        <w:fldChar w:fldCharType="begin"/>
      </w:r>
      <w:r>
        <w:instrText>REF _Ref108600681 \h</w:instrText>
      </w:r>
      <w:r w:rsidR="000723F6">
        <w:fldChar w:fldCharType="separate"/>
      </w:r>
      <w:r w:rsidR="00904A83">
        <w:rPr>
          <w:b/>
        </w:rPr>
        <w:t>CONSIDERACIONES GENERALES</w:t>
      </w:r>
      <w:r w:rsidR="000723F6">
        <w:fldChar w:fldCharType="end"/>
      </w:r>
      <w:r>
        <w:t xml:space="preserve"> incluyendo el IVA o el impuesto indirecto equivalente cuando no puedan ser susceptibles de recuperación o compensación total o parcial. </w:t>
      </w:r>
      <w:bookmarkStart w:id="133" w:name="_Hlk98955262"/>
      <w:bookmarkEnd w:id="133"/>
    </w:p>
    <w:p w:rsidR="00482668" w:rsidRDefault="00482668">
      <w:pPr>
        <w:pStyle w:val="Zerrenda-paragrafoa"/>
        <w:spacing w:after="240"/>
        <w:ind w:left="0" w:firstLine="426"/>
        <w:jc w:val="both"/>
      </w:pPr>
    </w:p>
    <w:p w:rsidR="00482668" w:rsidRDefault="00762B21">
      <w:pPr>
        <w:pStyle w:val="Zerrenda-paragrafoa"/>
        <w:spacing w:before="240" w:after="240"/>
        <w:ind w:left="0" w:firstLine="0"/>
        <w:jc w:val="both"/>
      </w:pPr>
      <w:r>
        <w:t xml:space="preserve">La sustitución de las calderas individuales existentes por otras de gas natural de alto rendimiento o de otra fuente de energía no renovable no </w:t>
      </w:r>
      <w:r w:rsidR="006F55FD">
        <w:t>podrá</w:t>
      </w:r>
      <w:r>
        <w:t xml:space="preserve"> subvencionarse con fondos procedentes del Real Decreto 853/2021, si bien se computará su aporte al ahorro de energía obtenido mediante la certificación energética del edificio una vez rehabilitado. </w:t>
      </w:r>
    </w:p>
    <w:p w:rsidR="00482668" w:rsidRDefault="00482668">
      <w:pPr>
        <w:pStyle w:val="Zerrenda-paragrafoa"/>
        <w:spacing w:before="240" w:after="240"/>
        <w:ind w:left="0" w:firstLine="426"/>
        <w:jc w:val="both"/>
      </w:pPr>
    </w:p>
    <w:p w:rsidR="00482668" w:rsidRDefault="00482668">
      <w:pPr>
        <w:pStyle w:val="Zerrenda-paragrafoa"/>
        <w:tabs>
          <w:tab w:val="left" w:pos="1134"/>
        </w:tabs>
        <w:spacing w:after="240"/>
        <w:ind w:left="792" w:firstLine="0"/>
        <w:jc w:val="both"/>
        <w:rPr>
          <w:b/>
          <w:bCs/>
        </w:rPr>
      </w:pPr>
    </w:p>
    <w:p w:rsidR="00482668" w:rsidRDefault="00762B21" w:rsidP="00B76C09">
      <w:pPr>
        <w:pStyle w:val="Zerrenda-paragrafoa"/>
        <w:numPr>
          <w:ilvl w:val="0"/>
          <w:numId w:val="25"/>
        </w:numPr>
        <w:ind w:left="708" w:hanging="708"/>
        <w:jc w:val="both"/>
        <w:outlineLvl w:val="1"/>
      </w:pPr>
      <w:bookmarkStart w:id="134" w:name="_Toc108599912"/>
      <w:bookmarkStart w:id="135" w:name="_Toc108763772"/>
      <w:bookmarkStart w:id="136" w:name="_Toc115897522"/>
      <w:bookmarkStart w:id="137" w:name="_Toc121128544"/>
      <w:r>
        <w:rPr>
          <w:b/>
          <w:bCs/>
        </w:rPr>
        <w:t>AYUDAS A COMUNIDADES DE PROPIETARIOS EN LA RETIRADA, MANIPULACIÓN, TRANSPORTE Y GESTIÓN DE RESIDUOS DE AMIANTO</w:t>
      </w:r>
      <w:bookmarkStart w:id="138" w:name="_Hlk99020930"/>
      <w:bookmarkEnd w:id="134"/>
      <w:bookmarkEnd w:id="135"/>
      <w:bookmarkEnd w:id="136"/>
      <w:bookmarkEnd w:id="138"/>
      <w:bookmarkEnd w:id="137"/>
    </w:p>
    <w:p w:rsidR="00482668" w:rsidRDefault="00482668">
      <w:pPr>
        <w:tabs>
          <w:tab w:val="left" w:pos="1134"/>
        </w:tabs>
        <w:spacing w:after="240"/>
        <w:jc w:val="both"/>
      </w:pPr>
    </w:p>
    <w:p w:rsidR="00482668" w:rsidRDefault="00762B21">
      <w:pPr>
        <w:tabs>
          <w:tab w:val="left" w:pos="1134"/>
        </w:tabs>
        <w:spacing w:after="240"/>
        <w:ind w:firstLine="0"/>
        <w:jc w:val="both"/>
      </w:pPr>
      <w:r>
        <w:t>La OTGP colaborará con los particulares en la preparación de la documentación necesaria para solicitar la concesión de estas ayudas conforme a estas Bases y al</w:t>
      </w:r>
      <w:bookmarkStart w:id="139" w:name="_Hlk101173789"/>
      <w:r>
        <w:t xml:space="preserve"> “Programa 1 de ayuda a las actuaciones de rehabilitación a nivel de barrio” del Real Decreto 853/2021</w:t>
      </w:r>
      <w:bookmarkEnd w:id="139"/>
      <w:r>
        <w:t>.</w:t>
      </w:r>
    </w:p>
    <w:p w:rsidR="00482668" w:rsidRDefault="00762B21">
      <w:pPr>
        <w:tabs>
          <w:tab w:val="left" w:pos="1134"/>
        </w:tabs>
        <w:spacing w:after="240"/>
        <w:ind w:firstLine="0"/>
        <w:jc w:val="both"/>
      </w:pPr>
      <w:r>
        <w:t xml:space="preserve">Se incluirán todas aquellas actuaciones que se destinen a realizar la retirada, manipulación, transporte y gestión de residuos de amianto, siempre que se lleven a cabo por empresas especializadas, tal y como se indica en </w:t>
      </w:r>
      <w:r>
        <w:rPr>
          <w:bCs/>
        </w:rPr>
        <w:t>el punto</w:t>
      </w:r>
      <w:r>
        <w:rPr>
          <w:b/>
          <w:bCs/>
        </w:rPr>
        <w:t xml:space="preserve"> </w:t>
      </w:r>
      <w:r w:rsidR="000723F6">
        <w:rPr>
          <w:bCs/>
        </w:rPr>
        <w:fldChar w:fldCharType="begin"/>
      </w:r>
      <w:r>
        <w:rPr>
          <w:bCs/>
        </w:rPr>
        <w:instrText>REF _Ref108600931 \r \h</w:instrText>
      </w:r>
      <w:r w:rsidR="000723F6">
        <w:rPr>
          <w:bCs/>
        </w:rPr>
      </w:r>
      <w:r w:rsidR="000723F6">
        <w:rPr>
          <w:bCs/>
        </w:rPr>
        <w:fldChar w:fldCharType="separate"/>
      </w:r>
      <w:r w:rsidR="00904A83">
        <w:rPr>
          <w:bCs/>
        </w:rPr>
        <w:t>d</w:t>
      </w:r>
      <w:r w:rsidR="000723F6">
        <w:rPr>
          <w:bCs/>
        </w:rPr>
        <w:fldChar w:fldCharType="end"/>
      </w:r>
      <w:r>
        <w:rPr>
          <w:bCs/>
        </w:rPr>
        <w:t xml:space="preserve"> del </w:t>
      </w:r>
      <w:r w:rsidR="003A65EB">
        <w:rPr>
          <w:bCs/>
        </w:rPr>
        <w:t xml:space="preserve">art. </w:t>
      </w:r>
      <w:fldSimple w:instr="REF _Ref507957007 \r \h \* MERGEFORMAT ">
        <w:r w:rsidR="00904A83" w:rsidRPr="00904A83">
          <w:rPr>
            <w:bCs/>
          </w:rPr>
          <w:t>4</w:t>
        </w:r>
      </w:fldSimple>
      <w:r w:rsidR="003A65EB" w:rsidRPr="007A65F6">
        <w:rPr>
          <w:bCs/>
        </w:rPr>
        <w:t>.</w:t>
      </w:r>
      <w:r w:rsidRPr="007A65F6">
        <w:rPr>
          <w:bCs/>
        </w:rPr>
        <w:t xml:space="preserve"> </w:t>
      </w:r>
      <w:fldSimple w:instr="REF _Ref507957007 \h \* MERGEFORMAT ">
        <w:r w:rsidR="00904A83" w:rsidRPr="00904A83">
          <w:t>ACTUACIONES QUE SE DEBEN CONSIDERAR EN LA REHABILITACIÓN ENERGÉTICA EFICIENTE</w:t>
        </w:r>
      </w:fldSimple>
      <w:r>
        <w:rPr>
          <w:bCs/>
        </w:rPr>
        <w:t xml:space="preserve"> </w:t>
      </w:r>
      <w:r>
        <w:t>de estas Bases.</w:t>
      </w:r>
    </w:p>
    <w:p w:rsidR="00482668" w:rsidRDefault="00762B21">
      <w:pPr>
        <w:tabs>
          <w:tab w:val="left" w:pos="1134"/>
        </w:tabs>
        <w:spacing w:after="240"/>
        <w:ind w:firstLine="0"/>
        <w:jc w:val="both"/>
      </w:pPr>
      <w:bookmarkStart w:id="140" w:name="_Hlk99619362"/>
      <w:bookmarkEnd w:id="140"/>
      <w:r>
        <w:t xml:space="preserve">En aquellos casos en los que haya que proceder a la retirada de elementos con amianto, podrá incrementarse la cuantía máxima de la ayuda en la cantidad correspondiente a los costes debidos a la retirada, la manipulación, el transporte y la gestión de los residuos de amianto mediante empresas </w:t>
      </w:r>
      <w:r>
        <w:lastRenderedPageBreak/>
        <w:t>autorizadas, hasta un máximo de 1.000 euros por vivienda o 12.000 euros por edificio objeto de rehabilitación.</w:t>
      </w:r>
      <w:bookmarkStart w:id="141" w:name="_Hlk99622522"/>
      <w:bookmarkEnd w:id="141"/>
    </w:p>
    <w:p w:rsidR="00482668" w:rsidRDefault="00482668">
      <w:pPr>
        <w:ind w:firstLine="0"/>
        <w:jc w:val="both"/>
      </w:pPr>
    </w:p>
    <w:p w:rsidR="00482668" w:rsidRDefault="00762B21">
      <w:pPr>
        <w:pStyle w:val="Zerrenda-paragrafoa"/>
        <w:numPr>
          <w:ilvl w:val="0"/>
          <w:numId w:val="25"/>
        </w:numPr>
        <w:ind w:left="426" w:hanging="426"/>
        <w:jc w:val="both"/>
        <w:outlineLvl w:val="1"/>
      </w:pPr>
      <w:bookmarkStart w:id="142" w:name="_Ref108605628"/>
      <w:bookmarkStart w:id="143" w:name="_Ref108605561"/>
      <w:bookmarkStart w:id="144" w:name="_Toc115897523"/>
      <w:bookmarkStart w:id="145" w:name="_Toc121128545"/>
      <w:r>
        <w:rPr>
          <w:b/>
          <w:bCs/>
        </w:rPr>
        <w:t>ESTUDIOS PREVIOS Y PROYECTOS TÉCNICOS</w:t>
      </w:r>
      <w:bookmarkEnd w:id="142"/>
      <w:bookmarkEnd w:id="143"/>
      <w:bookmarkEnd w:id="144"/>
      <w:bookmarkEnd w:id="145"/>
    </w:p>
    <w:p w:rsidR="00482668" w:rsidRDefault="00482668">
      <w:pPr>
        <w:pStyle w:val="Zerrenda-paragrafoa"/>
        <w:ind w:left="360" w:firstLine="0"/>
        <w:jc w:val="both"/>
      </w:pPr>
    </w:p>
    <w:p w:rsidR="00482668" w:rsidRDefault="00762B21">
      <w:pPr>
        <w:pStyle w:val="Zerrenda-paragrafoa"/>
        <w:ind w:left="0" w:firstLine="0"/>
        <w:jc w:val="both"/>
      </w:pPr>
      <w:r>
        <w:t>En este apartado se consideran subvencionables los siguientes trabajos:</w:t>
      </w:r>
    </w:p>
    <w:p w:rsidR="00482668" w:rsidRDefault="00482668">
      <w:pPr>
        <w:pStyle w:val="Zerrenda-paragrafoa"/>
        <w:ind w:left="360" w:firstLine="0"/>
        <w:jc w:val="both"/>
      </w:pPr>
    </w:p>
    <w:p w:rsidR="00482668" w:rsidRDefault="00762B21">
      <w:pPr>
        <w:pStyle w:val="Zerrenda-paragrafoa"/>
        <w:numPr>
          <w:ilvl w:val="0"/>
          <w:numId w:val="35"/>
        </w:numPr>
        <w:ind w:left="426"/>
        <w:jc w:val="both"/>
      </w:pPr>
      <w:r>
        <w:t>Redacciones de informes técnicos del Edif</w:t>
      </w:r>
      <w:r w:rsidR="003A65EB">
        <w:t>icio ITE y/o libro del edificio.</w:t>
      </w:r>
    </w:p>
    <w:p w:rsidR="00482668" w:rsidRDefault="00762B21">
      <w:pPr>
        <w:pStyle w:val="Zerrenda-paragrafoa"/>
        <w:numPr>
          <w:ilvl w:val="0"/>
          <w:numId w:val="35"/>
        </w:numPr>
        <w:ind w:left="426"/>
        <w:jc w:val="both"/>
      </w:pPr>
      <w:r>
        <w:t>Auditoria Energética y Certificados de Eficiencia Energética</w:t>
      </w:r>
      <w:r w:rsidR="003A65EB">
        <w:t>.</w:t>
      </w:r>
      <w:r>
        <w:t xml:space="preserve"> </w:t>
      </w:r>
    </w:p>
    <w:p w:rsidR="00482668" w:rsidRDefault="00762B21">
      <w:pPr>
        <w:pStyle w:val="Zerrenda-paragrafoa"/>
        <w:numPr>
          <w:ilvl w:val="0"/>
          <w:numId w:val="35"/>
        </w:numPr>
        <w:ind w:left="426"/>
        <w:jc w:val="both"/>
      </w:pPr>
      <w:r>
        <w:t>Anteproyectos previos</w:t>
      </w:r>
      <w:r w:rsidR="003A65EB">
        <w:t>.</w:t>
      </w:r>
    </w:p>
    <w:p w:rsidR="00482668" w:rsidRDefault="00762B21">
      <w:pPr>
        <w:pStyle w:val="Zerrenda-paragrafoa"/>
        <w:numPr>
          <w:ilvl w:val="0"/>
          <w:numId w:val="35"/>
        </w:numPr>
        <w:ind w:left="426"/>
        <w:jc w:val="both"/>
      </w:pPr>
      <w:r>
        <w:t xml:space="preserve">Redacción de Proyectos de Ejecución de rehabilitación integral y Dirección Facultativa de Obra. </w:t>
      </w:r>
    </w:p>
    <w:p w:rsidR="00482668" w:rsidRDefault="00762B21">
      <w:pPr>
        <w:pStyle w:val="Zerrenda-paragrafoa"/>
        <w:numPr>
          <w:ilvl w:val="0"/>
          <w:numId w:val="35"/>
        </w:numPr>
        <w:ind w:left="426"/>
        <w:jc w:val="both"/>
      </w:pPr>
      <w:r>
        <w:t>Otros estudios y trabajos técnicos derivados de ayudas y normativas.</w:t>
      </w:r>
    </w:p>
    <w:p w:rsidR="00482668" w:rsidRDefault="00482668">
      <w:pPr>
        <w:pStyle w:val="Zerrenda-paragrafoa"/>
        <w:ind w:firstLine="0"/>
        <w:jc w:val="both"/>
      </w:pPr>
    </w:p>
    <w:p w:rsidR="00482668" w:rsidRDefault="00762B21">
      <w:pPr>
        <w:ind w:firstLine="0"/>
      </w:pPr>
      <w:r>
        <w:t xml:space="preserve">La cuantía total máxima de las subvenciones para estos estudios previos y proyectos técnicos será: </w:t>
      </w:r>
    </w:p>
    <w:p w:rsidR="00482668" w:rsidRDefault="00482668">
      <w:pPr>
        <w:pStyle w:val="Zerrenda-paragrafoa"/>
        <w:ind w:firstLine="0"/>
      </w:pPr>
    </w:p>
    <w:p w:rsidR="00482668" w:rsidRDefault="00762B21">
      <w:pPr>
        <w:pStyle w:val="Zerrenda-paragrafoa"/>
        <w:numPr>
          <w:ilvl w:val="0"/>
          <w:numId w:val="38"/>
        </w:numPr>
        <w:ind w:left="426"/>
        <w:jc w:val="both"/>
      </w:pPr>
      <w:r>
        <w:t>La cuantía máxima de la subvención para las auditorías energéticas y Anteproyectos previos será del 100% con un límite de 3.500 € (IVA incluido) en las auditorías energéticas y de 15.700 € (IVA incluido) en los Anteproyectos</w:t>
      </w:r>
      <w:r w:rsidR="003A65EB">
        <w:t>.</w:t>
      </w:r>
    </w:p>
    <w:p w:rsidR="00482668" w:rsidRDefault="00482668">
      <w:pPr>
        <w:pStyle w:val="Zerrenda-paragrafoa"/>
        <w:ind w:firstLine="0"/>
        <w:jc w:val="both"/>
      </w:pPr>
    </w:p>
    <w:p w:rsidR="00482668" w:rsidRDefault="00762B21">
      <w:pPr>
        <w:pStyle w:val="Zerrenda-paragrafoa"/>
        <w:numPr>
          <w:ilvl w:val="0"/>
          <w:numId w:val="38"/>
        </w:numPr>
        <w:ind w:left="426"/>
        <w:jc w:val="both"/>
      </w:pPr>
      <w:r>
        <w:t>La cuantía máxima de la subvención para Libros del edificio existente para la rehabilitación:</w:t>
      </w:r>
    </w:p>
    <w:p w:rsidR="00482668" w:rsidRDefault="00762B21">
      <w:pPr>
        <w:pStyle w:val="Zerrenda-paragrafoa"/>
        <w:numPr>
          <w:ilvl w:val="0"/>
          <w:numId w:val="39"/>
        </w:numPr>
        <w:ind w:left="851"/>
        <w:jc w:val="both"/>
      </w:pPr>
      <w:r>
        <w:t>En caso de viviendas unifamiliares y edificios plurifamiliares de hasta 20 viviendas: 700 euros, más una cantidad de 60 euros por vivienda.</w:t>
      </w:r>
    </w:p>
    <w:p w:rsidR="00482668" w:rsidRDefault="00762B21">
      <w:pPr>
        <w:pStyle w:val="Zerrenda-paragrafoa"/>
        <w:numPr>
          <w:ilvl w:val="0"/>
          <w:numId w:val="39"/>
        </w:numPr>
        <w:ind w:left="851"/>
        <w:jc w:val="both"/>
      </w:pPr>
      <w:r>
        <w:t>En caso de edificios plurifamiliares de más de 20 viviendas: 1.100 euros, más una cantidad de 40 euros por vivienda, con una cuantía máxima de subvención de 3.500 euros.</w:t>
      </w:r>
    </w:p>
    <w:p w:rsidR="00482668" w:rsidRDefault="00762B21">
      <w:pPr>
        <w:ind w:left="851" w:firstLine="0"/>
        <w:jc w:val="both"/>
      </w:pPr>
      <w:r>
        <w:t>Si no se dispone de la Inspección Técnica del Edificio, del Informe de Evaluación del Edificio o documento análogo, la ayuda podrá incrementarse hasta en un 50 %.</w:t>
      </w:r>
    </w:p>
    <w:p w:rsidR="00482668" w:rsidRDefault="00482668">
      <w:pPr>
        <w:pStyle w:val="Zerrenda-paragrafoa"/>
        <w:ind w:firstLine="0"/>
        <w:jc w:val="both"/>
      </w:pPr>
    </w:p>
    <w:p w:rsidR="00482668" w:rsidRDefault="00762B21">
      <w:pPr>
        <w:pStyle w:val="Zerrenda-paragrafoa"/>
        <w:numPr>
          <w:ilvl w:val="0"/>
          <w:numId w:val="38"/>
        </w:numPr>
        <w:ind w:left="426"/>
        <w:jc w:val="both"/>
      </w:pPr>
      <w:r>
        <w:t>En el supuesto de proyectos técnicos de rehabilitación integral de edificios:</w:t>
      </w:r>
    </w:p>
    <w:p w:rsidR="00482668" w:rsidRDefault="00762B21">
      <w:pPr>
        <w:pStyle w:val="Zerrenda-paragrafoa"/>
        <w:numPr>
          <w:ilvl w:val="0"/>
          <w:numId w:val="40"/>
        </w:numPr>
        <w:ind w:left="851"/>
        <w:jc w:val="both"/>
      </w:pPr>
      <w:r>
        <w:t>En caso de viviendas unifamiliares y edificios plurifamiliares de hasta 20 viviendas: 4.000 euros, más una cantidad de 700 euros por vivienda.</w:t>
      </w:r>
    </w:p>
    <w:p w:rsidR="00482668" w:rsidRDefault="00762B21">
      <w:pPr>
        <w:pStyle w:val="Zerrenda-paragrafoa"/>
        <w:numPr>
          <w:ilvl w:val="0"/>
          <w:numId w:val="40"/>
        </w:numPr>
        <w:ind w:left="851"/>
        <w:jc w:val="both"/>
      </w:pPr>
      <w:r>
        <w:t>En caso de edificios plurifamiliares de más de 20 viviendas: 12.000 euros, más una cantidad de 300 euros por vivienda, con una cuantía máxima de subvención de 30.000 euros.</w:t>
      </w:r>
    </w:p>
    <w:p w:rsidR="00482668" w:rsidRDefault="00482668">
      <w:pPr>
        <w:pStyle w:val="Zerrenda-paragrafoa"/>
        <w:ind w:firstLine="0"/>
        <w:jc w:val="both"/>
      </w:pPr>
    </w:p>
    <w:p w:rsidR="00482668" w:rsidRDefault="00762B21">
      <w:pPr>
        <w:pStyle w:val="Zerrenda-paragrafoa"/>
        <w:numPr>
          <w:ilvl w:val="0"/>
          <w:numId w:val="38"/>
        </w:numPr>
        <w:ind w:left="426"/>
        <w:jc w:val="both"/>
      </w:pPr>
      <w:r>
        <w:t>En el supuesto de la Dirección Facultativa de Obra  de rehabilitación integral de edificios:</w:t>
      </w:r>
    </w:p>
    <w:p w:rsidR="00482668" w:rsidRDefault="00762B21">
      <w:pPr>
        <w:pStyle w:val="Zerrenda-paragrafoa"/>
        <w:numPr>
          <w:ilvl w:val="0"/>
          <w:numId w:val="41"/>
        </w:numPr>
        <w:ind w:left="851"/>
        <w:jc w:val="both"/>
      </w:pPr>
      <w:r>
        <w:t>En caso de viviendas unifamiliares y edificios plurifamiliares de hasta 20 viviendas: 8.000 euros, más una cantidad de 1.400 euros por vivienda.</w:t>
      </w:r>
    </w:p>
    <w:p w:rsidR="00482668" w:rsidRDefault="00762B21">
      <w:pPr>
        <w:pStyle w:val="Zerrenda-paragrafoa"/>
        <w:numPr>
          <w:ilvl w:val="0"/>
          <w:numId w:val="41"/>
        </w:numPr>
        <w:ind w:left="851"/>
        <w:jc w:val="both"/>
      </w:pPr>
      <w:r>
        <w:t xml:space="preserve"> En caso de edificios plurifamiliares de más de 20 viviendas: 24.000 euros, más una cantidad de 600 euros por vivienda, con una cuantía máxima de subvención de 60.000 euros.</w:t>
      </w:r>
    </w:p>
    <w:p w:rsidR="00482668" w:rsidRDefault="00482668">
      <w:pPr>
        <w:pStyle w:val="Zerrenda-paragrafoa"/>
        <w:ind w:firstLine="0"/>
        <w:jc w:val="both"/>
      </w:pPr>
    </w:p>
    <w:p w:rsidR="00482668" w:rsidRDefault="00762B21">
      <w:pPr>
        <w:pStyle w:val="Zerrenda-paragrafoa"/>
        <w:numPr>
          <w:ilvl w:val="0"/>
          <w:numId w:val="38"/>
        </w:numPr>
        <w:ind w:left="426"/>
        <w:jc w:val="both"/>
      </w:pPr>
      <w:r>
        <w:t>La cuantía de la ayuda no podrá superar en ningún caso el coste total, excluidos los impuestos. No obstante, el IVA o el impuesto indirecto equivalente, podrán ser considerados elegibles siempre y cuando no puedan ser susceptibles de recuperación o compensación total o parcial.</w:t>
      </w:r>
    </w:p>
    <w:p w:rsidR="00482668" w:rsidRDefault="00482668">
      <w:pPr>
        <w:pStyle w:val="Zerrenda-paragrafoa"/>
        <w:ind w:left="426" w:firstLine="0"/>
        <w:jc w:val="both"/>
      </w:pPr>
    </w:p>
    <w:p w:rsidR="00482668" w:rsidRDefault="00762B21">
      <w:pPr>
        <w:pStyle w:val="Zerrenda-paragrafoa"/>
        <w:numPr>
          <w:ilvl w:val="0"/>
          <w:numId w:val="38"/>
        </w:numPr>
        <w:ind w:left="426"/>
        <w:jc w:val="both"/>
      </w:pPr>
      <w:r>
        <w:t>Resultarán subvencionables los documentos redactados posteriormente al 1 de febrero de 2020 siempre que sean o hayan sido aprobados por la Comisión Gestora como se indica en el</w:t>
      </w:r>
      <w:r w:rsidR="003A65EB">
        <w:t xml:space="preserve"> art.</w:t>
      </w:r>
      <w:r>
        <w:t xml:space="preserve"> </w:t>
      </w:r>
      <w:r w:rsidR="000723F6">
        <w:fldChar w:fldCharType="begin"/>
      </w:r>
      <w:r>
        <w:instrText>REF _Ref108118546 \r \h</w:instrText>
      </w:r>
      <w:r w:rsidR="000723F6">
        <w:fldChar w:fldCharType="separate"/>
      </w:r>
      <w:r w:rsidR="00904A83">
        <w:t>13</w:t>
      </w:r>
      <w:r w:rsidR="000723F6">
        <w:fldChar w:fldCharType="end"/>
      </w:r>
      <w:r w:rsidR="003A65EB">
        <w:t>.</w:t>
      </w:r>
      <w:r>
        <w:t xml:space="preserve"> </w:t>
      </w:r>
      <w:r w:rsidR="000723F6">
        <w:fldChar w:fldCharType="begin"/>
      </w:r>
      <w:r>
        <w:instrText>REF _Ref108118546 \h</w:instrText>
      </w:r>
      <w:r w:rsidR="000723F6">
        <w:fldChar w:fldCharType="end"/>
      </w:r>
    </w:p>
    <w:p w:rsidR="00482668" w:rsidRDefault="00482668">
      <w:pPr>
        <w:pStyle w:val="Zerrenda-paragrafoa"/>
        <w:ind w:firstLine="0"/>
        <w:jc w:val="both"/>
      </w:pPr>
    </w:p>
    <w:p w:rsidR="00482668" w:rsidRDefault="00762B21">
      <w:pPr>
        <w:pStyle w:val="Zerrenda-paragrafoa"/>
        <w:ind w:left="0" w:firstLine="0"/>
        <w:jc w:val="both"/>
      </w:pPr>
      <w:r>
        <w:t>A efectos de acreditar la fecha de redacción de documentos, se estará a la primera fecha de entrada en registros oficiales de la documentación objeto de subvención.</w:t>
      </w:r>
    </w:p>
    <w:p w:rsidR="00482668" w:rsidRDefault="00762B21">
      <w:pPr>
        <w:ind w:firstLine="0"/>
      </w:pPr>
      <w:r>
        <w:br w:type="page"/>
      </w:r>
    </w:p>
    <w:p w:rsidR="00482668" w:rsidRDefault="00762B21" w:rsidP="00762B21">
      <w:pPr>
        <w:pStyle w:val="Heading1"/>
        <w:numPr>
          <w:ilvl w:val="0"/>
          <w:numId w:val="0"/>
        </w:numPr>
        <w:ind w:left="1276" w:hanging="1560"/>
      </w:pPr>
      <w:bookmarkStart w:id="146" w:name="_Toc108763778"/>
      <w:bookmarkStart w:id="147" w:name="_Hlk103852533"/>
      <w:bookmarkStart w:id="148" w:name="_Toc108599920"/>
      <w:bookmarkStart w:id="149" w:name="_Toc108763779"/>
      <w:bookmarkStart w:id="150" w:name="_Toc115897524"/>
      <w:bookmarkStart w:id="151" w:name="_Toc121128546"/>
      <w:bookmarkEnd w:id="146"/>
      <w:r>
        <w:rPr>
          <w:color w:val="auto"/>
        </w:rPr>
        <w:lastRenderedPageBreak/>
        <w:t xml:space="preserve">CAPÍTULO IV. </w:t>
      </w:r>
      <w:bookmarkStart w:id="152" w:name="_Hlk99361845"/>
      <w:r>
        <w:rPr>
          <w:color w:val="auto"/>
        </w:rPr>
        <w:t>CONDICIONES</w:t>
      </w:r>
      <w:bookmarkEnd w:id="147"/>
      <w:r>
        <w:rPr>
          <w:color w:val="auto"/>
        </w:rPr>
        <w:t>, SEGUIMIENTO Y REINTEGRO DE LAS SUBVENCIONES</w:t>
      </w:r>
      <w:bookmarkEnd w:id="148"/>
      <w:bookmarkEnd w:id="149"/>
      <w:bookmarkEnd w:id="150"/>
      <w:bookmarkEnd w:id="151"/>
      <w:r>
        <w:rPr>
          <w:color w:val="auto"/>
        </w:rPr>
        <w:t xml:space="preserve"> </w:t>
      </w:r>
      <w:bookmarkStart w:id="153" w:name="_Hlk99102483"/>
      <w:bookmarkEnd w:id="152"/>
      <w:bookmarkEnd w:id="153"/>
    </w:p>
    <w:p w:rsidR="00482668" w:rsidRDefault="00482668">
      <w:pPr>
        <w:jc w:val="both"/>
      </w:pPr>
    </w:p>
    <w:p w:rsidR="00482668" w:rsidRDefault="00762B21">
      <w:pPr>
        <w:pStyle w:val="Zerrenda-paragrafoa"/>
        <w:numPr>
          <w:ilvl w:val="0"/>
          <w:numId w:val="25"/>
        </w:numPr>
        <w:jc w:val="both"/>
        <w:outlineLvl w:val="1"/>
        <w:rPr>
          <w:b/>
        </w:rPr>
      </w:pPr>
      <w:bookmarkStart w:id="154" w:name="_Toc108763780"/>
      <w:bookmarkStart w:id="155" w:name="_Toc115897525"/>
      <w:bookmarkStart w:id="156" w:name="_Toc108599921"/>
      <w:bookmarkStart w:id="157" w:name="_Toc121128547"/>
      <w:r>
        <w:rPr>
          <w:b/>
        </w:rPr>
        <w:t>PIGNORACIÓN O CESIÓN DEL COBRO DE TODAS LAS AYUDAS O SUBVENCIONES</w:t>
      </w:r>
      <w:bookmarkEnd w:id="154"/>
      <w:bookmarkEnd w:id="155"/>
      <w:bookmarkEnd w:id="156"/>
      <w:bookmarkEnd w:id="157"/>
    </w:p>
    <w:p w:rsidR="00482668" w:rsidRDefault="00482668">
      <w:pPr>
        <w:pStyle w:val="Zerrenda-paragrafoa"/>
        <w:ind w:left="1080" w:firstLine="0"/>
        <w:jc w:val="both"/>
        <w:rPr>
          <w:b/>
        </w:rPr>
      </w:pPr>
    </w:p>
    <w:p w:rsidR="00482668" w:rsidRDefault="00762B21">
      <w:pPr>
        <w:pStyle w:val="Zerrenda-paragrafoa"/>
        <w:ind w:left="0" w:firstLine="0"/>
        <w:jc w:val="both"/>
        <w:rPr>
          <w:bCs/>
        </w:rPr>
      </w:pPr>
      <w:r>
        <w:rPr>
          <w:bCs/>
        </w:rPr>
        <w:t xml:space="preserve">En cualquier caso, las comunidades o mancomunidades actuantes abrirán en una entidad financiera una cuenta corriente exclusiva y únicamente destinada al objeto de la rehabilitación eficiente de su edificio, como acto seguido a la toma de decisión al respecto, adoptada con las mayorías previstas en la Ley de Propiedad Horizontal vigente, en una Junta Extraordinaria convocada específicamente a este fin. </w:t>
      </w:r>
    </w:p>
    <w:p w:rsidR="00482668" w:rsidRDefault="00482668">
      <w:pPr>
        <w:pStyle w:val="Zerrenda-paragrafoa"/>
        <w:ind w:left="0" w:firstLine="426"/>
        <w:jc w:val="both"/>
        <w:rPr>
          <w:bCs/>
        </w:rPr>
      </w:pPr>
    </w:p>
    <w:p w:rsidR="00482668" w:rsidRDefault="00762B21">
      <w:pPr>
        <w:pStyle w:val="Zerrenda-paragrafoa"/>
        <w:ind w:left="0" w:firstLine="0"/>
        <w:jc w:val="both"/>
        <w:rPr>
          <w:bCs/>
        </w:rPr>
      </w:pPr>
      <w:r>
        <w:rPr>
          <w:bCs/>
        </w:rPr>
        <w:t>Los beneficiarios de todo tipo de ayudas destinadas a la rehabilitación eficiente de su edificio dispondrán esa cuenta como cuenta de ingreso de las ayudas concedidas, tanto las concedidas a la comunidad o mancomunidad a que pertenezcan, como las concedidas a las personas físicas o a la unidad de convivencia en cuestión.</w:t>
      </w:r>
    </w:p>
    <w:p w:rsidR="00482668" w:rsidRDefault="00482668">
      <w:pPr>
        <w:pStyle w:val="Zerrenda-paragrafoa"/>
        <w:ind w:left="0" w:firstLine="426"/>
        <w:jc w:val="both"/>
        <w:rPr>
          <w:bCs/>
        </w:rPr>
      </w:pPr>
    </w:p>
    <w:p w:rsidR="00482668" w:rsidRDefault="00762B21">
      <w:pPr>
        <w:pStyle w:val="Zerrenda-paragrafoa"/>
        <w:ind w:left="0" w:firstLine="0"/>
        <w:jc w:val="both"/>
        <w:rPr>
          <w:bCs/>
        </w:rPr>
      </w:pPr>
      <w:r>
        <w:rPr>
          <w:bCs/>
        </w:rPr>
        <w:t>En caso de que se obtuviera financiación por parte del beneficiario para la realización de las obras o actuaciones indicadas anteriormente, podrá pignorarse o cederse el derecho al cobro las ayudas o subvenciones recibidas a favor de las entidades financieras acreedoras de la financiación.</w:t>
      </w:r>
    </w:p>
    <w:p w:rsidR="00482668" w:rsidRDefault="00482668">
      <w:pPr>
        <w:pStyle w:val="Zerrenda-paragrafoa"/>
        <w:ind w:left="0" w:firstLine="426"/>
        <w:jc w:val="both"/>
        <w:rPr>
          <w:bCs/>
        </w:rPr>
      </w:pPr>
    </w:p>
    <w:p w:rsidR="00482668" w:rsidRDefault="00762B21">
      <w:pPr>
        <w:pStyle w:val="Zerrenda-paragrafoa"/>
        <w:ind w:left="0" w:firstLine="0"/>
        <w:jc w:val="both"/>
        <w:rPr>
          <w:bCs/>
        </w:rPr>
      </w:pPr>
      <w:r>
        <w:rPr>
          <w:bCs/>
        </w:rPr>
        <w:t>A los efectos anteriores, bastará con que las entidades financieras receptoras de las subvenciones notifiquen la cesión o la pignoración a la Administración concedente, y en esta notificación indiquen la cuenta en la que con carácter irrevocable deben abonarse los importes correspondientes a la ayuda o subvención por parte de dicha Administración, para que la misma se tenga por constituida hasta que reciba confirmación de la cancelación de la financiación por parte de la entidad financiera acreedora correspondiente.</w:t>
      </w:r>
    </w:p>
    <w:p w:rsidR="00482668" w:rsidRDefault="00482668">
      <w:pPr>
        <w:pStyle w:val="Zerrenda-paragrafoa"/>
        <w:ind w:left="0" w:firstLine="426"/>
        <w:jc w:val="both"/>
        <w:rPr>
          <w:bCs/>
        </w:rPr>
      </w:pPr>
    </w:p>
    <w:p w:rsidR="00482668" w:rsidRDefault="00482668">
      <w:pPr>
        <w:pStyle w:val="Zerrenda-paragrafoa"/>
        <w:ind w:left="0" w:firstLine="426"/>
        <w:jc w:val="both"/>
        <w:rPr>
          <w:bCs/>
        </w:rPr>
      </w:pPr>
    </w:p>
    <w:p w:rsidR="00482668" w:rsidRDefault="00762B21">
      <w:pPr>
        <w:pStyle w:val="Zerrenda-paragrafoa"/>
        <w:numPr>
          <w:ilvl w:val="0"/>
          <w:numId w:val="25"/>
        </w:numPr>
        <w:jc w:val="both"/>
        <w:outlineLvl w:val="1"/>
        <w:rPr>
          <w:b/>
          <w:bCs/>
        </w:rPr>
      </w:pPr>
      <w:bookmarkStart w:id="158" w:name="_Ref108118989"/>
      <w:bookmarkStart w:id="159" w:name="_Toc108599923"/>
      <w:bookmarkStart w:id="160" w:name="_Toc108763782"/>
      <w:bookmarkStart w:id="161" w:name="_Toc115897526"/>
      <w:bookmarkStart w:id="162" w:name="_Ref108118985"/>
      <w:bookmarkStart w:id="163" w:name="_Toc121128548"/>
      <w:r>
        <w:rPr>
          <w:b/>
          <w:bCs/>
        </w:rPr>
        <w:t>PREVENCIÓN DEL RIESGO DE FRAUDE, CORRUPCIÓN Y CONFLICTOS DE INTERÉS</w:t>
      </w:r>
      <w:bookmarkEnd w:id="158"/>
      <w:bookmarkEnd w:id="159"/>
      <w:bookmarkEnd w:id="160"/>
      <w:bookmarkEnd w:id="161"/>
      <w:bookmarkEnd w:id="162"/>
      <w:bookmarkEnd w:id="163"/>
    </w:p>
    <w:p w:rsidR="00482668" w:rsidRDefault="00482668">
      <w:pPr>
        <w:pStyle w:val="Zerrenda-paragrafoa"/>
        <w:ind w:left="360" w:firstLine="0"/>
        <w:jc w:val="both"/>
        <w:rPr>
          <w:b/>
          <w:bCs/>
        </w:rPr>
      </w:pPr>
    </w:p>
    <w:p w:rsidR="00482668" w:rsidRDefault="00762B21">
      <w:pPr>
        <w:ind w:firstLine="0"/>
        <w:jc w:val="both"/>
      </w:pPr>
      <w:r>
        <w:t>En cualquier caso, las personas que intervengan en el proceso de selección de los eventuales beneficiarios o en los procesos de verificación del cumplimiento de las condiciones deberán cumplir las siguientes obligaciones:</w:t>
      </w:r>
    </w:p>
    <w:p w:rsidR="00482668" w:rsidRDefault="00482668">
      <w:pPr>
        <w:pStyle w:val="Zerrenda-paragrafoa"/>
        <w:ind w:left="360" w:firstLine="0"/>
        <w:jc w:val="both"/>
      </w:pPr>
    </w:p>
    <w:p w:rsidR="00482668" w:rsidRDefault="00762B21">
      <w:pPr>
        <w:pStyle w:val="Zerrenda-paragrafoa"/>
        <w:numPr>
          <w:ilvl w:val="0"/>
          <w:numId w:val="42"/>
        </w:numPr>
        <w:ind w:left="426"/>
        <w:jc w:val="both"/>
      </w:pPr>
      <w:r>
        <w:t>Declararán conocer y aceptar íntegramente y sin reservas los términos del “Plan de medidas para cubrir los requisitos antifraude, conflicto de interés, sobre financiación y ayudas de estado</w:t>
      </w:r>
      <w:r>
        <w:rPr>
          <w:shd w:val="clear" w:color="auto" w:fill="FFFF00"/>
        </w:rPr>
        <w:t xml:space="preserve"> </w:t>
      </w:r>
      <w:r>
        <w:t xml:space="preserve"> y daño no significativo al medio ambiente exigidos en la ejecución del Plan de Recuperación, Transformación y Resiliencia”, aprobado mediante Acuerdo de Consejo de Gobierno de 29 de marzo de 2022. </w:t>
      </w:r>
    </w:p>
    <w:p w:rsidR="00482668" w:rsidRDefault="00482668">
      <w:pPr>
        <w:pStyle w:val="Zerrenda-paragrafoa"/>
        <w:ind w:left="360" w:firstLine="0"/>
        <w:jc w:val="both"/>
      </w:pPr>
    </w:p>
    <w:p w:rsidR="00482668" w:rsidRDefault="00762B21">
      <w:pPr>
        <w:pStyle w:val="Zerrenda-paragrafoa"/>
        <w:numPr>
          <w:ilvl w:val="0"/>
          <w:numId w:val="42"/>
        </w:numPr>
        <w:ind w:left="426"/>
        <w:jc w:val="both"/>
      </w:pPr>
      <w:r>
        <w:t xml:space="preserve">A los efectos de lo dispuesto en el apartado anterior, estarán en todo caso obligados a conocer y aceptar el citado Plan de medidas antifraude el responsable del órgano competente para la concesión de la subvención, el personal que redacte las bases y/o convocatoria de la subvención, así como los expertos y miembros del comité que evalúen las solicitudes, incluyendo a toda aquella persona física perteneciente a entidades privadas que colaboren y asesoren a la Administración en tales actuaciones. </w:t>
      </w:r>
    </w:p>
    <w:p w:rsidR="00482668" w:rsidRDefault="00482668">
      <w:pPr>
        <w:pStyle w:val="Zerrenda-paragrafoa"/>
        <w:ind w:left="426" w:firstLine="0"/>
        <w:jc w:val="both"/>
      </w:pPr>
    </w:p>
    <w:p w:rsidR="00482668" w:rsidRDefault="00762B21">
      <w:pPr>
        <w:pStyle w:val="Zerrenda-paragrafoa"/>
        <w:numPr>
          <w:ilvl w:val="0"/>
          <w:numId w:val="42"/>
        </w:numPr>
        <w:ind w:left="426"/>
        <w:jc w:val="both"/>
      </w:pPr>
      <w:r>
        <w:t>Las personas incluidas en los puntos precedentes de este apartado cumplimentarán una Declaración de Ausencia de Conflicto de Intereses (DACI) conforme al modelo que se acompaña a estas bases como</w:t>
      </w:r>
      <w:r>
        <w:rPr>
          <w:b/>
          <w:bCs/>
        </w:rPr>
        <w:t xml:space="preserve"> </w:t>
      </w:r>
      <w:r w:rsidR="000723F6">
        <w:rPr>
          <w:b/>
          <w:bCs/>
        </w:rPr>
        <w:fldChar w:fldCharType="begin"/>
      </w:r>
      <w:r>
        <w:rPr>
          <w:b/>
          <w:bCs/>
        </w:rPr>
        <w:instrText>REF _Ref108118203 \h</w:instrText>
      </w:r>
      <w:r w:rsidR="000723F6">
        <w:rPr>
          <w:b/>
          <w:bCs/>
        </w:rPr>
      </w:r>
      <w:r w:rsidR="000723F6">
        <w:rPr>
          <w:b/>
          <w:bCs/>
        </w:rPr>
        <w:fldChar w:fldCharType="separate"/>
      </w:r>
      <w:r w:rsidR="00904A83">
        <w:rPr>
          <w:rFonts w:ascii="Arial" w:eastAsia="Times New Roman" w:hAnsi="Arial" w:cs="Arial"/>
          <w:lang w:eastAsia="es-ES"/>
        </w:rPr>
        <w:t>ANEXO II</w:t>
      </w:r>
      <w:r w:rsidR="000723F6">
        <w:rPr>
          <w:b/>
          <w:bCs/>
        </w:rPr>
        <w:fldChar w:fldCharType="end"/>
      </w:r>
      <w:r>
        <w:t xml:space="preserve">, considerando lo establecido en el artículo 61.3 del Reglamento </w:t>
      </w:r>
      <w:r>
        <w:lastRenderedPageBreak/>
        <w:t xml:space="preserve">(UE, Euratom) 2018/1046 del Parlamento Europeo y del Consejo, de 18 de julio de 2018 («Reglamento Financiero») y en el artículo 23 de la Ley 40/2015, de 1 octubre, de Régimen Jurídico del Sector Público. </w:t>
      </w:r>
    </w:p>
    <w:p w:rsidR="00482668" w:rsidRDefault="00482668">
      <w:pPr>
        <w:pStyle w:val="Zerrenda-paragrafoa"/>
        <w:ind w:left="360" w:firstLine="0"/>
        <w:jc w:val="both"/>
      </w:pPr>
    </w:p>
    <w:p w:rsidR="00482668" w:rsidRDefault="00762B21">
      <w:pPr>
        <w:pStyle w:val="Zerrenda-paragrafoa"/>
        <w:numPr>
          <w:ilvl w:val="0"/>
          <w:numId w:val="42"/>
        </w:numPr>
        <w:ind w:left="426"/>
        <w:jc w:val="both"/>
      </w:pPr>
      <w:r>
        <w:t xml:space="preserve">Las autoridades y el personal en quienes concurra alguna de las causas que pueda dar lugar a un conflicto de intereses se abstendrán de intervenir en los procedimientos afectados. Cuando se considere la posibilidad de que exista un conflicto de intereses, la persona afectada comunicará por escrito la situación al superior jerárquico y se elaborará un informe por los Servicios Jurídicos correspondientes a fin de adoptar la decisión que en su caso corresponda. </w:t>
      </w:r>
    </w:p>
    <w:p w:rsidR="00482668" w:rsidRDefault="00482668">
      <w:pPr>
        <w:pStyle w:val="Zerrenda-paragrafoa"/>
        <w:ind w:left="426" w:firstLine="0"/>
        <w:jc w:val="both"/>
      </w:pPr>
    </w:p>
    <w:p w:rsidR="00482668" w:rsidRDefault="00762B21">
      <w:pPr>
        <w:pStyle w:val="Zerrenda-paragrafoa"/>
        <w:numPr>
          <w:ilvl w:val="0"/>
          <w:numId w:val="42"/>
        </w:numPr>
        <w:ind w:left="426"/>
        <w:jc w:val="both"/>
      </w:pPr>
      <w:r>
        <w:t>La Oficina de Control Económico por su cuenta o en colaboración con la IGAE (Nivel III) podrá llevar a cabo auditorías específicas sobre la existencia de medidas adecuadas para prevenir, detectar y corregir los conflictos de intereses.</w:t>
      </w:r>
    </w:p>
    <w:p w:rsidR="00482668" w:rsidRDefault="00482668">
      <w:pPr>
        <w:pStyle w:val="Zerrenda-paragrafoa"/>
        <w:ind w:left="426" w:firstLine="0"/>
        <w:jc w:val="both"/>
      </w:pPr>
    </w:p>
    <w:p w:rsidR="00482668" w:rsidRDefault="00762B21">
      <w:pPr>
        <w:pStyle w:val="Zerrenda-paragrafoa"/>
        <w:numPr>
          <w:ilvl w:val="0"/>
          <w:numId w:val="42"/>
        </w:numPr>
        <w:ind w:left="426"/>
        <w:jc w:val="both"/>
      </w:pPr>
      <w:r>
        <w:t>Una vez sea detectado un conflicto de interés se adoptarán medidas de conformidad con las normas legales y reglamentos internos aplicables en cada caso. Asimismo, en todo caso, se deberá dar publicidad a la situación de conflicto de interés a los efectos de cumplir con el principio de transparencia.</w:t>
      </w:r>
    </w:p>
    <w:p w:rsidR="00482668" w:rsidRDefault="00482668">
      <w:pPr>
        <w:pStyle w:val="Zerrenda-paragrafoa"/>
        <w:ind w:left="360" w:firstLine="0"/>
        <w:jc w:val="both"/>
        <w:rPr>
          <w:b/>
          <w:bCs/>
        </w:rPr>
      </w:pPr>
    </w:p>
    <w:p w:rsidR="00482668" w:rsidRDefault="00482668">
      <w:pPr>
        <w:pStyle w:val="Zerrenda-paragrafoa"/>
        <w:ind w:left="360" w:firstLine="0"/>
        <w:jc w:val="both"/>
        <w:rPr>
          <w:b/>
          <w:bCs/>
        </w:rPr>
      </w:pPr>
    </w:p>
    <w:p w:rsidR="00482668" w:rsidRDefault="00762B21">
      <w:pPr>
        <w:pStyle w:val="Zerrenda-paragrafoa"/>
        <w:numPr>
          <w:ilvl w:val="0"/>
          <w:numId w:val="25"/>
        </w:numPr>
        <w:jc w:val="both"/>
        <w:outlineLvl w:val="1"/>
        <w:rPr>
          <w:b/>
        </w:rPr>
      </w:pPr>
      <w:bookmarkStart w:id="164" w:name="_Toc108763783"/>
      <w:bookmarkStart w:id="165" w:name="_Toc115897527"/>
      <w:bookmarkStart w:id="166" w:name="_Toc108599924"/>
      <w:bookmarkStart w:id="167" w:name="_Toc121128549"/>
      <w:r>
        <w:rPr>
          <w:b/>
        </w:rPr>
        <w:t>SEGUIMIENTO, CONTROL Y EVALUACIÓN. JUSTIFICACIÓN DE LA SUBVENCIÓN</w:t>
      </w:r>
      <w:bookmarkEnd w:id="164"/>
      <w:bookmarkEnd w:id="165"/>
      <w:bookmarkEnd w:id="166"/>
      <w:bookmarkEnd w:id="167"/>
    </w:p>
    <w:p w:rsidR="00482668" w:rsidRDefault="00482668">
      <w:pPr>
        <w:pStyle w:val="Zerrenda-paragrafoa"/>
        <w:ind w:left="1080" w:firstLine="0"/>
        <w:jc w:val="both"/>
        <w:rPr>
          <w:bCs/>
        </w:rPr>
      </w:pPr>
    </w:p>
    <w:p w:rsidR="00482668" w:rsidRDefault="00762B21">
      <w:pPr>
        <w:pStyle w:val="Zerrenda-paragrafoa"/>
        <w:numPr>
          <w:ilvl w:val="0"/>
          <w:numId w:val="31"/>
        </w:numPr>
        <w:ind w:left="284"/>
        <w:jc w:val="both"/>
        <w:rPr>
          <w:bCs/>
        </w:rPr>
      </w:pPr>
      <w:r>
        <w:rPr>
          <w:bCs/>
        </w:rPr>
        <w:t>La justificación del cumplimiento de las condiciones impuestas y de la consecución de los objetivos previstos en el acto de concesión de las ayudas reguladas en estas bases, se realizará mediante los procedimientos establecidos en el artículo 30 de la Ley 38/2003, General de Subvenciones, y en los artículos 72 y 75 del Reglamento de desarrollo, siendo de aplicación las medidas singulares previstas en el artículo 63 del R.D.L. 36/2020, de 30 de diciembre y, en su caso, la normativa aplicable de la Unión Europea.</w:t>
      </w:r>
    </w:p>
    <w:p w:rsidR="00482668" w:rsidRDefault="00482668">
      <w:pPr>
        <w:pStyle w:val="Zerrenda-paragrafoa"/>
        <w:ind w:left="284" w:firstLine="0"/>
        <w:jc w:val="both"/>
        <w:rPr>
          <w:bCs/>
        </w:rPr>
      </w:pPr>
    </w:p>
    <w:p w:rsidR="00482668" w:rsidRDefault="00762B21">
      <w:pPr>
        <w:pStyle w:val="Zerrenda-paragrafoa"/>
        <w:numPr>
          <w:ilvl w:val="0"/>
          <w:numId w:val="31"/>
        </w:numPr>
        <w:ind w:left="284"/>
        <w:jc w:val="both"/>
        <w:rPr>
          <w:bCs/>
        </w:rPr>
      </w:pPr>
      <w:r>
        <w:rPr>
          <w:bCs/>
        </w:rPr>
        <w:t>Las entidades beneficiarias deberán someterse a las actuaciones de comprobación llevadas a cabo por la Administración concedente, a las de control financiero que correspondan, en su caso, a la Intervención General y a las previstas en la legislación</w:t>
      </w:r>
      <w:r w:rsidR="003A65EB">
        <w:rPr>
          <w:bCs/>
        </w:rPr>
        <w:t xml:space="preserve"> del Tribunal de Cuentas.</w:t>
      </w:r>
    </w:p>
    <w:p w:rsidR="00482668" w:rsidRDefault="00482668">
      <w:pPr>
        <w:pStyle w:val="Zerrenda-paragrafoa"/>
        <w:rPr>
          <w:bCs/>
        </w:rPr>
      </w:pPr>
    </w:p>
    <w:p w:rsidR="00482668" w:rsidRDefault="00762B21">
      <w:pPr>
        <w:pStyle w:val="Zerrenda-paragrafoa"/>
        <w:numPr>
          <w:ilvl w:val="0"/>
          <w:numId w:val="31"/>
        </w:numPr>
        <w:ind w:left="284"/>
        <w:jc w:val="both"/>
        <w:rPr>
          <w:bCs/>
        </w:rPr>
      </w:pPr>
      <w:r>
        <w:rPr>
          <w:bCs/>
        </w:rPr>
        <w:t>Asimismo, las subvenciones reguladas por el Plan de Recuperación, Transformación y Resiliencia y, en concreto al “Programa 1 de ayuda a las actuaciones de rehabilitación a nivel de barrio” del Real Decreto 853/2021 que lo desarrolla deberán cumplir con las siguientes obligaciones</w:t>
      </w:r>
      <w:r w:rsidR="003A65EB">
        <w:rPr>
          <w:bCs/>
        </w:rPr>
        <w:t>:</w:t>
      </w:r>
    </w:p>
    <w:p w:rsidR="00482668" w:rsidRDefault="00482668">
      <w:pPr>
        <w:pStyle w:val="Zerrenda-paragrafoa"/>
        <w:rPr>
          <w:bCs/>
        </w:rPr>
      </w:pPr>
    </w:p>
    <w:p w:rsidR="00482668" w:rsidRDefault="00762B21">
      <w:pPr>
        <w:pStyle w:val="Zerrenda-paragrafoa"/>
        <w:numPr>
          <w:ilvl w:val="0"/>
          <w:numId w:val="30"/>
        </w:numPr>
        <w:ind w:left="709" w:hanging="425"/>
        <w:jc w:val="both"/>
        <w:rPr>
          <w:bCs/>
        </w:rPr>
      </w:pPr>
      <w:r>
        <w:rPr>
          <w:bCs/>
        </w:rPr>
        <w:t>Se someterán a las actuaciones de comprobación que puedan efectuar la Comisión y el Tribunal de Cuentas de las Comunidades Europeas, así como la Oficina Europea de Lucha contra el Fraude, la Oficina Nacional de Auditoría y, cuando proceda, la Fiscalía Europea.</w:t>
      </w:r>
    </w:p>
    <w:p w:rsidR="00482668" w:rsidRDefault="00482668">
      <w:pPr>
        <w:pStyle w:val="Zerrenda-paragrafoa"/>
        <w:ind w:left="709" w:firstLine="0"/>
        <w:jc w:val="both"/>
        <w:rPr>
          <w:bCs/>
        </w:rPr>
      </w:pPr>
    </w:p>
    <w:p w:rsidR="00482668" w:rsidRDefault="00762B21">
      <w:pPr>
        <w:pStyle w:val="Zerrenda-paragrafoa"/>
        <w:numPr>
          <w:ilvl w:val="0"/>
          <w:numId w:val="30"/>
        </w:numPr>
        <w:ind w:left="709" w:hanging="425"/>
        <w:jc w:val="both"/>
        <w:rPr>
          <w:bCs/>
        </w:rPr>
      </w:pPr>
      <w:r>
        <w:rPr>
          <w:bCs/>
        </w:rPr>
        <w:t>Se someterán al seguimiento, control y evaluación que se establezca para el Plan de Recuperación, Transformación y Resiliencia, así como las obligaciones específicas relativas a la información y publicidad, control, verificación, seguimiento, evaluación y demás obligaciones impuestas por la normativa interna y de la Unión Europea que se establezcan para el Mecanismo de Recuperación y Resiliencia de la UE y cuya aplicación sea de obligado cumplimiento.</w:t>
      </w:r>
    </w:p>
    <w:p w:rsidR="00482668" w:rsidRDefault="00482668">
      <w:pPr>
        <w:ind w:firstLine="0"/>
        <w:jc w:val="both"/>
        <w:rPr>
          <w:bCs/>
        </w:rPr>
      </w:pPr>
    </w:p>
    <w:p w:rsidR="00482668" w:rsidRDefault="00762B21">
      <w:pPr>
        <w:pStyle w:val="Zerrenda-paragrafoa"/>
        <w:numPr>
          <w:ilvl w:val="0"/>
          <w:numId w:val="30"/>
        </w:numPr>
        <w:ind w:left="709" w:hanging="425"/>
        <w:jc w:val="both"/>
        <w:rPr>
          <w:bCs/>
        </w:rPr>
      </w:pPr>
      <w:r>
        <w:rPr>
          <w:bCs/>
        </w:rPr>
        <w:t xml:space="preserve">En particular, la Administración concedente recabará, a efectos de auditoría y control del uso de fondos en relación con las medidas destinadas a la ejecución de reformas y proyectos de </w:t>
      </w:r>
      <w:r>
        <w:rPr>
          <w:bCs/>
        </w:rPr>
        <w:lastRenderedPageBreak/>
        <w:t>inversión en el marco del Plan de Recuperación y Resiliencia, en formato electrónico, las categorías armonizadas de datos, de conformidad con lo especificado en el artículo 22.2 d) del Reglamento (UE) 2021/241, del Parlamento Europeo y del Consejo, de 12 de febrero de 2021.</w:t>
      </w:r>
    </w:p>
    <w:p w:rsidR="00482668" w:rsidRDefault="00482668">
      <w:pPr>
        <w:ind w:firstLine="0"/>
        <w:jc w:val="both"/>
        <w:rPr>
          <w:bCs/>
        </w:rPr>
      </w:pPr>
    </w:p>
    <w:p w:rsidR="00482668" w:rsidRDefault="00762B21">
      <w:pPr>
        <w:pStyle w:val="Zerrenda-paragrafoa"/>
        <w:numPr>
          <w:ilvl w:val="0"/>
          <w:numId w:val="30"/>
        </w:numPr>
        <w:ind w:left="709" w:hanging="425"/>
        <w:jc w:val="both"/>
        <w:rPr>
          <w:bCs/>
        </w:rPr>
      </w:pPr>
      <w:r>
        <w:rPr>
          <w:bCs/>
        </w:rPr>
        <w:t>Las entidades beneficiarias deberán conservar los documentos justificativos y demás documentación concerniente a la financiación, en formato electrónico, durante un periodo de cinco años a partir de la operación, o de tres años cuando el importe de la subvención sea inferior a 60.000 euros, en los términos previstos en el artículo 132 del Reglamento (UE, Euratom) 2018/1046 del Parlamento Europeo y del Consejo, de 18 de julio («Reglamento Financiero»).</w:t>
      </w:r>
    </w:p>
    <w:p w:rsidR="00482668" w:rsidRDefault="00482668">
      <w:pPr>
        <w:pStyle w:val="Zerrenda-paragrafoa"/>
        <w:ind w:left="1080" w:firstLine="0"/>
        <w:jc w:val="both"/>
        <w:rPr>
          <w:bCs/>
        </w:rPr>
      </w:pPr>
    </w:p>
    <w:p w:rsidR="00482668" w:rsidRDefault="00482668">
      <w:pPr>
        <w:pStyle w:val="Zerrenda-paragrafoa"/>
        <w:ind w:left="1080" w:firstLine="0"/>
        <w:jc w:val="both"/>
        <w:rPr>
          <w:bCs/>
        </w:rPr>
      </w:pPr>
    </w:p>
    <w:p w:rsidR="00482668" w:rsidRDefault="00762B21">
      <w:pPr>
        <w:pStyle w:val="Zerrenda-paragrafoa"/>
        <w:numPr>
          <w:ilvl w:val="0"/>
          <w:numId w:val="25"/>
        </w:numPr>
        <w:jc w:val="both"/>
        <w:outlineLvl w:val="1"/>
        <w:rPr>
          <w:b/>
        </w:rPr>
      </w:pPr>
      <w:bookmarkStart w:id="168" w:name="_Ref108118399"/>
      <w:bookmarkStart w:id="169" w:name="_Toc108599925"/>
      <w:bookmarkStart w:id="170" w:name="_Toc108763784"/>
      <w:bookmarkStart w:id="171" w:name="_Toc115897528"/>
      <w:bookmarkStart w:id="172" w:name="_Ref108118392"/>
      <w:bookmarkStart w:id="173" w:name="_Toc121128550"/>
      <w:r>
        <w:rPr>
          <w:b/>
        </w:rPr>
        <w:t>REINTEGRO DE LAS AYUDAS CONCEDIDAS A LA COMUNIDAD DE PROPIETARIOS POR DISPOSICIÓN VOLUNTARIA INTERVIVOS DE ELEMENTOS PRIVATIVOS</w:t>
      </w:r>
      <w:bookmarkEnd w:id="168"/>
      <w:bookmarkEnd w:id="169"/>
      <w:bookmarkEnd w:id="170"/>
      <w:bookmarkEnd w:id="171"/>
      <w:bookmarkEnd w:id="172"/>
      <w:bookmarkEnd w:id="173"/>
    </w:p>
    <w:p w:rsidR="00482668" w:rsidRDefault="00482668">
      <w:pPr>
        <w:jc w:val="both"/>
      </w:pPr>
    </w:p>
    <w:p w:rsidR="00482668" w:rsidRDefault="00762B21">
      <w:pPr>
        <w:ind w:firstLine="0"/>
        <w:jc w:val="both"/>
      </w:pPr>
      <w:r>
        <w:t>Con el objetivo de garantizar el retorno de las ayudas concedidas y la participación de la Administración en las plusvalías generadas por la acción pública en el desarrollo del proyecto de rehabilitación, se establece la obligación de devolución de la parte proporcional de las subvenciones percibidas por los elementos privativos (según su cuota de participación en la Comunidad de Propietarios) por la Comunidad de Propietarios,  en los casos de transmisión intervivos de las viviendas o elementos de los inmuebles que formen parte del edificio subvencionado, al Ayuntamiento.</w:t>
      </w:r>
    </w:p>
    <w:p w:rsidR="00482668" w:rsidRDefault="00482668">
      <w:pPr>
        <w:jc w:val="both"/>
      </w:pPr>
    </w:p>
    <w:p w:rsidR="00482668" w:rsidRDefault="00762B21">
      <w:pPr>
        <w:ind w:firstLine="0"/>
        <w:jc w:val="both"/>
        <w:rPr>
          <w:iCs/>
        </w:rPr>
      </w:pPr>
      <w:r>
        <w:rPr>
          <w:iCs/>
        </w:rPr>
        <w:t>Los inmuebles que sean objeto de las subvenciones para su rehabilitación no podrán estar a disposición voluntaria intervivos en el plazo de 10 años desde la certificación final de obra sin la previa acreditación por parte del vendedor de la devolución de las ayudas percibidas imputables al elemento objeto de transmisión, actualizadas al momento de su reintegro de acuerdo a los porc</w:t>
      </w:r>
      <w:r w:rsidR="00B76C09">
        <w:rPr>
          <w:iCs/>
        </w:rPr>
        <w:t>entajes recogidos en la “Tabla 7</w:t>
      </w:r>
      <w:r>
        <w:rPr>
          <w:iCs/>
        </w:rPr>
        <w:t>. Base de retorno”.</w:t>
      </w:r>
    </w:p>
    <w:p w:rsidR="00482668" w:rsidRDefault="00482668">
      <w:pPr>
        <w:jc w:val="both"/>
        <w:rPr>
          <w:iCs/>
        </w:rPr>
      </w:pPr>
    </w:p>
    <w:p w:rsidR="00482668" w:rsidRDefault="00762B21">
      <w:pPr>
        <w:ind w:firstLine="0"/>
        <w:jc w:val="both"/>
        <w:rPr>
          <w:iCs/>
        </w:rPr>
      </w:pPr>
      <w:r>
        <w:rPr>
          <w:iCs/>
        </w:rPr>
        <w:t>A los efectos anteriormente citados, no se considerará transmisión la adjudicación de la totalidad de la vivienda a uno de sus cotitulares como consecuencia de separaciones matrimoniales, divorcio o ruptura de pareja de hecho y/o la ruptura de la unidad de convivencia, en los supuestos de miembros unidos por consanguinidad en primer grado.</w:t>
      </w:r>
    </w:p>
    <w:p w:rsidR="00482668" w:rsidRDefault="00482668">
      <w:pPr>
        <w:jc w:val="both"/>
      </w:pPr>
    </w:p>
    <w:p w:rsidR="00482668" w:rsidRDefault="00762B21">
      <w:pPr>
        <w:ind w:firstLine="0"/>
        <w:jc w:val="both"/>
        <w:rPr>
          <w:iCs/>
        </w:rPr>
      </w:pPr>
      <w:r>
        <w:rPr>
          <w:iCs/>
        </w:rPr>
        <w:t>Las personas titulares de las viviendas y locales deberán presentar la certificación de concesión de la ayuda económica ante el Registro de la Propiedad correspondiente en el que se practicará, a la vista de dicho documento administrativo, el asiento registral de limitación dispositiva del dominio que sea procedente conforme a la legislación hipotecaria.</w:t>
      </w:r>
    </w:p>
    <w:p w:rsidR="00482668" w:rsidRDefault="00482668">
      <w:pPr>
        <w:jc w:val="both"/>
      </w:pPr>
    </w:p>
    <w:p w:rsidR="00482668" w:rsidRDefault="00762B21">
      <w:pPr>
        <w:ind w:firstLine="0"/>
        <w:jc w:val="both"/>
        <w:rPr>
          <w:iCs/>
        </w:rPr>
      </w:pPr>
      <w:r>
        <w:rPr>
          <w:iCs/>
        </w:rPr>
        <w:t>Esta devolución se deberá materializar también en el supuesto de transmisiones intervivos que se produzcan durante el proceso de ejecución de las obras.</w:t>
      </w:r>
    </w:p>
    <w:p w:rsidR="00482668" w:rsidRDefault="00482668">
      <w:pPr>
        <w:jc w:val="both"/>
        <w:rPr>
          <w:iCs/>
        </w:rPr>
      </w:pPr>
    </w:p>
    <w:p w:rsidR="00482668" w:rsidRDefault="00762B21">
      <w:pPr>
        <w:ind w:firstLine="0"/>
        <w:jc w:val="both"/>
      </w:pPr>
      <w:r>
        <w:t>La devolución de la ayuda recibida se realizará conforme a los siguientes criterios:</w:t>
      </w:r>
    </w:p>
    <w:p w:rsidR="00482668" w:rsidRDefault="00482668">
      <w:pPr>
        <w:jc w:val="both"/>
      </w:pPr>
    </w:p>
    <w:p w:rsidR="00482668" w:rsidRDefault="00762B21">
      <w:pPr>
        <w:pStyle w:val="Zerrenda-paragrafoa"/>
        <w:numPr>
          <w:ilvl w:val="0"/>
          <w:numId w:val="4"/>
        </w:numPr>
        <w:ind w:left="426"/>
        <w:jc w:val="both"/>
      </w:pPr>
      <w:r>
        <w:t>La</w:t>
      </w:r>
      <w:r w:rsidR="006F55FD">
        <w:t>s personas</w:t>
      </w:r>
      <w:r>
        <w:t xml:space="preserve"> jurídicas titulares de las viviendas</w:t>
      </w:r>
      <w:r w:rsidR="006F55FD">
        <w:t xml:space="preserve"> y las personas jurídicas titulares </w:t>
      </w:r>
      <w:r>
        <w:t xml:space="preserve"> de locales que no estén adscritos a su actividad por cuenta propia, deberán retornar el 100% del valor de la certificación de concesión de la ayuda económica, tanto si la transmisión se materializa durante la ejecución del proyecto (tras la resolución provisional de la concesión de la ayuda) como si se produce durante los diez años posteriores a la emisión del certificado final de obras.</w:t>
      </w:r>
    </w:p>
    <w:p w:rsidR="00482668" w:rsidRDefault="00482668">
      <w:pPr>
        <w:ind w:left="426"/>
        <w:jc w:val="both"/>
      </w:pPr>
    </w:p>
    <w:p w:rsidR="00482668" w:rsidRDefault="00762B21">
      <w:pPr>
        <w:pStyle w:val="Zerrenda-paragrafoa"/>
        <w:numPr>
          <w:ilvl w:val="0"/>
          <w:numId w:val="4"/>
        </w:numPr>
        <w:ind w:left="426"/>
        <w:jc w:val="both"/>
      </w:pPr>
      <w:r>
        <w:t>Los restantes titulares de las viviendas y locales, en caso de transmisión intervivos, deberán retornar el porcentaje del valor de la certificación de concesión de la ayuda económ</w:t>
      </w:r>
      <w:r w:rsidR="00B76C09">
        <w:t>ica que se indica en la “Tabla 7</w:t>
      </w:r>
      <w:r>
        <w:t>. Base de retorno”, siguiente:</w:t>
      </w:r>
    </w:p>
    <w:p w:rsidR="00482668" w:rsidRDefault="00482668">
      <w:pPr>
        <w:ind w:left="426"/>
        <w:jc w:val="both"/>
      </w:pPr>
    </w:p>
    <w:p w:rsidR="00482668" w:rsidRDefault="00762B21">
      <w:pPr>
        <w:jc w:val="center"/>
      </w:pPr>
      <w:r>
        <w:rPr>
          <w:noProof/>
          <w:lang w:eastAsia="es-ES"/>
        </w:rPr>
        <w:drawing>
          <wp:inline distT="0" distB="0" distL="0" distR="0">
            <wp:extent cx="2426335" cy="2353310"/>
            <wp:effectExtent l="0" t="0" r="0" b="0"/>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3"/>
                    <pic:cNvPicPr>
                      <a:picLocks noChangeAspect="1" noChangeArrowheads="1"/>
                    </pic:cNvPicPr>
                  </pic:nvPicPr>
                  <pic:blipFill>
                    <a:blip r:embed="rId11" cstate="print"/>
                    <a:stretch>
                      <a:fillRect/>
                    </a:stretch>
                  </pic:blipFill>
                  <pic:spPr bwMode="auto">
                    <a:xfrm>
                      <a:off x="0" y="0"/>
                      <a:ext cx="2426335" cy="2353310"/>
                    </a:xfrm>
                    <a:prstGeom prst="rect">
                      <a:avLst/>
                    </a:prstGeom>
                  </pic:spPr>
                </pic:pic>
              </a:graphicData>
            </a:graphic>
          </wp:inline>
        </w:drawing>
      </w:r>
    </w:p>
    <w:p w:rsidR="00145243" w:rsidRPr="00145243" w:rsidRDefault="00145243" w:rsidP="00145243">
      <w:pPr>
        <w:jc w:val="center"/>
        <w:rPr>
          <w:sz w:val="20"/>
          <w:szCs w:val="20"/>
        </w:rPr>
      </w:pPr>
      <w:r w:rsidRPr="00145243">
        <w:rPr>
          <w:sz w:val="20"/>
          <w:szCs w:val="20"/>
        </w:rPr>
        <w:t>Tabla 7. Base de retorno</w:t>
      </w:r>
    </w:p>
    <w:p w:rsidR="00145243" w:rsidRDefault="00145243">
      <w:pPr>
        <w:jc w:val="center"/>
      </w:pPr>
    </w:p>
    <w:p w:rsidR="00482668" w:rsidRDefault="00762B21">
      <w:pPr>
        <w:ind w:firstLine="0"/>
        <w:jc w:val="both"/>
        <w:rPr>
          <w:iCs/>
        </w:rPr>
      </w:pPr>
      <w:r>
        <w:rPr>
          <w:iCs/>
        </w:rPr>
        <w:t>Se determinará el importe a retornar tomando como base la ayuda concedida a la comunidad de propietarios a la que se le aplicará la cuota de participación en la comunidad del elemento objeto de transmisión y el porcentaje de la tabla de retorno correspondiente al tiempo transcurrido.</w:t>
      </w:r>
    </w:p>
    <w:p w:rsidR="00482668" w:rsidRDefault="00482668">
      <w:pPr>
        <w:jc w:val="both"/>
        <w:rPr>
          <w:iCs/>
        </w:rPr>
      </w:pPr>
    </w:p>
    <w:p w:rsidR="00482668" w:rsidRDefault="00762B21">
      <w:pPr>
        <w:ind w:firstLine="0"/>
        <w:jc w:val="both"/>
      </w:pPr>
      <w:r>
        <w:t>Los importes a retornar tendrán carácter de ingresos de derecho público y podrán ser exigidos por vía ejecutiva.</w:t>
      </w:r>
    </w:p>
    <w:p w:rsidR="00482668" w:rsidRDefault="00482668">
      <w:pPr>
        <w:jc w:val="both"/>
      </w:pPr>
    </w:p>
    <w:p w:rsidR="00482668" w:rsidRDefault="00482668">
      <w:pPr>
        <w:jc w:val="both"/>
      </w:pPr>
    </w:p>
    <w:p w:rsidR="00482668" w:rsidRDefault="00762B21">
      <w:pPr>
        <w:pStyle w:val="Zerrenda-paragrafoa"/>
        <w:numPr>
          <w:ilvl w:val="0"/>
          <w:numId w:val="25"/>
        </w:numPr>
        <w:jc w:val="both"/>
        <w:outlineLvl w:val="1"/>
        <w:rPr>
          <w:b/>
        </w:rPr>
      </w:pPr>
      <w:bookmarkStart w:id="174" w:name="_Ref108604044"/>
      <w:bookmarkStart w:id="175" w:name="_Ref108604049"/>
      <w:bookmarkStart w:id="176" w:name="_Ref108711267"/>
      <w:bookmarkStart w:id="177" w:name="_Ref108712338"/>
      <w:bookmarkStart w:id="178" w:name="_Ref108719933"/>
      <w:bookmarkStart w:id="179" w:name="_Toc108763785"/>
      <w:bookmarkStart w:id="180" w:name="_Ref109208517"/>
      <w:bookmarkStart w:id="181" w:name="_Ref109208525"/>
      <w:bookmarkStart w:id="182" w:name="_Toc115897529"/>
      <w:bookmarkStart w:id="183" w:name="_Toc108599926"/>
      <w:bookmarkStart w:id="184" w:name="_Toc121128551"/>
      <w:r>
        <w:rPr>
          <w:b/>
        </w:rPr>
        <w:t>REINTEGRO DE LAS AYUDAS POR CRITERIO SOCIAL</w:t>
      </w:r>
      <w:bookmarkEnd w:id="174"/>
      <w:bookmarkEnd w:id="175"/>
      <w:bookmarkEnd w:id="176"/>
      <w:bookmarkEnd w:id="177"/>
      <w:bookmarkEnd w:id="178"/>
      <w:bookmarkEnd w:id="179"/>
      <w:bookmarkEnd w:id="180"/>
      <w:bookmarkEnd w:id="181"/>
      <w:bookmarkEnd w:id="182"/>
      <w:bookmarkEnd w:id="183"/>
      <w:bookmarkEnd w:id="184"/>
    </w:p>
    <w:p w:rsidR="00482668" w:rsidRDefault="00482668">
      <w:pPr>
        <w:jc w:val="both"/>
      </w:pPr>
    </w:p>
    <w:p w:rsidR="00482668" w:rsidRDefault="00762B21">
      <w:pPr>
        <w:ind w:firstLine="0"/>
        <w:jc w:val="both"/>
      </w:pPr>
      <w:r>
        <w:t xml:space="preserve">Con el objetivo de garantizar el retorno de las ayudas concedidas por criterio social y de la participación de la Administración en las plusvalías generadas por la acción pública en el desarrollo del proyecto de rehabilitación, se establece la obligación de devolución al Ayuntamiento del importe de las subvenciones percibidas por criterio social cuando se produzca una transmisión intervivos de la vivienda. El plazo máximo para que se produzca el retorno es de treinta (30) años, computados </w:t>
      </w:r>
      <w:r>
        <w:rPr>
          <w:iCs/>
        </w:rPr>
        <w:t>desde la fecha de la certificación final de obra.</w:t>
      </w:r>
    </w:p>
    <w:p w:rsidR="00482668" w:rsidRDefault="00482668">
      <w:pPr>
        <w:jc w:val="both"/>
        <w:rPr>
          <w:iCs/>
        </w:rPr>
      </w:pPr>
    </w:p>
    <w:p w:rsidR="00482668" w:rsidRDefault="00762B21">
      <w:pPr>
        <w:ind w:firstLine="0"/>
        <w:jc w:val="both"/>
        <w:rPr>
          <w:iCs/>
        </w:rPr>
      </w:pPr>
      <w:r>
        <w:rPr>
          <w:iCs/>
        </w:rPr>
        <w:t>Las personas titulares de las viviendas deberán presentar la certificación de concesión de la ayuda económica por criterio social ante el Registro de la Propiedad correspondiente en el que se practicará, a la vista de dicho documento administrativo, el asiento registral de limitación dispositiva del dominio que sea procedente conforme a la legislación hipotecaria.</w:t>
      </w:r>
    </w:p>
    <w:p w:rsidR="00482668" w:rsidRDefault="00482668">
      <w:pPr>
        <w:jc w:val="both"/>
        <w:rPr>
          <w:iCs/>
        </w:rPr>
      </w:pPr>
    </w:p>
    <w:p w:rsidR="00482668" w:rsidRDefault="00762B21">
      <w:pPr>
        <w:ind w:firstLine="0"/>
        <w:jc w:val="both"/>
        <w:rPr>
          <w:iCs/>
        </w:rPr>
      </w:pPr>
      <w:r>
        <w:rPr>
          <w:iCs/>
        </w:rPr>
        <w:t>No se podrá transmitir la vivienda intervivos sin la previa acreditación por la parte vendedora de la devolución de las ayudas percibidas por el concepto de criterio social imputables al elemento objeto de transmisión.</w:t>
      </w:r>
    </w:p>
    <w:p w:rsidR="00482668" w:rsidRDefault="00482668">
      <w:pPr>
        <w:jc w:val="both"/>
        <w:rPr>
          <w:iCs/>
        </w:rPr>
      </w:pPr>
    </w:p>
    <w:p w:rsidR="00482668" w:rsidRDefault="00762B21">
      <w:pPr>
        <w:ind w:firstLine="0"/>
        <w:jc w:val="both"/>
        <w:rPr>
          <w:iCs/>
        </w:rPr>
      </w:pPr>
      <w:r>
        <w:rPr>
          <w:iCs/>
        </w:rPr>
        <w:t xml:space="preserve">A los efectos anteriormente citados, no se considerará transmisión la adjudicación de la totalidad de la vivienda a uno de sus cotitulares como consecuencia de separaciones matrimoniales, divorcio o </w:t>
      </w:r>
      <w:r>
        <w:rPr>
          <w:iCs/>
        </w:rPr>
        <w:lastRenderedPageBreak/>
        <w:t>ruptura de pareja de hecho y/o la ruptura de la unidad de convivencia, en los supuestos de miembros unidos por consanguinidad en primer grado.</w:t>
      </w:r>
    </w:p>
    <w:p w:rsidR="00482668" w:rsidRDefault="00482668">
      <w:pPr>
        <w:jc w:val="both"/>
      </w:pPr>
    </w:p>
    <w:p w:rsidR="00482668" w:rsidRDefault="00762B21">
      <w:pPr>
        <w:ind w:firstLine="0"/>
        <w:jc w:val="both"/>
      </w:pPr>
      <w:r>
        <w:t>Los importes a retornar tendrán carácter de ingresos de derecho público y podrán ser exigidos por vía ejecutiva.</w:t>
      </w:r>
    </w:p>
    <w:p w:rsidR="00482668" w:rsidRDefault="00482668">
      <w:pPr>
        <w:jc w:val="both"/>
      </w:pPr>
    </w:p>
    <w:p w:rsidR="00482668" w:rsidRDefault="00482668">
      <w:pPr>
        <w:jc w:val="both"/>
      </w:pPr>
    </w:p>
    <w:p w:rsidR="00482668" w:rsidRDefault="00762B21">
      <w:pPr>
        <w:pStyle w:val="Zerrenda-paragrafoa"/>
        <w:numPr>
          <w:ilvl w:val="0"/>
          <w:numId w:val="25"/>
        </w:numPr>
        <w:jc w:val="both"/>
        <w:outlineLvl w:val="1"/>
      </w:pPr>
      <w:bookmarkStart w:id="185" w:name="_Toc108763786"/>
      <w:bookmarkStart w:id="186" w:name="_Toc115897530"/>
      <w:bookmarkStart w:id="187" w:name="_Toc108599927"/>
      <w:bookmarkStart w:id="188" w:name="_Toc121128552"/>
      <w:r>
        <w:rPr>
          <w:b/>
          <w:bCs/>
        </w:rPr>
        <w:t>REINTEGRO DE LAS AYUDAS POR INCUMPLIMIENTO DEL PRINCIPIO DNSH</w:t>
      </w:r>
      <w:bookmarkEnd w:id="185"/>
      <w:bookmarkEnd w:id="186"/>
      <w:bookmarkEnd w:id="187"/>
      <w:bookmarkEnd w:id="188"/>
    </w:p>
    <w:p w:rsidR="00482668" w:rsidRDefault="00482668">
      <w:pPr>
        <w:jc w:val="both"/>
      </w:pPr>
    </w:p>
    <w:p w:rsidR="00482668" w:rsidRDefault="00762B21">
      <w:pPr>
        <w:ind w:firstLine="0"/>
        <w:jc w:val="both"/>
      </w:pPr>
      <w:r>
        <w:t xml:space="preserve">En caso de incumplimiento del principio DNSH, del etiquetado climático o de las condiciones recogidas en el </w:t>
      </w:r>
      <w:r w:rsidR="000723F6">
        <w:fldChar w:fldCharType="begin"/>
      </w:r>
      <w:r>
        <w:instrText>REF _Ref108714580 \r \h</w:instrText>
      </w:r>
      <w:r w:rsidR="000723F6">
        <w:fldChar w:fldCharType="separate"/>
      </w:r>
      <w:r w:rsidR="00904A83">
        <w:t>8</w:t>
      </w:r>
      <w:r w:rsidR="000723F6">
        <w:fldChar w:fldCharType="end"/>
      </w:r>
      <w:r>
        <w:t xml:space="preserve"> </w:t>
      </w:r>
      <w:r w:rsidR="000723F6">
        <w:fldChar w:fldCharType="begin"/>
      </w:r>
      <w:r>
        <w:instrText>REF _Ref108714585 \h</w:instrText>
      </w:r>
      <w:r w:rsidR="000723F6">
        <w:fldChar w:fldCharType="separate"/>
      </w:r>
      <w:r w:rsidR="00904A83">
        <w:rPr>
          <w:b/>
        </w:rPr>
        <w:t>OBLIGACIONES DE LAS PERSONAS DESTINATARIAS ÚLTIMAS DE LA AYUDAS</w:t>
      </w:r>
      <w:r w:rsidR="000723F6">
        <w:fldChar w:fldCharType="end"/>
      </w:r>
      <w:r>
        <w:t xml:space="preserve"> de estas bases, el beneficiario deberá reintegrar las cuantías percibidas hasta la fecha en la forma establecida en el Decreto 698/1991, de 17 de diciembre, por el que se regula el régimen general de garantías y reintegros de las subvenciones con cargo a los Presupuestos Generales de la Comunidad Autónoma de Euskadi y se establecen los requisitos, régimen y obligaciones de las Entidades Colaboradoras que participan en su gestión.</w:t>
      </w:r>
    </w:p>
    <w:p w:rsidR="00482668" w:rsidRDefault="00482668">
      <w:pPr>
        <w:jc w:val="both"/>
      </w:pPr>
    </w:p>
    <w:p w:rsidR="00482668" w:rsidRDefault="00482668">
      <w:pPr>
        <w:jc w:val="both"/>
      </w:pPr>
    </w:p>
    <w:p w:rsidR="00482668" w:rsidRDefault="00762B21">
      <w:pPr>
        <w:pStyle w:val="Zerrenda-paragrafoa"/>
        <w:numPr>
          <w:ilvl w:val="0"/>
          <w:numId w:val="25"/>
        </w:numPr>
        <w:jc w:val="both"/>
        <w:outlineLvl w:val="1"/>
        <w:rPr>
          <w:b/>
          <w:bCs/>
        </w:rPr>
      </w:pPr>
      <w:bookmarkStart w:id="189" w:name="_Ref108720462"/>
      <w:bookmarkStart w:id="190" w:name="_Ref108720469"/>
      <w:bookmarkStart w:id="191" w:name="_Toc108763787"/>
      <w:bookmarkStart w:id="192" w:name="_Toc115897531"/>
      <w:bookmarkStart w:id="193" w:name="_Toc108599928"/>
      <w:bookmarkStart w:id="194" w:name="_Toc121128553"/>
      <w:r>
        <w:rPr>
          <w:b/>
          <w:bCs/>
        </w:rPr>
        <w:t>REINTEGRO DE LAS AYUDAS EN SUPUESTOS DE ADJUDICACIONES IMPROCEDENTES</w:t>
      </w:r>
      <w:bookmarkEnd w:id="189"/>
      <w:bookmarkEnd w:id="190"/>
      <w:bookmarkEnd w:id="191"/>
      <w:bookmarkEnd w:id="192"/>
      <w:bookmarkEnd w:id="193"/>
      <w:bookmarkEnd w:id="194"/>
    </w:p>
    <w:p w:rsidR="00482668" w:rsidRDefault="00482668">
      <w:pPr>
        <w:jc w:val="both"/>
      </w:pPr>
    </w:p>
    <w:p w:rsidR="00482668" w:rsidRDefault="00762B21">
      <w:pPr>
        <w:ind w:firstLine="0"/>
        <w:jc w:val="both"/>
      </w:pPr>
      <w:r>
        <w:t>La adjudicación a cualquier otro licitador/a diferente al indicado en el Informe de Propuesta de Adjudicación, tal y como se expone en el</w:t>
      </w:r>
      <w:r>
        <w:rPr>
          <w:b/>
          <w:bCs/>
        </w:rPr>
        <w:t xml:space="preserve"> </w:t>
      </w:r>
      <w:r w:rsidR="000723F6">
        <w:rPr>
          <w:bCs/>
        </w:rPr>
        <w:fldChar w:fldCharType="begin"/>
      </w:r>
      <w:r>
        <w:rPr>
          <w:bCs/>
        </w:rPr>
        <w:instrText>REF _Ref108118546 \r \h</w:instrText>
      </w:r>
      <w:r w:rsidR="000723F6">
        <w:rPr>
          <w:bCs/>
        </w:rPr>
      </w:r>
      <w:r w:rsidR="000723F6">
        <w:rPr>
          <w:bCs/>
        </w:rPr>
        <w:fldChar w:fldCharType="separate"/>
      </w:r>
      <w:r w:rsidR="00904A83">
        <w:rPr>
          <w:bCs/>
        </w:rPr>
        <w:t>13</w:t>
      </w:r>
      <w:r w:rsidR="000723F6">
        <w:rPr>
          <w:bCs/>
        </w:rPr>
        <w:fldChar w:fldCharType="end"/>
      </w:r>
      <w:r>
        <w:rPr>
          <w:bCs/>
        </w:rPr>
        <w:t xml:space="preserve"> </w:t>
      </w:r>
      <w:r w:rsidR="000723F6">
        <w:fldChar w:fldCharType="begin"/>
      </w:r>
      <w:r>
        <w:instrText>REF _Ref108118546 \h</w:instrText>
      </w:r>
      <w:r w:rsidR="000723F6">
        <w:fldChar w:fldCharType="end"/>
      </w:r>
      <w:r>
        <w:t xml:space="preserve"> podrá suponer la anulación del procedimiento, y la exigencia, por parte de las administraciones, del reintegro de cuantas subvenciones hayan sido abonadas hasta la fecha, tal y como se indica en el apartado anterior.</w:t>
      </w:r>
    </w:p>
    <w:p w:rsidR="00482668" w:rsidRDefault="00762B21">
      <w:pPr>
        <w:ind w:firstLine="0"/>
      </w:pPr>
      <w:r>
        <w:br w:type="page"/>
      </w:r>
    </w:p>
    <w:p w:rsidR="00482668" w:rsidRDefault="00762B21" w:rsidP="00762B21">
      <w:pPr>
        <w:pStyle w:val="Heading1"/>
        <w:numPr>
          <w:ilvl w:val="0"/>
          <w:numId w:val="0"/>
        </w:numPr>
        <w:ind w:left="1276" w:hanging="1560"/>
      </w:pPr>
      <w:bookmarkStart w:id="195" w:name="_Toc108763788"/>
      <w:bookmarkStart w:id="196" w:name="_Toc115897532"/>
      <w:bookmarkStart w:id="197" w:name="_Toc108599929"/>
      <w:bookmarkStart w:id="198" w:name="_Toc121128554"/>
      <w:r>
        <w:rPr>
          <w:color w:val="auto"/>
        </w:rPr>
        <w:lastRenderedPageBreak/>
        <w:t>CAPÍTULO V. PROCEDIMIENTO, TRAMITACIÓN Y ABONO DE LAS SUBVENCIONES</w:t>
      </w:r>
      <w:bookmarkEnd w:id="195"/>
      <w:bookmarkEnd w:id="196"/>
      <w:bookmarkEnd w:id="197"/>
      <w:bookmarkEnd w:id="198"/>
      <w:r>
        <w:rPr>
          <w:color w:val="auto"/>
        </w:rPr>
        <w:t xml:space="preserve"> </w:t>
      </w:r>
    </w:p>
    <w:p w:rsidR="00482668" w:rsidRDefault="00482668">
      <w:pPr>
        <w:pStyle w:val="Zerrenda-paragrafoa"/>
        <w:ind w:left="360" w:firstLine="0"/>
        <w:jc w:val="both"/>
        <w:outlineLvl w:val="1"/>
        <w:rPr>
          <w:b/>
          <w:bCs/>
        </w:rPr>
      </w:pPr>
    </w:p>
    <w:p w:rsidR="00482668" w:rsidRDefault="00762B21">
      <w:pPr>
        <w:pStyle w:val="Zerrenda-paragrafoa"/>
        <w:numPr>
          <w:ilvl w:val="0"/>
          <w:numId w:val="25"/>
        </w:numPr>
        <w:jc w:val="both"/>
        <w:outlineLvl w:val="1"/>
      </w:pPr>
      <w:bookmarkStart w:id="199" w:name="_Toc108763789"/>
      <w:bookmarkStart w:id="200" w:name="_Ref115865753"/>
      <w:bookmarkStart w:id="201" w:name="_Ref115865759"/>
      <w:bookmarkStart w:id="202" w:name="_Toc115897533"/>
      <w:bookmarkStart w:id="203" w:name="_Toc108599930"/>
      <w:bookmarkStart w:id="204" w:name="_Toc121128555"/>
      <w:r>
        <w:rPr>
          <w:b/>
          <w:bCs/>
        </w:rPr>
        <w:t>PRESENTACIÓN Y PLAZO DE PRESENTACIÓN DE SOLICITUDES</w:t>
      </w:r>
      <w:bookmarkEnd w:id="199"/>
      <w:bookmarkEnd w:id="200"/>
      <w:bookmarkEnd w:id="201"/>
      <w:bookmarkEnd w:id="202"/>
      <w:bookmarkEnd w:id="203"/>
      <w:bookmarkEnd w:id="204"/>
    </w:p>
    <w:p w:rsidR="00482668" w:rsidRDefault="00482668">
      <w:pPr>
        <w:pStyle w:val="Zerrenda-paragrafoa"/>
        <w:ind w:left="1080" w:firstLine="0"/>
        <w:jc w:val="both"/>
        <w:rPr>
          <w:b/>
          <w:bCs/>
        </w:rPr>
      </w:pPr>
    </w:p>
    <w:p w:rsidR="00482668" w:rsidRDefault="00762B21">
      <w:pPr>
        <w:ind w:firstLine="0"/>
        <w:jc w:val="both"/>
      </w:pPr>
      <w:r>
        <w:t xml:space="preserve">El procedimiento para concesión de las ayudas se iniciará mediante solicitud presentada ante la entidad concedente. Las solicitudes se presentarán por las personas titulares de las actuaciones que correspondan o las Personas Beneficiarias de las ayudas, sus representantes legales respectivos o las entidades, oficinas de proximidad, agentes o gestoras de la rehabilitación. </w:t>
      </w:r>
    </w:p>
    <w:p w:rsidR="00482668" w:rsidRDefault="00482668">
      <w:pPr>
        <w:jc w:val="both"/>
      </w:pPr>
    </w:p>
    <w:p w:rsidR="00482668" w:rsidRDefault="00762B21">
      <w:pPr>
        <w:ind w:firstLine="0"/>
        <w:jc w:val="both"/>
      </w:pPr>
      <w:r>
        <w:t xml:space="preserve">En el supuesto de las actuaciones que afecten a los edificios, la tramitación de las ayudas deberá efectuarse por la persona propietaria única del edificio o por quien represente a la comunidad de personas propietarias, en los términos establecidos por la Ley 49/ 1960 de 21 de julio, sobre propiedad horizontal o, en su defecto, por una persona representante de la comunidad debidamente acreditada. Así mismo podrán también presentarse solicitudes por quien represente a cooperativas de viviendas o empresas, entidades o sociedades que intervengan por cualquier título en las operaciones de rehabilitación. </w:t>
      </w:r>
    </w:p>
    <w:p w:rsidR="00482668" w:rsidRDefault="00482668">
      <w:pPr>
        <w:jc w:val="both"/>
      </w:pPr>
    </w:p>
    <w:p w:rsidR="00482668" w:rsidRDefault="00762B21">
      <w:pPr>
        <w:ind w:firstLine="0"/>
        <w:jc w:val="both"/>
      </w:pPr>
      <w:r>
        <w:t xml:space="preserve">Las </w:t>
      </w:r>
      <w:r>
        <w:rPr>
          <w:bCs/>
        </w:rPr>
        <w:t>ayudas previstas</w:t>
      </w:r>
      <w:r>
        <w:rPr>
          <w:b/>
          <w:bCs/>
        </w:rPr>
        <w:t xml:space="preserve"> </w:t>
      </w:r>
      <w:r>
        <w:t xml:space="preserve">podrán solicitarse a partir de la fecha de publicación de la Convocatoria en la sede electrónica del Ayuntamiento hasta el agotamiento de los créditos habilitados. A la solicitud se deberá adjuntar la documentación acreditativa del cumplimiento de las condiciones y requisitos necesarios para ser beneficiaria de las mismas en base a lo dispuesto en estas Bases. </w:t>
      </w:r>
    </w:p>
    <w:p w:rsidR="00482668" w:rsidRDefault="00482668">
      <w:pPr>
        <w:jc w:val="both"/>
      </w:pPr>
    </w:p>
    <w:p w:rsidR="00482668" w:rsidRDefault="00762B21">
      <w:pPr>
        <w:ind w:firstLine="0"/>
        <w:jc w:val="both"/>
      </w:pPr>
      <w:r>
        <w:t xml:space="preserve">En la solicitud de ayudas se podrá incluir expresamente la autorización del solicitante al órgano competente para instruir y resolver con objeto de recabar toda la información necesaria, en particular la de carácter tributario o económico que fuera legalmente pertinente para acreditar el cumplimiento de los requisitos. No podrá cederse a terceros la información de carácter tributario o económico recibida. </w:t>
      </w:r>
    </w:p>
    <w:p w:rsidR="00482668" w:rsidRDefault="00482668">
      <w:pPr>
        <w:jc w:val="both"/>
      </w:pPr>
    </w:p>
    <w:p w:rsidR="00482668" w:rsidRDefault="00762B21">
      <w:pPr>
        <w:ind w:firstLine="0"/>
        <w:jc w:val="both"/>
      </w:pPr>
      <w:r>
        <w:t xml:space="preserve">La presentación de la solicitud, junto con la documentación, comporta la aceptación incondicionada de las bases establecidas en el Real Decreto 853/2021, de 5 de octubre y en las presentes Bases. Asimismo, deberá presentarse declaración de ausencia de conflicto de intereses de conformidad con el modelo del  </w:t>
      </w:r>
      <w:r w:rsidR="000723F6">
        <w:fldChar w:fldCharType="begin"/>
      </w:r>
      <w:r>
        <w:instrText>REF _Ref108118203 \h</w:instrText>
      </w:r>
      <w:r w:rsidR="000723F6">
        <w:fldChar w:fldCharType="separate"/>
      </w:r>
      <w:r w:rsidR="00904A83">
        <w:rPr>
          <w:rFonts w:ascii="Arial" w:eastAsia="Times New Roman" w:hAnsi="Arial" w:cs="Arial"/>
          <w:lang w:eastAsia="es-ES"/>
        </w:rPr>
        <w:t>ANEXO II</w:t>
      </w:r>
      <w:r w:rsidR="000723F6">
        <w:fldChar w:fldCharType="end"/>
      </w:r>
      <w:r>
        <w:t xml:space="preserve"> de estas Bases.</w:t>
      </w:r>
    </w:p>
    <w:p w:rsidR="00482668" w:rsidRDefault="00482668">
      <w:pPr>
        <w:jc w:val="both"/>
      </w:pPr>
    </w:p>
    <w:p w:rsidR="00482668" w:rsidRDefault="00762B21">
      <w:pPr>
        <w:ind w:firstLine="0"/>
        <w:jc w:val="both"/>
      </w:pPr>
      <w:r>
        <w:t>Las personas jurídicas, las entidades sin personalidad jurídica y las personas que ejerzan una actividad profesional para la que se requiera colegiación obligatoria interesadas deberán solicitar, consultar y realizar todos los trámites del procedimiento en el que actúe utilizando medios electrónicos. Las especificaciones de cómo tramitar las solicitudes, declaraciones responsables, y demás modelos están disponibles en la sede electrónica del Ayuntamiento</w:t>
      </w:r>
      <w:r w:rsidR="003A65EB">
        <w:t>.</w:t>
      </w:r>
      <w:r>
        <w:t xml:space="preserve"> </w:t>
      </w:r>
    </w:p>
    <w:p w:rsidR="00482668" w:rsidRDefault="00482668">
      <w:pPr>
        <w:jc w:val="both"/>
      </w:pPr>
    </w:p>
    <w:p w:rsidR="00482668" w:rsidRDefault="00762B21">
      <w:pPr>
        <w:ind w:firstLine="0"/>
        <w:jc w:val="both"/>
      </w:pPr>
      <w:r>
        <w:t xml:space="preserve">Las solicitudes de ayudas por criterio social a favor de particulares o unidades de convivencia  establecidas en el  </w:t>
      </w:r>
      <w:r w:rsidR="000723F6">
        <w:fldChar w:fldCharType="begin"/>
      </w:r>
      <w:r>
        <w:instrText>REF _Ref108605692 \r \h</w:instrText>
      </w:r>
      <w:r w:rsidR="000723F6">
        <w:fldChar w:fldCharType="separate"/>
      </w:r>
      <w:r w:rsidR="00904A83">
        <w:t>16</w:t>
      </w:r>
      <w:r w:rsidR="000723F6">
        <w:fldChar w:fldCharType="end"/>
      </w:r>
      <w:r>
        <w:t xml:space="preserve"> </w:t>
      </w:r>
      <w:r w:rsidR="000723F6">
        <w:rPr>
          <w:bCs/>
        </w:rPr>
        <w:fldChar w:fldCharType="begin"/>
      </w:r>
      <w:r>
        <w:rPr>
          <w:bCs/>
        </w:rPr>
        <w:instrText>REF _Ref108605692 \h</w:instrText>
      </w:r>
      <w:r w:rsidR="000723F6">
        <w:rPr>
          <w:bCs/>
        </w:rPr>
      </w:r>
      <w:r w:rsidR="000723F6">
        <w:rPr>
          <w:bCs/>
        </w:rPr>
        <w:fldChar w:fldCharType="separate"/>
      </w:r>
      <w:r w:rsidR="00904A83">
        <w:rPr>
          <w:b/>
          <w:bCs/>
        </w:rPr>
        <w:t>AYUDAS ADICIONALES PARA PERSONAS FÍSICAS O UNIDADES DE CONVIVENCIA EN SITUACIÓN DE VULNERABILIDAD ECONÓMICA</w:t>
      </w:r>
      <w:r w:rsidR="000723F6">
        <w:rPr>
          <w:bCs/>
        </w:rPr>
        <w:fldChar w:fldCharType="end"/>
      </w:r>
      <w:r>
        <w:t xml:space="preserve"> de estas Bases, se presentarán en el mismo acto que la solicitud de las ayudas principales correspondientes. </w:t>
      </w:r>
    </w:p>
    <w:p w:rsidR="00482668" w:rsidRDefault="00482668">
      <w:pPr>
        <w:jc w:val="both"/>
      </w:pPr>
    </w:p>
    <w:p w:rsidR="00482668" w:rsidRDefault="00762B21">
      <w:pPr>
        <w:ind w:firstLine="0"/>
        <w:jc w:val="both"/>
      </w:pPr>
      <w:r>
        <w:t>Los solicitantes de las ayudas consideradas en estas bases podrán, a su vez, solicitar a la OTGP la presentación en su nombre de otras solicitudes de ayudas compatibles con ellas para su tramitación en los distintos organismos responsables, de forma coordinada con estas. Estos solicitantes aportarán a la OTGP la documentación exigida por dichos organismos en cada caso.</w:t>
      </w:r>
    </w:p>
    <w:p w:rsidR="00482668" w:rsidRDefault="00482668">
      <w:pPr>
        <w:jc w:val="both"/>
      </w:pPr>
    </w:p>
    <w:p w:rsidR="00482668" w:rsidRDefault="00762B21">
      <w:pPr>
        <w:ind w:firstLine="0"/>
        <w:jc w:val="both"/>
      </w:pPr>
      <w:r>
        <w:lastRenderedPageBreak/>
        <w:t>El plazo de presentación de las solicitudes de obtención de subvenciones dirigidas al órgano convocante y suscritas por el beneficiario o persona que lo represente, junto con la documentación aneja, tendrá dos hitos:</w:t>
      </w:r>
    </w:p>
    <w:p w:rsidR="00482668" w:rsidRDefault="00482668">
      <w:pPr>
        <w:jc w:val="both"/>
      </w:pPr>
    </w:p>
    <w:p w:rsidR="00482668" w:rsidRDefault="00762B21">
      <w:pPr>
        <w:pStyle w:val="Zerrenda-paragrafoa"/>
        <w:numPr>
          <w:ilvl w:val="0"/>
          <w:numId w:val="35"/>
        </w:numPr>
        <w:ind w:left="426"/>
        <w:jc w:val="both"/>
      </w:pPr>
      <w:r>
        <w:t xml:space="preserve">El primer hito, dará como resultado una resolución provisional: las Comunidades de Propietarios deberán presentar el acuerdo para integrarse en el programa de intervención de regeneración urbana contemplado en estas bases solicitando las ayudas correspondientes, antes del 30 de mayo de 2023. </w:t>
      </w:r>
    </w:p>
    <w:p w:rsidR="00482668" w:rsidRDefault="00482668">
      <w:pPr>
        <w:pStyle w:val="Zerrenda-paragrafoa"/>
        <w:ind w:left="426" w:firstLine="0"/>
        <w:jc w:val="both"/>
      </w:pPr>
    </w:p>
    <w:p w:rsidR="00482668" w:rsidRDefault="00762B21">
      <w:pPr>
        <w:pStyle w:val="Zerrenda-paragrafoa"/>
        <w:numPr>
          <w:ilvl w:val="0"/>
          <w:numId w:val="35"/>
        </w:numPr>
        <w:ind w:left="426"/>
        <w:jc w:val="both"/>
      </w:pPr>
      <w:r>
        <w:t>El segundo hito dará lugar a una resolución de las ayudas concedidas tanto a las Comunidades de Propietarios como las correspondientes al criterio social, para aquellas que hayan presentado el acuerdo de adhesión al Programa contemplado en el primer hito y presenten la solicitud de Licencia y ayudas antes del 30 de noviembre de 2023, inclusive.</w:t>
      </w:r>
    </w:p>
    <w:p w:rsidR="00482668" w:rsidRDefault="00482668">
      <w:pPr>
        <w:ind w:left="426"/>
        <w:jc w:val="both"/>
      </w:pPr>
    </w:p>
    <w:p w:rsidR="00482668" w:rsidRDefault="00762B21">
      <w:pPr>
        <w:ind w:firstLine="0"/>
        <w:jc w:val="both"/>
      </w:pPr>
      <w:r>
        <w:t>Las solicitudes se entregarán por vía telemática en la sede electrónica del Ayuntamiento de Lasarte-Oria, o bien de forma presencial en la Oficina de Proximidad, c/ Basaundi bailara 8, Bajo dcha, 20160 Lasarte-Oria, en el horario de oficinas en cada caso. Las personas físicas o jurídicas obligadas a la comunicación telemática con las administraciones deberán emplear exclusivamente esta vía.</w:t>
      </w:r>
    </w:p>
    <w:p w:rsidR="00482668" w:rsidRDefault="00482668">
      <w:pPr>
        <w:jc w:val="both"/>
      </w:pPr>
    </w:p>
    <w:p w:rsidR="00482668" w:rsidRDefault="00482668">
      <w:pPr>
        <w:ind w:left="720" w:firstLine="0"/>
        <w:jc w:val="both"/>
        <w:rPr>
          <w:b/>
          <w:bCs/>
        </w:rPr>
      </w:pPr>
    </w:p>
    <w:p w:rsidR="00482668" w:rsidRDefault="00762B21">
      <w:pPr>
        <w:pStyle w:val="Zerrenda-paragrafoa"/>
        <w:numPr>
          <w:ilvl w:val="0"/>
          <w:numId w:val="25"/>
        </w:numPr>
        <w:jc w:val="both"/>
        <w:outlineLvl w:val="1"/>
      </w:pPr>
      <w:bookmarkStart w:id="205" w:name="_Toc108763790"/>
      <w:bookmarkStart w:id="206" w:name="_Toc115897534"/>
      <w:bookmarkStart w:id="207" w:name="_Toc108599931"/>
      <w:bookmarkStart w:id="208" w:name="_Toc121128556"/>
      <w:r>
        <w:rPr>
          <w:b/>
          <w:bCs/>
        </w:rPr>
        <w:t>SUBSANACIÓN DE ERRORES U OMISIONES</w:t>
      </w:r>
      <w:bookmarkEnd w:id="205"/>
      <w:bookmarkEnd w:id="206"/>
      <w:bookmarkEnd w:id="207"/>
      <w:bookmarkEnd w:id="208"/>
    </w:p>
    <w:p w:rsidR="00482668" w:rsidRDefault="00482668">
      <w:pPr>
        <w:pStyle w:val="Zerrenda-paragrafoa"/>
        <w:ind w:left="1080" w:firstLine="0"/>
        <w:jc w:val="both"/>
        <w:rPr>
          <w:b/>
          <w:bCs/>
        </w:rPr>
      </w:pPr>
    </w:p>
    <w:p w:rsidR="00482668" w:rsidRDefault="00762B21">
      <w:pPr>
        <w:ind w:firstLine="0"/>
        <w:jc w:val="both"/>
      </w:pPr>
      <w:r>
        <w:t xml:space="preserve">Si se detecta algún defecto, inexactitud u omisión en la solicitud presentada, se le comunicará fehacientemente a la persona solicitante, concediéndole un plazo de diez días para que proceda a su corrección, subsanación o aportación, y, si así no lo hiciera, se le tendrá por desistido de su petición, previa resolución que deberá ser dictada por el órgano instructor del procedimiento en los términos previstos en el artículo 21 de la Ley 39/2015, de 1 de octubre, del Procedimiento Administrativo Común de las Administraciones Públicas. </w:t>
      </w:r>
    </w:p>
    <w:p w:rsidR="00482668" w:rsidRDefault="00482668">
      <w:pPr>
        <w:jc w:val="both"/>
      </w:pPr>
    </w:p>
    <w:p w:rsidR="00482668" w:rsidRDefault="00762B21">
      <w:pPr>
        <w:ind w:firstLine="0"/>
        <w:jc w:val="both"/>
      </w:pPr>
      <w:r>
        <w:t xml:space="preserve">La no presentación de la solicitud de acuerdo con su formato oficial o la no presentación de la documentación exigida, transcurrido en su caso el plazo de subsanación concedido, supondrá tener por desistida a la persona solicitante. </w:t>
      </w:r>
    </w:p>
    <w:p w:rsidR="00482668" w:rsidRDefault="00482668">
      <w:pPr>
        <w:jc w:val="both"/>
      </w:pPr>
    </w:p>
    <w:p w:rsidR="00482668" w:rsidRDefault="00482668">
      <w:pPr>
        <w:jc w:val="both"/>
      </w:pPr>
    </w:p>
    <w:p w:rsidR="00482668" w:rsidRDefault="00762B21">
      <w:pPr>
        <w:pStyle w:val="Zerrenda-paragrafoa"/>
        <w:numPr>
          <w:ilvl w:val="0"/>
          <w:numId w:val="25"/>
        </w:numPr>
        <w:jc w:val="both"/>
        <w:outlineLvl w:val="1"/>
        <w:rPr>
          <w:b/>
          <w:bCs/>
        </w:rPr>
      </w:pPr>
      <w:bookmarkStart w:id="209" w:name="_Toc108763791"/>
      <w:bookmarkStart w:id="210" w:name="_Toc115897535"/>
      <w:bookmarkStart w:id="211" w:name="_Toc108599932"/>
      <w:bookmarkStart w:id="212" w:name="_Toc121128557"/>
      <w:r>
        <w:rPr>
          <w:b/>
          <w:bCs/>
        </w:rPr>
        <w:t>TRAMITACIÓN, PLAZO DE RESOLUCIÓN Y NOTIFICACIÓN</w:t>
      </w:r>
      <w:bookmarkEnd w:id="209"/>
      <w:bookmarkEnd w:id="210"/>
      <w:bookmarkEnd w:id="211"/>
      <w:bookmarkEnd w:id="212"/>
    </w:p>
    <w:p w:rsidR="00482668" w:rsidRDefault="00482668">
      <w:pPr>
        <w:jc w:val="both"/>
      </w:pPr>
    </w:p>
    <w:p w:rsidR="00482668" w:rsidRPr="00DF4A8E" w:rsidRDefault="00762B21">
      <w:pPr>
        <w:ind w:firstLine="0"/>
        <w:jc w:val="both"/>
      </w:pPr>
      <w:r>
        <w:t xml:space="preserve">Para todas las ayudas consideradas en estas bases la </w:t>
      </w:r>
      <w:bookmarkStart w:id="213" w:name="_Hlk99613803"/>
      <w:r>
        <w:t xml:space="preserve">instrucción del procedimiento se desarrollará por </w:t>
      </w:r>
      <w:r w:rsidRPr="00DF4A8E">
        <w:t>el Departamento de Urbanismo del Ayuntamiento de Lasarte-Oria</w:t>
      </w:r>
      <w:r w:rsidR="006F472F" w:rsidRPr="00DF4A8E">
        <w:t>.</w:t>
      </w:r>
    </w:p>
    <w:p w:rsidR="00482668" w:rsidRDefault="00482668">
      <w:pPr>
        <w:jc w:val="both"/>
      </w:pPr>
    </w:p>
    <w:p w:rsidR="00482668" w:rsidRDefault="00762B21">
      <w:pPr>
        <w:ind w:firstLine="0"/>
        <w:jc w:val="both"/>
      </w:pPr>
      <w:r>
        <w:t xml:space="preserve">La resolución de la concesión competerá a </w:t>
      </w:r>
      <w:r w:rsidR="00D5045C">
        <w:t xml:space="preserve">Alcalde del </w:t>
      </w:r>
      <w:r>
        <w:t xml:space="preserve"> Ayuntamiento de Lasarte-Oria. </w:t>
      </w:r>
      <w:bookmarkEnd w:id="213"/>
      <w:r>
        <w:t>La Resolución se dictará teniendo como base los informes que emitan el asesor jurídico y los técnicos municipales de dicho departamento sobre las solicitudes y proyectos presentados. Ejercerá como instructor/a el/la técnico/a del área que promueve la subvención que se designe por el órgano convocante.</w:t>
      </w:r>
    </w:p>
    <w:p w:rsidR="00482668" w:rsidRDefault="00482668">
      <w:pPr>
        <w:jc w:val="both"/>
      </w:pPr>
    </w:p>
    <w:p w:rsidR="00482668" w:rsidRDefault="00762B21">
      <w:pPr>
        <w:ind w:firstLine="0"/>
        <w:jc w:val="both"/>
      </w:pPr>
      <w:r>
        <w:t>El plazo máximo para notificar la resolución será de tres meses contados desde el día siguiente al de la fecha de presentación de la solicitud. En caso de no haberse recibido resolución en dicho plazo, se entenderá desestimada la solicitud, sin perjuicio de la obligación de resolver expresamente. La resolución que se adopte podrá ser recurrida en la forma establecida en el apartado siguiente.</w:t>
      </w:r>
    </w:p>
    <w:p w:rsidR="00482668" w:rsidRDefault="00482668">
      <w:pPr>
        <w:jc w:val="both"/>
      </w:pPr>
    </w:p>
    <w:p w:rsidR="00482668" w:rsidRDefault="00762B21">
      <w:pPr>
        <w:ind w:firstLine="0"/>
        <w:jc w:val="both"/>
      </w:pPr>
      <w:r>
        <w:lastRenderedPageBreak/>
        <w:t>Para todas aquellas ayudas no consideradas en estas bases la instrucción del procedimiento se desarrollará en cada caso en el organismo competente. La OTGP, actuando en su calidad de ventanilla única, podrá coordinarlas con las anteriores y elaborar las solicitudes correspondientes en nombre de los beneficiarios.</w:t>
      </w:r>
    </w:p>
    <w:p w:rsidR="00482668" w:rsidRDefault="00482668">
      <w:pPr>
        <w:jc w:val="both"/>
      </w:pPr>
    </w:p>
    <w:p w:rsidR="00482668" w:rsidRDefault="00762B21">
      <w:pPr>
        <w:ind w:firstLine="0"/>
        <w:jc w:val="both"/>
      </w:pPr>
      <w:r>
        <w:t>En el supuesto de que la resolución administrativa sea estimatoria, expresará el nombre o denominación social y el C.I.F. o DNI de las personas o entidades beneficiarias, la actuación financiada, la cuantía de la subvención a fondo perdido, desglosada por actuaciones subvencionadas, con su distribución por anualidades presupuestarias, y el plazo en el que deben ejecutarse las obras. En el caso de las solicitudes denegadas recogerá el nombre o denominación social de los y las solicitantes, C.I.F. y los motivos que fundamenten la denegación.  En cualquier caso, las resoluciones se notificarán al solicitante.</w:t>
      </w:r>
    </w:p>
    <w:p w:rsidR="00482668" w:rsidRDefault="00482668">
      <w:pPr>
        <w:jc w:val="both"/>
      </w:pPr>
    </w:p>
    <w:p w:rsidR="00482668" w:rsidRDefault="00762B21">
      <w:pPr>
        <w:ind w:firstLine="0"/>
        <w:jc w:val="both"/>
      </w:pPr>
      <w:r>
        <w:t>La concesión y, en su caso, el pago de las ayudas y subvenciones a las personas que sean beneficiarias quedarán obligatoriamente vinculadas a la financiación de las actuaciones de “rehabilitación eficiente” objeto de estas bases. En todo caso, estas ayudas serán abonadas en la cuenta corriente abierta por la comunidad de propietarios exclusivamente destinada a este fin.</w:t>
      </w:r>
    </w:p>
    <w:p w:rsidR="00482668" w:rsidRDefault="00482668">
      <w:pPr>
        <w:jc w:val="both"/>
      </w:pPr>
    </w:p>
    <w:p w:rsidR="00482668" w:rsidRDefault="00762B21">
      <w:pPr>
        <w:ind w:firstLine="0"/>
        <w:jc w:val="both"/>
      </w:pPr>
      <w:r>
        <w:t>Los beneficiarios dispondrán de un plazo de 15 días naturales para renunciar a la subvención, contados desde el momento de la notificación de la resolución. Se entenderá aceptada la subvención por parte de las personas beneficiarias si en el plazo anteriormente indicado no han manifestado expresamente la renuncia.</w:t>
      </w:r>
    </w:p>
    <w:p w:rsidR="00482668" w:rsidRDefault="00482668">
      <w:pPr>
        <w:ind w:firstLine="0"/>
        <w:jc w:val="both"/>
      </w:pPr>
    </w:p>
    <w:p w:rsidR="00482668" w:rsidRDefault="00482668">
      <w:pPr>
        <w:ind w:firstLine="0"/>
        <w:jc w:val="both"/>
      </w:pPr>
    </w:p>
    <w:p w:rsidR="00482668" w:rsidRPr="00DF4A8E" w:rsidRDefault="00762B21">
      <w:pPr>
        <w:pStyle w:val="Zerrenda-paragrafoa"/>
        <w:numPr>
          <w:ilvl w:val="0"/>
          <w:numId w:val="25"/>
        </w:numPr>
        <w:jc w:val="both"/>
        <w:outlineLvl w:val="1"/>
        <w:rPr>
          <w:b/>
          <w:bCs/>
        </w:rPr>
      </w:pPr>
      <w:bookmarkStart w:id="214" w:name="_Toc108763792"/>
      <w:bookmarkStart w:id="215" w:name="_Toc115897536"/>
      <w:bookmarkStart w:id="216" w:name="_Toc108599933"/>
      <w:bookmarkStart w:id="217" w:name="_Toc121128558"/>
      <w:r w:rsidRPr="00DF4A8E">
        <w:rPr>
          <w:b/>
          <w:bCs/>
        </w:rPr>
        <w:t>RECURSOS</w:t>
      </w:r>
      <w:bookmarkEnd w:id="214"/>
      <w:bookmarkEnd w:id="215"/>
      <w:bookmarkEnd w:id="216"/>
      <w:bookmarkEnd w:id="217"/>
    </w:p>
    <w:p w:rsidR="00CF7B07" w:rsidRDefault="00CF7B07" w:rsidP="00CF7B07">
      <w:pPr>
        <w:spacing w:before="120" w:after="120" w:line="240" w:lineRule="atLeast"/>
        <w:ind w:firstLine="0"/>
        <w:jc w:val="both"/>
      </w:pPr>
      <w:r w:rsidRPr="00AF08A7">
        <w:t>La resolución que se dicte pone fin a la vía administrativa y, contra la misma las personas interesadas podrán interponer Recurso de Reposición ante el mismo órgano que haya dictado la resolución, en el plazo de un mes contado a partir del día siguiente al de la notificación, de conformidad con los artículos 121 y 122 de la Ley 39/2015, de 1 de octubre, del Procedimiento Administrativo Común de las Administraciones Públicas.</w:t>
      </w:r>
      <w:r>
        <w:t xml:space="preserve"> </w:t>
      </w:r>
    </w:p>
    <w:p w:rsidR="00CF7B07" w:rsidRDefault="00CF7B07" w:rsidP="00CF7B07">
      <w:pPr>
        <w:spacing w:before="120" w:after="120" w:line="240" w:lineRule="atLeast"/>
        <w:ind w:firstLine="0"/>
        <w:jc w:val="both"/>
      </w:pPr>
      <w:r>
        <w:t xml:space="preserve">Frente a la desestimación, expresa o presunta por vía de silencio administrativo del Recurso de Reposición, podrá elevarse el correspondiente recurso ante la jurisdicción contencioso-administrativa, conforme a la legislación vigente. </w:t>
      </w:r>
    </w:p>
    <w:p w:rsidR="00CF7B07" w:rsidRDefault="00CF7B07" w:rsidP="00CF7B07">
      <w:pPr>
        <w:spacing w:before="120" w:after="120" w:line="240" w:lineRule="atLeast"/>
        <w:ind w:firstLine="0"/>
        <w:jc w:val="both"/>
      </w:pPr>
      <w:r>
        <w:t>Sin perjuicio de lo anterior, los interesados podrán interponer recurso contencioso-administrativo en el plazo de dos meses ante el Juzgado de lo Contencioso-Administrativo de Donostia-San Sebastian.</w:t>
      </w:r>
    </w:p>
    <w:p w:rsidR="00482668" w:rsidRDefault="00482668">
      <w:pPr>
        <w:pStyle w:val="Zerrenda-paragrafoa"/>
        <w:ind w:left="1080" w:firstLine="0"/>
        <w:jc w:val="both"/>
        <w:rPr>
          <w:b/>
          <w:bCs/>
          <w:shd w:val="clear" w:color="auto" w:fill="FFFF00"/>
        </w:rPr>
      </w:pPr>
    </w:p>
    <w:p w:rsidR="00482668" w:rsidRDefault="00482668" w:rsidP="00CF7B07">
      <w:pPr>
        <w:ind w:firstLine="0"/>
        <w:jc w:val="both"/>
      </w:pPr>
    </w:p>
    <w:p w:rsidR="00482668" w:rsidRDefault="00762B21">
      <w:pPr>
        <w:pStyle w:val="Zerrenda-paragrafoa"/>
        <w:numPr>
          <w:ilvl w:val="0"/>
          <w:numId w:val="25"/>
        </w:numPr>
        <w:jc w:val="both"/>
        <w:outlineLvl w:val="1"/>
        <w:rPr>
          <w:b/>
          <w:bCs/>
        </w:rPr>
      </w:pPr>
      <w:bookmarkStart w:id="218" w:name="_Toc108763793"/>
      <w:bookmarkStart w:id="219" w:name="_Toc115897537"/>
      <w:bookmarkStart w:id="220" w:name="_Toc108599934"/>
      <w:bookmarkStart w:id="221" w:name="_Toc121128559"/>
      <w:r>
        <w:rPr>
          <w:b/>
          <w:bCs/>
        </w:rPr>
        <w:t>ALTERACIÓN DE LAS CONDICIONES DE LAS AYUDAS</w:t>
      </w:r>
      <w:bookmarkEnd w:id="218"/>
      <w:bookmarkEnd w:id="219"/>
      <w:bookmarkEnd w:id="220"/>
      <w:bookmarkEnd w:id="221"/>
    </w:p>
    <w:p w:rsidR="00482668" w:rsidRDefault="00482668">
      <w:pPr>
        <w:ind w:firstLine="0"/>
        <w:jc w:val="both"/>
      </w:pPr>
    </w:p>
    <w:p w:rsidR="00482668" w:rsidRDefault="00762B21">
      <w:pPr>
        <w:ind w:firstLine="0"/>
        <w:jc w:val="both"/>
      </w:pPr>
      <w:r>
        <w:t>La sustitución de la persona titular de la actuación, siempre que sea una persona física, una vez dictada la resolución administrativa que le haya reconocido las ayudas, conllevará la revocación de ésta y el dictado de una resolución a favor de la nueva titular de la actuación en el caso de que cumpla los requisitos previstos, salvo en el caso del representante de la Comunidad de Propietarios que se considerará sustituido por quien ostente el cargo que le autor</w:t>
      </w:r>
      <w:r w:rsidR="008B3829">
        <w:t>izó para presentar la solicitud</w:t>
      </w:r>
      <w:r>
        <w:t xml:space="preserve">. </w:t>
      </w:r>
    </w:p>
    <w:p w:rsidR="00482668" w:rsidRDefault="00482668">
      <w:pPr>
        <w:jc w:val="both"/>
      </w:pPr>
    </w:p>
    <w:p w:rsidR="00482668" w:rsidRDefault="00762B21">
      <w:pPr>
        <w:ind w:firstLine="0"/>
        <w:jc w:val="both"/>
      </w:pPr>
      <w:r>
        <w:t xml:space="preserve">Toda alteración de las condiciones tenidas en cuenta para la concesión de las ayudas, siempre que se entienda cumplido el objeto de éstas y, en su caso, la obtención concurrente de otras ayudas y subvenciones concedidas por cualquier otra entidad pública o privada, deberán ser comunicadas </w:t>
      </w:r>
      <w:r>
        <w:lastRenderedPageBreak/>
        <w:t xml:space="preserve">previamente para su aceptación expresa por el órgano competente para resolver la concesión, y podrá dar lugar a la modificación de la resolución de concesión. </w:t>
      </w:r>
    </w:p>
    <w:p w:rsidR="00482668" w:rsidRDefault="00482668">
      <w:pPr>
        <w:ind w:firstLine="0"/>
        <w:jc w:val="both"/>
      </w:pPr>
    </w:p>
    <w:p w:rsidR="00482668" w:rsidRDefault="00762B21">
      <w:pPr>
        <w:ind w:firstLine="0"/>
        <w:jc w:val="both"/>
      </w:pPr>
      <w:r>
        <w:t>A estos efectos, el órgano competente dictará la oportuna resolución de modificación o liquidación, en la que se reajustará el importe de las ayudas concedidas, aplicándose los criterios y límites establecidos en su otorgamiento, y quedando obligada la persona beneficiaria, en su caso, a la devolución del importe recibido en exceso.</w:t>
      </w:r>
    </w:p>
    <w:p w:rsidR="00482668" w:rsidRDefault="00482668">
      <w:pPr>
        <w:jc w:val="both"/>
      </w:pPr>
    </w:p>
    <w:p w:rsidR="00482668" w:rsidRDefault="00762B21">
      <w:pPr>
        <w:ind w:firstLine="0"/>
        <w:jc w:val="both"/>
      </w:pPr>
      <w:r>
        <w:t xml:space="preserve">En el caso de que el análisis de la documentación presentada muestre la consecución de ahorros en el consumo de energía primaria no renovable inferiores a los inicialmente estimados y superiores a los mínimos requeridos se procederá a la modificación a la baja de las ayudas públicas concedidas por este concepto. </w:t>
      </w:r>
    </w:p>
    <w:p w:rsidR="00482668" w:rsidRDefault="00482668">
      <w:pPr>
        <w:jc w:val="both"/>
      </w:pPr>
    </w:p>
    <w:p w:rsidR="00482668" w:rsidRDefault="00762B21">
      <w:pPr>
        <w:ind w:firstLine="0"/>
        <w:jc w:val="both"/>
      </w:pPr>
      <w:r>
        <w:t xml:space="preserve">En el caso de que el análisis de la documentación presentada muestre la consecución de ahorros en el consumo de energía primaria no renovable inferiores a los inicialmente estimados y a los mínimos requeridos se procederá a la devolución de todas las ayudas públicas concedidas. </w:t>
      </w:r>
    </w:p>
    <w:p w:rsidR="00482668" w:rsidRDefault="008B3829" w:rsidP="008B3829">
      <w:pPr>
        <w:tabs>
          <w:tab w:val="left" w:pos="6420"/>
        </w:tabs>
        <w:jc w:val="both"/>
      </w:pPr>
      <w:r>
        <w:tab/>
      </w:r>
    </w:p>
    <w:p w:rsidR="00482668" w:rsidRDefault="00762B21">
      <w:pPr>
        <w:ind w:firstLine="0"/>
        <w:jc w:val="both"/>
      </w:pPr>
      <w:r>
        <w:t xml:space="preserve">En ningún caso la modificación podrá afectar a la naturaleza de la actuación ni suponer el incumplimiento de los requisitos que justificaron la concesión de la ayuda que corresponda. </w:t>
      </w:r>
    </w:p>
    <w:p w:rsidR="00482668" w:rsidRDefault="00482668">
      <w:pPr>
        <w:jc w:val="both"/>
      </w:pPr>
    </w:p>
    <w:p w:rsidR="00482668" w:rsidRDefault="00762B21">
      <w:pPr>
        <w:ind w:firstLine="0"/>
        <w:jc w:val="both"/>
      </w:pPr>
      <w:r>
        <w:t xml:space="preserve">Si durante el transcurso de las correspondientes obras, dentro de los conceptos ya presupuestados, se variara a la baja el coste de las partidas, se modificará la resolución dictada siempre que se produzca una disminución del presupuesto, de la inversión o de los costes subvencionables estimado globalmente, pudiendo emitirse una resolución de minoración a estos mismos efectos. </w:t>
      </w:r>
    </w:p>
    <w:p w:rsidR="00482668" w:rsidRDefault="00482668">
      <w:pPr>
        <w:jc w:val="both"/>
      </w:pPr>
    </w:p>
    <w:p w:rsidR="00482668" w:rsidRDefault="00762B21">
      <w:pPr>
        <w:ind w:firstLine="0"/>
        <w:jc w:val="both"/>
      </w:pPr>
      <w:r>
        <w:t xml:space="preserve">En cualquier caso, la no ejecución de las obras, así como la no presentación de la documentación exigida, o el incumplimiento de los requisitos mínimos para tener acceso a las ayudas, </w:t>
      </w:r>
      <w:r w:rsidR="008B3829">
        <w:t>darán</w:t>
      </w:r>
      <w:r>
        <w:t xml:space="preserve"> lugar a la revocación de las ayudas debiendo procederse a la devolución de todos los importes percibidos. </w:t>
      </w:r>
    </w:p>
    <w:p w:rsidR="00482668" w:rsidRDefault="00482668">
      <w:pPr>
        <w:jc w:val="both"/>
      </w:pPr>
    </w:p>
    <w:p w:rsidR="00482668" w:rsidRDefault="00482668">
      <w:pPr>
        <w:jc w:val="both"/>
      </w:pPr>
    </w:p>
    <w:p w:rsidR="00482668" w:rsidRDefault="00762B21">
      <w:pPr>
        <w:pStyle w:val="Zerrenda-paragrafoa"/>
        <w:numPr>
          <w:ilvl w:val="0"/>
          <w:numId w:val="25"/>
        </w:numPr>
        <w:jc w:val="both"/>
        <w:outlineLvl w:val="1"/>
      </w:pPr>
      <w:bookmarkStart w:id="222" w:name="_Toc108763794"/>
      <w:bookmarkStart w:id="223" w:name="_Toc115897538"/>
      <w:bookmarkStart w:id="224" w:name="_Toc108599935"/>
      <w:bookmarkStart w:id="225" w:name="_Toc121128560"/>
      <w:r>
        <w:rPr>
          <w:b/>
          <w:bCs/>
        </w:rPr>
        <w:t>PUBLICIDAD</w:t>
      </w:r>
      <w:r>
        <w:rPr>
          <w:b/>
        </w:rPr>
        <w:t xml:space="preserve"> DE LAS SUBVENCIONES CONCEDIDAS</w:t>
      </w:r>
      <w:bookmarkEnd w:id="222"/>
      <w:bookmarkEnd w:id="223"/>
      <w:bookmarkEnd w:id="224"/>
      <w:bookmarkEnd w:id="225"/>
    </w:p>
    <w:p w:rsidR="00482668" w:rsidRDefault="00482668">
      <w:pPr>
        <w:jc w:val="both"/>
      </w:pPr>
    </w:p>
    <w:p w:rsidR="00482668" w:rsidRPr="000C6080" w:rsidRDefault="00762B21" w:rsidP="000C6080">
      <w:pPr>
        <w:ind w:firstLine="0"/>
        <w:jc w:val="both"/>
      </w:pPr>
      <w:r w:rsidRPr="000C6080">
        <w:t>La resolución de la concesión de la subvención será publicada en la Base de Datos Nacional de Subvenciones con expresión de la convocatoria, el programa, el crédito presupuestario al que se impute, el beneficiario, la cantidad concedida y la finalidad o finalidades de la subvención.</w:t>
      </w:r>
    </w:p>
    <w:p w:rsidR="00482668" w:rsidRDefault="00482668">
      <w:pPr>
        <w:jc w:val="both"/>
      </w:pPr>
    </w:p>
    <w:p w:rsidR="00482668" w:rsidRDefault="00762B21">
      <w:pPr>
        <w:spacing w:after="160" w:line="259" w:lineRule="auto"/>
        <w:ind w:firstLine="0"/>
        <w:jc w:val="both"/>
      </w:pPr>
      <w:r>
        <w:rPr>
          <w:rFonts w:cs="Times New Roman"/>
        </w:rPr>
        <w:t xml:space="preserve">Toda referencia en cualquier medio de difusión a la actuación objeto de las ayudas deberá cumplir con los requisitos que figuran en el </w:t>
      </w:r>
      <w:r w:rsidR="000723F6">
        <w:rPr>
          <w:rFonts w:cs="Times New Roman"/>
        </w:rPr>
        <w:fldChar w:fldCharType="begin"/>
      </w:r>
      <w:r>
        <w:rPr>
          <w:rFonts w:cs="Times New Roman"/>
        </w:rPr>
        <w:instrText>REF _Ref108716312 \r \h</w:instrText>
      </w:r>
      <w:r w:rsidR="000723F6">
        <w:rPr>
          <w:rFonts w:cs="Times New Roman"/>
        </w:rPr>
      </w:r>
      <w:r w:rsidR="000723F6">
        <w:rPr>
          <w:rFonts w:cs="Times New Roman"/>
        </w:rPr>
        <w:fldChar w:fldCharType="separate"/>
      </w:r>
      <w:r w:rsidR="00904A83">
        <w:rPr>
          <w:rFonts w:cs="Times New Roman"/>
        </w:rPr>
        <w:t>12</w:t>
      </w:r>
      <w:r w:rsidR="000723F6">
        <w:rPr>
          <w:rFonts w:cs="Times New Roman"/>
        </w:rPr>
        <w:fldChar w:fldCharType="end"/>
      </w:r>
      <w:r>
        <w:rPr>
          <w:rFonts w:cs="Times New Roman"/>
        </w:rPr>
        <w:t xml:space="preserve"> </w:t>
      </w:r>
      <w:r w:rsidR="000723F6">
        <w:fldChar w:fldCharType="begin"/>
      </w:r>
      <w:r>
        <w:instrText>REF _Ref115896604 \h</w:instrText>
      </w:r>
      <w:r w:rsidR="000723F6">
        <w:fldChar w:fldCharType="separate"/>
      </w:r>
      <w:r w:rsidR="00904A83">
        <w:rPr>
          <w:b/>
        </w:rPr>
        <w:t>REQUISITOS RELATIVOS A LA COMUNICACIÓN Y PUBLICIDAD</w:t>
      </w:r>
      <w:r w:rsidR="000723F6">
        <w:fldChar w:fldCharType="end"/>
      </w:r>
      <w:r w:rsidR="003A65EB">
        <w:rPr>
          <w:rFonts w:cs="Times New Roman"/>
        </w:rPr>
        <w:t xml:space="preserve"> de estas bases.</w:t>
      </w:r>
    </w:p>
    <w:p w:rsidR="00482668" w:rsidRDefault="00762B21" w:rsidP="000C6080">
      <w:pPr>
        <w:ind w:firstLine="0"/>
        <w:jc w:val="both"/>
      </w:pPr>
      <w:r w:rsidRPr="000C6080">
        <w:t>En su caso, además, deberá cumplir con lo previsto en la Ley 19/2013, de 9 de diciembre, de transparencia, acceso a la información pública y buen gobierno, respecto a las obligaciones de publicidad de las ayudas objeto de estas bases.</w:t>
      </w:r>
    </w:p>
    <w:p w:rsidR="000C6080" w:rsidRPr="000C6080" w:rsidRDefault="000C6080" w:rsidP="000C6080">
      <w:pPr>
        <w:ind w:firstLine="0"/>
        <w:jc w:val="both"/>
      </w:pPr>
    </w:p>
    <w:p w:rsidR="00482668" w:rsidRDefault="00482668">
      <w:pPr>
        <w:jc w:val="both"/>
      </w:pPr>
    </w:p>
    <w:p w:rsidR="00482668" w:rsidRDefault="00762B21">
      <w:pPr>
        <w:pStyle w:val="Zerrenda-paragrafoa"/>
        <w:numPr>
          <w:ilvl w:val="0"/>
          <w:numId w:val="25"/>
        </w:numPr>
        <w:jc w:val="both"/>
        <w:outlineLvl w:val="1"/>
        <w:rPr>
          <w:b/>
        </w:rPr>
      </w:pPr>
      <w:bookmarkStart w:id="226" w:name="_Ref108117409"/>
      <w:bookmarkStart w:id="227" w:name="_Toc108599936"/>
      <w:bookmarkStart w:id="228" w:name="_Toc108763795"/>
      <w:bookmarkStart w:id="229" w:name="_Toc115897539"/>
      <w:bookmarkStart w:id="230" w:name="_Ref108117400"/>
      <w:bookmarkStart w:id="231" w:name="_Toc121128561"/>
      <w:r>
        <w:rPr>
          <w:b/>
        </w:rPr>
        <w:t>DOCUMENTACIÓN PARA ACOMPAÑAR A LA SOLICITUD DE SUBVENCIÓN</w:t>
      </w:r>
      <w:bookmarkEnd w:id="226"/>
      <w:bookmarkEnd w:id="227"/>
      <w:bookmarkEnd w:id="228"/>
      <w:bookmarkEnd w:id="229"/>
      <w:bookmarkEnd w:id="230"/>
      <w:bookmarkEnd w:id="231"/>
    </w:p>
    <w:p w:rsidR="00482668" w:rsidRDefault="00482668">
      <w:pPr>
        <w:jc w:val="both"/>
      </w:pPr>
    </w:p>
    <w:p w:rsidR="00482668" w:rsidRDefault="00762B21">
      <w:pPr>
        <w:ind w:firstLine="0"/>
        <w:jc w:val="both"/>
      </w:pPr>
      <w:r>
        <w:t xml:space="preserve">La tramitación de las ayudas deberá efectuarse por quien represente a la Comunidad de propietarios, a la unidad de convivencia o al particular que presente una solicitud -este último podrá estar </w:t>
      </w:r>
      <w:r>
        <w:lastRenderedPageBreak/>
        <w:t>representado por sí mismo-, según modelos disponibles al efecto en la sede electrónica del Ayuntamiento de Lasarte-Oria. A ella se acompañará de la siguiente documentación:</w:t>
      </w:r>
    </w:p>
    <w:p w:rsidR="00482668" w:rsidRDefault="00482668">
      <w:pPr>
        <w:ind w:firstLine="0"/>
        <w:jc w:val="both"/>
      </w:pPr>
    </w:p>
    <w:p w:rsidR="00482668" w:rsidRDefault="00762B21">
      <w:pPr>
        <w:pStyle w:val="Zerrenda-paragrafoa"/>
        <w:numPr>
          <w:ilvl w:val="0"/>
          <w:numId w:val="16"/>
        </w:numPr>
        <w:tabs>
          <w:tab w:val="left" w:pos="851"/>
        </w:tabs>
        <w:spacing w:after="160" w:line="259" w:lineRule="auto"/>
        <w:ind w:left="426"/>
        <w:jc w:val="both"/>
        <w:rPr>
          <w:rFonts w:cs="Times New Roman"/>
        </w:rPr>
      </w:pPr>
      <w:r>
        <w:rPr>
          <w:rFonts w:cs="Times New Roman"/>
        </w:rPr>
        <w:t>Datos del solicitante, indicando apellidos y nombre o razón social, y NIF. En el caso de que el solicitante sea un agente o gestor de la rehabilitación, deberá presentar el acuerdo de la/s Persona/s Beneficiaria/s destinaria/s última/s de las ayudas que le faculte y autorice a actuar como tal.</w:t>
      </w:r>
    </w:p>
    <w:p w:rsidR="00482668" w:rsidRDefault="00762B21">
      <w:pPr>
        <w:pStyle w:val="Zerrenda-paragrafoa"/>
        <w:numPr>
          <w:ilvl w:val="0"/>
          <w:numId w:val="16"/>
        </w:numPr>
        <w:tabs>
          <w:tab w:val="left" w:pos="851"/>
        </w:tabs>
        <w:spacing w:after="160" w:line="259" w:lineRule="auto"/>
        <w:ind w:left="426"/>
        <w:jc w:val="both"/>
        <w:rPr>
          <w:rFonts w:cs="Times New Roman"/>
        </w:rPr>
      </w:pPr>
      <w:r>
        <w:rPr>
          <w:rFonts w:cs="Times New Roman"/>
        </w:rPr>
        <w:t>En su caso, datos del representante, indicando apellidos y nombre, NIF, así como la acreditación de la representación que ostenta, conforme a la normativa específica de aplicación.</w:t>
      </w:r>
    </w:p>
    <w:p w:rsidR="00482668" w:rsidRDefault="00762B21">
      <w:pPr>
        <w:pStyle w:val="Zerrenda-paragrafoa"/>
        <w:numPr>
          <w:ilvl w:val="0"/>
          <w:numId w:val="16"/>
        </w:numPr>
        <w:ind w:left="426"/>
        <w:jc w:val="both"/>
        <w:rPr>
          <w:rFonts w:cs="Times New Roman"/>
        </w:rPr>
      </w:pPr>
      <w:r>
        <w:rPr>
          <w:rFonts w:cs="Times New Roman"/>
        </w:rPr>
        <w:t>En el caso de comunidades de propietarios, copia del acta o certificado del secretario o administrador, donde conste el nombramiento del representante autorizado para solicitar la subvención</w:t>
      </w:r>
      <w:r w:rsidR="003A65EB">
        <w:rPr>
          <w:rFonts w:cs="Times New Roman"/>
        </w:rPr>
        <w:t>.</w:t>
      </w:r>
    </w:p>
    <w:p w:rsidR="00482668" w:rsidRDefault="00762B21">
      <w:pPr>
        <w:pStyle w:val="Zerrenda-paragrafoa"/>
        <w:numPr>
          <w:ilvl w:val="0"/>
          <w:numId w:val="16"/>
        </w:numPr>
        <w:ind w:left="426"/>
        <w:jc w:val="both"/>
        <w:rPr>
          <w:rFonts w:cs="Times New Roman"/>
        </w:rPr>
      </w:pPr>
      <w:r>
        <w:rPr>
          <w:rFonts w:cs="Times New Roman"/>
        </w:rPr>
        <w:t>Fotocopia del Código de Identificación Fiscal (CIF) de la Comunidad de propietarios, de su representante o de la persona jurídica propietaria del inmueble, en su caso.</w:t>
      </w:r>
    </w:p>
    <w:p w:rsidR="00482668" w:rsidRDefault="00762B21">
      <w:pPr>
        <w:pStyle w:val="Zerrenda-paragrafoa"/>
        <w:numPr>
          <w:ilvl w:val="0"/>
          <w:numId w:val="16"/>
        </w:numPr>
        <w:spacing w:after="160" w:line="259" w:lineRule="auto"/>
        <w:ind w:left="426"/>
        <w:jc w:val="both"/>
        <w:rPr>
          <w:rFonts w:cs="Times New Roman"/>
        </w:rPr>
      </w:pPr>
      <w:r>
        <w:rPr>
          <w:rFonts w:cs="Times New Roman"/>
        </w:rPr>
        <w:t>Descripción completa del edificio o edificios que sean objeto de las actuaciones, según corresponda, con indicación de su superficie construida, dirección postal, número de alturas total y por</w:t>
      </w:r>
      <w:r w:rsidR="003A65EB">
        <w:rPr>
          <w:rFonts w:cs="Times New Roman"/>
        </w:rPr>
        <w:t xml:space="preserve"> cada planta, incluida la baja.</w:t>
      </w:r>
    </w:p>
    <w:p w:rsidR="00482668" w:rsidRDefault="00762B21">
      <w:pPr>
        <w:pStyle w:val="Zerrenda-paragrafoa"/>
        <w:numPr>
          <w:ilvl w:val="0"/>
          <w:numId w:val="16"/>
        </w:numPr>
        <w:ind w:left="426"/>
        <w:jc w:val="both"/>
        <w:rPr>
          <w:rFonts w:cs="Times New Roman"/>
        </w:rPr>
      </w:pPr>
      <w:r>
        <w:rPr>
          <w:rFonts w:cs="Times New Roman"/>
        </w:rPr>
        <w:t>Descripción de las viviendas y, en su caso, locales del edificio objeto de las actuaciones, según corresponda, incluyendo sus superficies construidas, y referencias catastrales.</w:t>
      </w:r>
    </w:p>
    <w:p w:rsidR="00482668" w:rsidRDefault="00762B21">
      <w:pPr>
        <w:pStyle w:val="Zerrenda-paragrafoa"/>
        <w:numPr>
          <w:ilvl w:val="0"/>
          <w:numId w:val="16"/>
        </w:numPr>
        <w:tabs>
          <w:tab w:val="left" w:pos="851"/>
        </w:tabs>
        <w:spacing w:after="160" w:line="259" w:lineRule="auto"/>
        <w:ind w:left="426"/>
        <w:jc w:val="both"/>
      </w:pPr>
      <w:r>
        <w:t>Notas simples de las inscripciones registrales de todos los elementos integrantes del inmueble para el que se solicita la subvención.</w:t>
      </w:r>
      <w:r>
        <w:rPr>
          <w:rFonts w:cs="Times New Roman"/>
        </w:rPr>
        <w:t xml:space="preserve"> </w:t>
      </w:r>
    </w:p>
    <w:p w:rsidR="00482668" w:rsidRDefault="00762B21">
      <w:pPr>
        <w:pStyle w:val="Zerrenda-paragrafoa"/>
        <w:numPr>
          <w:ilvl w:val="0"/>
          <w:numId w:val="16"/>
        </w:numPr>
        <w:ind w:left="426"/>
        <w:jc w:val="both"/>
        <w:rPr>
          <w:rFonts w:cs="Times New Roman"/>
        </w:rPr>
      </w:pPr>
      <w:r>
        <w:rPr>
          <w:rFonts w:cs="Times New Roman"/>
        </w:rPr>
        <w:t>Tabla indicativa de la cuota de participación en las actuaciones del importe a abonar por cada elemento del edificio en función de su cuota de participación.</w:t>
      </w:r>
    </w:p>
    <w:p w:rsidR="00482668" w:rsidRDefault="00762B21">
      <w:pPr>
        <w:pStyle w:val="Zerrenda-paragrafoa"/>
        <w:numPr>
          <w:ilvl w:val="0"/>
          <w:numId w:val="16"/>
        </w:numPr>
        <w:tabs>
          <w:tab w:val="left" w:pos="851"/>
        </w:tabs>
        <w:spacing w:line="259" w:lineRule="auto"/>
        <w:ind w:left="426"/>
        <w:jc w:val="both"/>
        <w:rPr>
          <w:rFonts w:cs="Times New Roman"/>
        </w:rPr>
      </w:pPr>
      <w:r>
        <w:rPr>
          <w:rFonts w:cs="Times New Roman"/>
        </w:rPr>
        <w:t>Copia del acta o certificado del secretario o administrador con el acuerdo de la comunidad, de las comunidades de propietarios/as debidamente agrupadas, o de la asamblea de la cooperativa, por el que se aprueba la realización de la rehabilitación eficiente del edificio objeto de las ayudas.</w:t>
      </w:r>
    </w:p>
    <w:p w:rsidR="00482668" w:rsidRDefault="00762B21">
      <w:pPr>
        <w:pStyle w:val="Zerrenda-paragrafoa"/>
        <w:numPr>
          <w:ilvl w:val="0"/>
          <w:numId w:val="16"/>
        </w:numPr>
        <w:ind w:left="426"/>
        <w:jc w:val="both"/>
        <w:rPr>
          <w:rFonts w:cs="Times New Roman"/>
        </w:rPr>
      </w:pPr>
      <w:r>
        <w:rPr>
          <w:rFonts w:cs="Times New Roman"/>
        </w:rPr>
        <w:t>Certificado de la titularidad de la cuenta bancaria de la Comunidad o Mancomunidad de Propietarios específica y únicamente destinada a la rehabilitación eficiente del edificio donde se le efectuará el ingreso de la ayuda concedida.</w:t>
      </w:r>
    </w:p>
    <w:p w:rsidR="00482668" w:rsidRDefault="00762B21">
      <w:pPr>
        <w:pStyle w:val="Zerrenda-paragrafoa"/>
        <w:numPr>
          <w:ilvl w:val="0"/>
          <w:numId w:val="16"/>
        </w:numPr>
        <w:ind w:left="426"/>
        <w:jc w:val="both"/>
        <w:rPr>
          <w:rFonts w:cs="Times New Roman"/>
        </w:rPr>
      </w:pPr>
      <w:r>
        <w:rPr>
          <w:rFonts w:cs="Times New Roman"/>
        </w:rPr>
        <w:t xml:space="preserve">Libro del edificio existente para la rehabilitación o, en su defecto, un estudio sobre el potencial de mejora del edificio o vivienda en relación con los requisitos básicos definidos en la Ley 38/1999, de 5 de noviembre, de Ordenación de la Edificación y un Plan de actuaciones en el que se identifique </w:t>
      </w:r>
      <w:r w:rsidR="003A65EB">
        <w:rPr>
          <w:rFonts w:cs="Times New Roman"/>
        </w:rPr>
        <w:t>la actuación y mejora propuesta.</w:t>
      </w:r>
    </w:p>
    <w:p w:rsidR="00482668" w:rsidRDefault="00762B21">
      <w:pPr>
        <w:pStyle w:val="Zerrenda-paragrafoa"/>
        <w:numPr>
          <w:ilvl w:val="0"/>
          <w:numId w:val="16"/>
        </w:numPr>
        <w:tabs>
          <w:tab w:val="left" w:pos="851"/>
        </w:tabs>
        <w:spacing w:line="259" w:lineRule="auto"/>
        <w:ind w:left="426"/>
        <w:jc w:val="both"/>
        <w:rPr>
          <w:rFonts w:cs="Times New Roman"/>
        </w:rPr>
      </w:pPr>
      <w:r>
        <w:rPr>
          <w:rFonts w:cs="Times New Roman"/>
        </w:rPr>
        <w:t>Proyecto técnico de rehabilitación eficiente del edificio, según corresponda, que deberán contar con la conformidad de la/s Persona/s Beneficiaria/s destinaria/as última/s de las ayudas de acuerdo con el punto h). En el Proyecto se incluirá una Memoria específica de actuación en la que se justificará el cumplimiento del principio DNSH, así como el estudio de Seguridad y Salud, el Programa de Gestión de Residuos y el Plan de Control de Calidad.</w:t>
      </w:r>
    </w:p>
    <w:p w:rsidR="00482668" w:rsidRPr="00E76243" w:rsidRDefault="00762B21" w:rsidP="00E76243">
      <w:pPr>
        <w:pStyle w:val="Zerrenda-paragrafoa"/>
        <w:numPr>
          <w:ilvl w:val="0"/>
          <w:numId w:val="16"/>
        </w:numPr>
        <w:tabs>
          <w:tab w:val="left" w:pos="851"/>
        </w:tabs>
        <w:spacing w:line="259" w:lineRule="auto"/>
        <w:ind w:left="426"/>
        <w:jc w:val="both"/>
        <w:rPr>
          <w:rFonts w:cs="Times New Roman"/>
        </w:rPr>
      </w:pPr>
      <w:r w:rsidRPr="00E76243">
        <w:rPr>
          <w:rFonts w:cs="Times New Roman"/>
        </w:rPr>
        <w:t xml:space="preserve">Inicialmente, y de forma alternativa, podrá presentarse una memoria justificativa de la actuación propuesta. La documentación mínima de esta memoria contendrá la descripción de las actuaciones, desglosada según los apartados incluidos en el </w:t>
      </w:r>
      <w:r w:rsidRPr="00E76243">
        <w:rPr>
          <w:rFonts w:cs="Times New Roman"/>
          <w:bCs/>
        </w:rPr>
        <w:t>“CAPÍTULO II.  SUBVENCIONES PROCEDENTES DEL PROGRAMA 1 DEL R.D. 853/2021</w:t>
      </w:r>
      <w:r w:rsidRPr="00E76243">
        <w:rPr>
          <w:rFonts w:cs="Times New Roman"/>
        </w:rPr>
        <w:t>” Se acompañará esta memoria del presupuesto y los planos elaborados con los mismos criterios y desglose de acuerdo a la 1 del</w:t>
      </w:r>
      <w:r w:rsidR="00B76C09" w:rsidRPr="00E76243">
        <w:rPr>
          <w:rFonts w:cs="Times New Roman"/>
        </w:rPr>
        <w:t xml:space="preserve"> art.</w:t>
      </w:r>
      <w:r w:rsidRPr="00E76243">
        <w:rPr>
          <w:rFonts w:cs="Times New Roman"/>
        </w:rPr>
        <w:t xml:space="preserve"> </w:t>
      </w:r>
      <w:r w:rsidR="000723F6" w:rsidRPr="00E76243">
        <w:rPr>
          <w:rFonts w:cs="Times New Roman"/>
        </w:rPr>
        <w:fldChar w:fldCharType="begin"/>
      </w:r>
      <w:r w:rsidRPr="00E76243">
        <w:rPr>
          <w:rFonts w:cs="Times New Roman"/>
        </w:rPr>
        <w:instrText>REF _Ref507957007 \r \h</w:instrText>
      </w:r>
      <w:r w:rsidR="000723F6" w:rsidRPr="00E76243">
        <w:rPr>
          <w:rFonts w:cs="Times New Roman"/>
        </w:rPr>
      </w:r>
      <w:r w:rsidR="000723F6" w:rsidRPr="00E76243">
        <w:rPr>
          <w:rFonts w:cs="Times New Roman"/>
        </w:rPr>
        <w:fldChar w:fldCharType="separate"/>
      </w:r>
      <w:r w:rsidR="00904A83">
        <w:rPr>
          <w:rFonts w:cs="Times New Roman"/>
        </w:rPr>
        <w:t>4</w:t>
      </w:r>
      <w:r w:rsidR="000723F6" w:rsidRPr="00E76243">
        <w:rPr>
          <w:rFonts w:cs="Times New Roman"/>
        </w:rPr>
        <w:fldChar w:fldCharType="end"/>
      </w:r>
      <w:r w:rsidRPr="00E76243">
        <w:rPr>
          <w:rFonts w:cs="Times New Roman"/>
        </w:rPr>
        <w:t xml:space="preserve"> </w:t>
      </w:r>
      <w:r w:rsidR="000723F6">
        <w:fldChar w:fldCharType="begin"/>
      </w:r>
      <w:r>
        <w:instrText>REF _Ref507957007 \h</w:instrText>
      </w:r>
      <w:r w:rsidR="000723F6">
        <w:fldChar w:fldCharType="separate"/>
      </w:r>
      <w:r w:rsidR="00904A83">
        <w:rPr>
          <w:b/>
        </w:rPr>
        <w:t>ACTUACIONES QUE SE DEBEN CONSIDERAR EN LA REHABILITACIÓN ENERGÉTICA EFICIENTE</w:t>
      </w:r>
      <w:r w:rsidR="000723F6">
        <w:fldChar w:fldCharType="end"/>
      </w:r>
      <w:r w:rsidRPr="00E76243">
        <w:rPr>
          <w:rFonts w:cs="Times New Roman"/>
        </w:rPr>
        <w:t xml:space="preserve"> </w:t>
      </w:r>
    </w:p>
    <w:p w:rsidR="00482668" w:rsidRDefault="00762B21">
      <w:pPr>
        <w:pStyle w:val="Zerrenda-paragrafoa"/>
        <w:numPr>
          <w:ilvl w:val="0"/>
          <w:numId w:val="16"/>
        </w:numPr>
        <w:spacing w:line="259" w:lineRule="auto"/>
        <w:ind w:left="426"/>
        <w:jc w:val="both"/>
        <w:rPr>
          <w:rFonts w:cs="Times New Roman"/>
        </w:rPr>
      </w:pPr>
      <w:r w:rsidRPr="00E76243">
        <w:rPr>
          <w:rFonts w:cs="Times New Roman"/>
        </w:rPr>
        <w:lastRenderedPageBreak/>
        <w:t>En el caso de proyectos técnicos de rehabilitación del edificio, reportaje fotográfico, preferentemente en color, de todas aquellas zonas que se vayan a ver afectadas por el mismo, así como de la fachada principal del edificio.</w:t>
      </w:r>
    </w:p>
    <w:p w:rsidR="00482668" w:rsidRDefault="00762B21">
      <w:pPr>
        <w:pStyle w:val="Zerrenda-paragrafoa"/>
        <w:numPr>
          <w:ilvl w:val="0"/>
          <w:numId w:val="16"/>
        </w:numPr>
        <w:spacing w:line="259" w:lineRule="auto"/>
        <w:ind w:left="426"/>
        <w:jc w:val="both"/>
        <w:rPr>
          <w:rFonts w:cs="Times New Roman"/>
        </w:rPr>
      </w:pPr>
      <w:r>
        <w:rPr>
          <w:rFonts w:cs="Times New Roman"/>
        </w:rPr>
        <w:t>En el caso de rehabilitación de una vivienda, reportaje fotográfico, preferentemente en color, de todas aquellas ventanas o cerramientos acristalados que se vayan a sustituir o duplicar, así como de las fachadas del edificio en que estas se encuentran.</w:t>
      </w:r>
    </w:p>
    <w:p w:rsidR="00482668" w:rsidRDefault="00762B21">
      <w:pPr>
        <w:pStyle w:val="Zerrenda-paragrafoa"/>
        <w:numPr>
          <w:ilvl w:val="0"/>
          <w:numId w:val="16"/>
        </w:numPr>
        <w:spacing w:line="259" w:lineRule="auto"/>
        <w:ind w:left="426"/>
        <w:jc w:val="both"/>
        <w:rPr>
          <w:rFonts w:cs="Times New Roman"/>
        </w:rPr>
      </w:pPr>
      <w:r>
        <w:rPr>
          <w:rFonts w:cs="Times New Roman"/>
        </w:rPr>
        <w:t xml:space="preserve">Honorarios de redacción del Libro del edificio, de la Inspección Técnica del edificio, del Anteproyecto, de los proyectos Básico y/o de Ejecución, de la dirección facultativa de las obras y de cuantos otros trabajos técnicos o de gestión se hubieran realizado. </w:t>
      </w:r>
    </w:p>
    <w:p w:rsidR="00482668" w:rsidRDefault="00762B21">
      <w:pPr>
        <w:pStyle w:val="Zerrenda-paragrafoa"/>
        <w:numPr>
          <w:ilvl w:val="0"/>
          <w:numId w:val="16"/>
        </w:numPr>
        <w:spacing w:line="259" w:lineRule="auto"/>
        <w:ind w:left="426"/>
        <w:jc w:val="both"/>
        <w:rPr>
          <w:rFonts w:cs="Times New Roman"/>
        </w:rPr>
      </w:pPr>
      <w:r>
        <w:rPr>
          <w:rFonts w:cs="Times New Roman"/>
        </w:rPr>
        <w:t xml:space="preserve">Certificado de eficiencia energética del edificio o vivienda existente, según corresponda, en su estado actual, con el contenido requerido en el Real Decreto 390/2021, de 1 de junio, firmado por técnico competente y registrado en el registro del órgano competente de la Comunidad Autónoma del País Vasco. </w:t>
      </w:r>
    </w:p>
    <w:p w:rsidR="00482668" w:rsidRDefault="00762B21">
      <w:pPr>
        <w:pStyle w:val="Zerrenda-paragrafoa"/>
        <w:numPr>
          <w:ilvl w:val="0"/>
          <w:numId w:val="16"/>
        </w:numPr>
        <w:spacing w:line="259" w:lineRule="auto"/>
        <w:ind w:left="426"/>
        <w:jc w:val="both"/>
        <w:rPr>
          <w:rFonts w:cs="Times New Roman"/>
        </w:rPr>
      </w:pPr>
      <w:r>
        <w:rPr>
          <w:rFonts w:cs="Times New Roman"/>
        </w:rPr>
        <w:t>Certificado de eficiencia energética estimado, incluyendo las actuaciones contempladas en el proyecto o la memoria justificativa, realizado con el mismo programa reconocido de certificación que el utilizado para el Certificado de eficiencia energética del edificio o vivienda existente en su estado actual, suscrito por técnico competente.</w:t>
      </w:r>
    </w:p>
    <w:p w:rsidR="00482668" w:rsidRDefault="00762B21">
      <w:pPr>
        <w:pStyle w:val="Zerrenda-paragrafoa"/>
        <w:numPr>
          <w:ilvl w:val="0"/>
          <w:numId w:val="16"/>
        </w:numPr>
        <w:ind w:left="426"/>
        <w:jc w:val="both"/>
        <w:rPr>
          <w:rFonts w:cs="Times New Roman"/>
        </w:rPr>
      </w:pPr>
      <w:r>
        <w:rPr>
          <w:rFonts w:cs="Times New Roman"/>
        </w:rPr>
        <w:t>Relación, porcentaje y cuantías de todas las ayudas solicitadas acorde con el desglose presupuestario antes indicado.</w:t>
      </w:r>
    </w:p>
    <w:p w:rsidR="00482668" w:rsidRDefault="00762B21">
      <w:pPr>
        <w:pStyle w:val="Zerrenda-paragrafoa"/>
        <w:numPr>
          <w:ilvl w:val="0"/>
          <w:numId w:val="16"/>
        </w:numPr>
        <w:spacing w:line="259" w:lineRule="auto"/>
        <w:ind w:left="426"/>
        <w:jc w:val="both"/>
        <w:rPr>
          <w:rFonts w:cs="Times New Roman"/>
        </w:rPr>
      </w:pPr>
      <w:r>
        <w:rPr>
          <w:rFonts w:cs="Times New Roman"/>
        </w:rPr>
        <w:t>Fotocopia de las certificaciones de que la Comunidad está al corriente del cumplimiento de las obligaciones tributarias y con la Seguridad Social.</w:t>
      </w:r>
    </w:p>
    <w:p w:rsidR="00482668" w:rsidRDefault="00762B21">
      <w:pPr>
        <w:pStyle w:val="Zerrenda-paragrafoa"/>
        <w:numPr>
          <w:ilvl w:val="0"/>
          <w:numId w:val="16"/>
        </w:numPr>
        <w:spacing w:line="259" w:lineRule="auto"/>
        <w:ind w:left="426"/>
        <w:jc w:val="both"/>
        <w:rPr>
          <w:rFonts w:cs="Times New Roman"/>
        </w:rPr>
      </w:pPr>
      <w:r>
        <w:rPr>
          <w:rFonts w:cs="Times New Roman"/>
        </w:rPr>
        <w:t>En su caso, fotocopia de los NIF de los integrantes de la unidad de convivencia, así como su certificado de empadronamiento.</w:t>
      </w:r>
    </w:p>
    <w:p w:rsidR="00482668" w:rsidRDefault="00762B21">
      <w:pPr>
        <w:pStyle w:val="Zerrenda-paragrafoa"/>
        <w:numPr>
          <w:ilvl w:val="0"/>
          <w:numId w:val="16"/>
        </w:numPr>
        <w:spacing w:line="259" w:lineRule="auto"/>
        <w:ind w:left="426"/>
        <w:jc w:val="both"/>
      </w:pPr>
      <w:r>
        <w:rPr>
          <w:rFonts w:cs="Times New Roman"/>
        </w:rPr>
        <w:t>En su caso, y para todos los miembros de la unidad de convivencia mayores de edad: certificado de las Bases Imponibles, general y de ahorro del IRPF, o bien de los rendimientos de trabajo y sus retenciones, emitidos por la Diputación Foral; o, en su defecto,</w:t>
      </w:r>
      <w:r>
        <w:t xml:space="preserve"> certificados de p</w:t>
      </w:r>
      <w:r>
        <w:rPr>
          <w:rFonts w:cs="Times New Roman"/>
        </w:rPr>
        <w:t>restaciones de desempleo, pensiones u otros ingresos, emitidos por la Seguridad Social u otros organismos competentes</w:t>
      </w:r>
      <w:r w:rsidR="003A65EB">
        <w:rPr>
          <w:rFonts w:cs="Times New Roman"/>
        </w:rPr>
        <w:t>.</w:t>
      </w:r>
    </w:p>
    <w:p w:rsidR="00482668" w:rsidRDefault="00762B21">
      <w:pPr>
        <w:pStyle w:val="Zerrenda-paragrafoa"/>
        <w:numPr>
          <w:ilvl w:val="0"/>
          <w:numId w:val="16"/>
        </w:numPr>
        <w:spacing w:line="259" w:lineRule="auto"/>
        <w:ind w:left="426"/>
        <w:jc w:val="both"/>
      </w:pPr>
      <w:r>
        <w:rPr>
          <w:rFonts w:cs="Times New Roman"/>
        </w:rPr>
        <w:t xml:space="preserve">Cuanta documentación </w:t>
      </w:r>
      <w:bookmarkStart w:id="232" w:name="_Hlk101436877"/>
      <w:r>
        <w:rPr>
          <w:rFonts w:cs="Times New Roman"/>
        </w:rPr>
        <w:t xml:space="preserve">se relaciona en el </w:t>
      </w:r>
      <w:r w:rsidR="000723F6">
        <w:rPr>
          <w:rFonts w:cs="Times New Roman"/>
        </w:rPr>
        <w:fldChar w:fldCharType="begin"/>
      </w:r>
      <w:r>
        <w:rPr>
          <w:rFonts w:cs="Times New Roman"/>
        </w:rPr>
        <w:instrText>REF _Ref108717125 \r \h</w:instrText>
      </w:r>
      <w:r w:rsidR="000723F6">
        <w:rPr>
          <w:rFonts w:cs="Times New Roman"/>
        </w:rPr>
      </w:r>
      <w:r w:rsidR="000723F6">
        <w:rPr>
          <w:rFonts w:cs="Times New Roman"/>
        </w:rPr>
        <w:fldChar w:fldCharType="separate"/>
      </w:r>
      <w:r w:rsidR="00904A83">
        <w:rPr>
          <w:rFonts w:cs="Times New Roman"/>
        </w:rPr>
        <w:t>8</w:t>
      </w:r>
      <w:r w:rsidR="000723F6">
        <w:rPr>
          <w:rFonts w:cs="Times New Roman"/>
        </w:rPr>
        <w:fldChar w:fldCharType="end"/>
      </w:r>
      <w:r>
        <w:rPr>
          <w:rFonts w:cs="Times New Roman"/>
        </w:rPr>
        <w:t xml:space="preserve"> </w:t>
      </w:r>
      <w:r w:rsidR="000723F6">
        <w:fldChar w:fldCharType="begin"/>
      </w:r>
      <w:r>
        <w:instrText>REF _Ref108717133 \h</w:instrText>
      </w:r>
      <w:r w:rsidR="000723F6">
        <w:fldChar w:fldCharType="separate"/>
      </w:r>
      <w:r w:rsidR="00904A83">
        <w:rPr>
          <w:b/>
        </w:rPr>
        <w:t>OBLIGACIONES DE LAS PERSONAS DESTINATARIAS ÚLTIMAS DE LA AYUDAS</w:t>
      </w:r>
      <w:r w:rsidR="000723F6">
        <w:fldChar w:fldCharType="end"/>
      </w:r>
      <w:r>
        <w:rPr>
          <w:rFonts w:cs="Times New Roman"/>
        </w:rPr>
        <w:t xml:space="preserve"> </w:t>
      </w:r>
      <w:r>
        <w:rPr>
          <w:rFonts w:cs="Times New Roman"/>
          <w:b/>
          <w:bCs/>
        </w:rPr>
        <w:t>,</w:t>
      </w:r>
      <w:r>
        <w:rPr>
          <w:rFonts w:cs="Times New Roman"/>
        </w:rPr>
        <w:t xml:space="preserve"> </w:t>
      </w:r>
      <w:bookmarkEnd w:id="232"/>
      <w:r>
        <w:rPr>
          <w:rFonts w:cs="Times New Roman"/>
        </w:rPr>
        <w:t>y que debe acompañar a la solicitud. Especialmente, la evaluación favorable de adecuación o, en su caso, una declaración responsable del cumplimiento del principio de «no causar un perjuicio significativo al medio ambiente» en el sentido establecido en el apartado 6 del artículo 2 del Reglamento (UE) 2021/241 del Parlamento europeo y del Consejo de 12 de febrero de 2021 por el que se establece el Mecanismo de Recuperación y Resiliencia.</w:t>
      </w:r>
    </w:p>
    <w:p w:rsidR="00482668" w:rsidRDefault="00482668">
      <w:pPr>
        <w:pStyle w:val="Zerrenda-paragrafoa"/>
        <w:spacing w:line="259" w:lineRule="auto"/>
        <w:ind w:left="567" w:firstLine="0"/>
        <w:jc w:val="both"/>
        <w:rPr>
          <w:rFonts w:cs="Times New Roman"/>
        </w:rPr>
      </w:pPr>
    </w:p>
    <w:p w:rsidR="000C6080" w:rsidRDefault="000C6080">
      <w:pPr>
        <w:pStyle w:val="Zerrenda-paragrafoa"/>
        <w:spacing w:line="259" w:lineRule="auto"/>
        <w:ind w:left="567" w:firstLine="0"/>
        <w:jc w:val="both"/>
        <w:rPr>
          <w:rFonts w:cs="Times New Roman"/>
        </w:rPr>
      </w:pPr>
    </w:p>
    <w:p w:rsidR="00482668" w:rsidRDefault="00762B21">
      <w:pPr>
        <w:spacing w:after="160" w:line="259" w:lineRule="auto"/>
        <w:ind w:firstLine="0"/>
        <w:jc w:val="both"/>
        <w:rPr>
          <w:rFonts w:cs="Times New Roman"/>
        </w:rPr>
      </w:pPr>
      <w:r>
        <w:rPr>
          <w:rFonts w:cs="Times New Roman"/>
        </w:rPr>
        <w:t>La presentación de esta documentación comporta la aceptación incondicionada de las presentes Bases</w:t>
      </w:r>
      <w:r w:rsidR="003A65EB">
        <w:rPr>
          <w:rFonts w:cs="Times New Roman"/>
        </w:rPr>
        <w:t>.</w:t>
      </w:r>
      <w:r>
        <w:rPr>
          <w:rFonts w:cs="Times New Roman"/>
        </w:rPr>
        <w:t xml:space="preserve"> </w:t>
      </w:r>
    </w:p>
    <w:p w:rsidR="00482668" w:rsidRDefault="00762B21">
      <w:pPr>
        <w:spacing w:after="160" w:line="259" w:lineRule="auto"/>
        <w:ind w:firstLine="0"/>
        <w:jc w:val="both"/>
        <w:rPr>
          <w:rFonts w:cs="Times New Roman"/>
        </w:rPr>
      </w:pPr>
      <w:r>
        <w:rPr>
          <w:rFonts w:cs="Times New Roman"/>
        </w:rPr>
        <w:t>La OTGP replicará cuantas veces sea necesario y comprobará la documentación anterior, así como la que complementariamente exigieran los organismos competentes en cada caso para elaborar las solicitudes de las subvenciones previstas en estas bases y en cualesquiera otras que vaya a coordinar.</w:t>
      </w:r>
    </w:p>
    <w:p w:rsidR="007A65F6" w:rsidRDefault="007A65F6">
      <w:pPr>
        <w:spacing w:after="160" w:line="259" w:lineRule="auto"/>
        <w:ind w:firstLine="0"/>
        <w:jc w:val="both"/>
        <w:rPr>
          <w:rFonts w:cs="Times New Roman"/>
        </w:rPr>
      </w:pPr>
    </w:p>
    <w:p w:rsidR="000C6080" w:rsidRDefault="000C6080">
      <w:pPr>
        <w:spacing w:after="160" w:line="259" w:lineRule="auto"/>
        <w:ind w:firstLine="0"/>
        <w:jc w:val="both"/>
        <w:rPr>
          <w:rFonts w:cs="Times New Roman"/>
        </w:rPr>
      </w:pPr>
    </w:p>
    <w:p w:rsidR="00482668" w:rsidRDefault="00762B21">
      <w:pPr>
        <w:pStyle w:val="Zerrenda-paragrafoa"/>
        <w:numPr>
          <w:ilvl w:val="0"/>
          <w:numId w:val="25"/>
        </w:numPr>
        <w:jc w:val="both"/>
        <w:outlineLvl w:val="1"/>
        <w:rPr>
          <w:b/>
        </w:rPr>
      </w:pPr>
      <w:bookmarkStart w:id="233" w:name="_Toc108763796"/>
      <w:bookmarkStart w:id="234" w:name="_Toc115897540"/>
      <w:bookmarkStart w:id="235" w:name="_Toc108599937"/>
      <w:bookmarkStart w:id="236" w:name="_Toc121128562"/>
      <w:r>
        <w:rPr>
          <w:b/>
        </w:rPr>
        <w:lastRenderedPageBreak/>
        <w:t>COMPATIBILIDAD ENTRE LAS SUBVENCIONES</w:t>
      </w:r>
      <w:bookmarkEnd w:id="233"/>
      <w:bookmarkEnd w:id="234"/>
      <w:bookmarkEnd w:id="235"/>
      <w:bookmarkEnd w:id="236"/>
    </w:p>
    <w:p w:rsidR="00482668" w:rsidRDefault="00482668">
      <w:pPr>
        <w:jc w:val="both"/>
      </w:pPr>
    </w:p>
    <w:p w:rsidR="00482668" w:rsidRDefault="00762B21">
      <w:pPr>
        <w:ind w:firstLine="0"/>
        <w:jc w:val="both"/>
      </w:pPr>
      <w:r>
        <w:t>Las ayudas que se convocan en estas bases serán, con carácter general, compatibles con cualesquiera otras ayudas públicas para el mismo objeto de la eficiencia energética de edificios residenciales y viviendas, siempre que no se supere el coste de la actividad subvencionada y siempre que la regulación de las otras ayudas ya sean de ámbito local, autonómico, nacional o europeo, lo admitan.</w:t>
      </w:r>
    </w:p>
    <w:p w:rsidR="00482668" w:rsidRDefault="00482668">
      <w:pPr>
        <w:ind w:firstLine="426"/>
        <w:jc w:val="both"/>
      </w:pPr>
    </w:p>
    <w:p w:rsidR="00482668" w:rsidRDefault="00762B21">
      <w:pPr>
        <w:ind w:firstLine="0"/>
        <w:jc w:val="both"/>
      </w:pPr>
      <w:r>
        <w:t>Las actuaciones e intervenciones sobre edificios y viviendas que sean objeto de subvención por las ayudas establecidas en estas bases en materia de eficiencia energética no podrán ser objeto de otra subvención distinta para el mismo concepto de eficiencia energética con cargo a lo dispuesto en la Orden de 21 de julio de 2021, del Consejero de Planificación Territorial, Vivienda y Transportes sobre medidas financieras para actuaciones protegibles en materia de rehabilitación en viviendas y edificios, accesibilidad y eficiencia energética</w:t>
      </w:r>
      <w:r w:rsidR="003A65EB">
        <w:t>.</w:t>
      </w:r>
    </w:p>
    <w:p w:rsidR="00482668" w:rsidRDefault="00482668">
      <w:pPr>
        <w:ind w:firstLine="426"/>
        <w:jc w:val="both"/>
      </w:pPr>
    </w:p>
    <w:p w:rsidR="00482668" w:rsidRDefault="00762B21">
      <w:pPr>
        <w:ind w:firstLine="0"/>
        <w:jc w:val="both"/>
      </w:pPr>
      <w:r>
        <w:t>Las ayudas que se regulan y convocan en estas bases serán plenamente compatibles con las deducciones, bonificaciones o cualquier otro beneficio tributario que establezcan las Haciendas Forales en relación con las actuaciones que tuvieran por objeto la rehabilitación de viviendas y los edificios residenciales, todo ello en los términos dispuestos por su regulación específica.</w:t>
      </w:r>
    </w:p>
    <w:p w:rsidR="00482668" w:rsidRDefault="00482668">
      <w:pPr>
        <w:ind w:firstLine="426"/>
        <w:jc w:val="both"/>
      </w:pPr>
    </w:p>
    <w:p w:rsidR="00482668" w:rsidRDefault="00762B21">
      <w:pPr>
        <w:ind w:firstLine="0"/>
        <w:jc w:val="both"/>
      </w:pPr>
      <w:r>
        <w:t>Todas las subvenciones y ayudas consideradas en estas Bases Reguladoras son compatibles entre sí y con las otorgadas por otras administraciones públicas o por entidades públicas o privadas que coincidan en su objeto y que así lo consideren, siempre y cuando en su conjunto no puedan superar el 100% de los presupuestos protegibles en cada caso.</w:t>
      </w:r>
    </w:p>
    <w:p w:rsidR="00482668" w:rsidRDefault="00482668">
      <w:pPr>
        <w:ind w:firstLine="426"/>
        <w:jc w:val="both"/>
      </w:pPr>
    </w:p>
    <w:p w:rsidR="00482668" w:rsidRDefault="00762B21">
      <w:pPr>
        <w:ind w:firstLine="0"/>
        <w:jc w:val="both"/>
      </w:pPr>
      <w:r>
        <w:t>A los efectos de comprobar lo dispuesto en este artículo, en la solicitud de las ayudas que se convocan en las presentes Bases se hará constar por parte de las personas interesadas el resto de las ayudas que han sido solicitadas o concedidas con el mismo objeto o bien la inexistencia de otra solicitud o de ayuda concedida con el mismo objeto mediante declaración responsable.</w:t>
      </w:r>
    </w:p>
    <w:p w:rsidR="00482668" w:rsidRDefault="00482668">
      <w:pPr>
        <w:ind w:firstLine="426"/>
        <w:jc w:val="both"/>
      </w:pPr>
    </w:p>
    <w:p w:rsidR="00482668" w:rsidRDefault="00762B21">
      <w:pPr>
        <w:ind w:firstLine="0"/>
        <w:jc w:val="both"/>
      </w:pPr>
      <w:r>
        <w:t>La tramitación de las respectivas ayudas declaradas como compatibles seguirá el procedimiento que corresponda a cada una de ellas establecido en las respectivas bases y convocatorias reguladoras</w:t>
      </w:r>
      <w:r w:rsidR="003A65EB">
        <w:t>.</w:t>
      </w:r>
    </w:p>
    <w:p w:rsidR="00482668" w:rsidRDefault="00482668">
      <w:pPr>
        <w:ind w:firstLine="0"/>
        <w:jc w:val="both"/>
      </w:pPr>
    </w:p>
    <w:p w:rsidR="00482668" w:rsidRPr="003A65EB" w:rsidRDefault="00762B21">
      <w:pPr>
        <w:ind w:firstLine="0"/>
        <w:jc w:val="both"/>
      </w:pPr>
      <w:r>
        <w:t xml:space="preserve">Los equipos técnicos facilitarán un desglose del presupuesto de las actuaciones, y de su resumen, ajustados a los tipos de actuación previstos y a los requisitos de tramitación de cada organismo al que se soliciten subvenciones. Cada actuación tendrá un presupuesto independiente que incluya todos los costes directos, indirectos y los impuestos que le sean imputables.  A su vez, se acompañará el presupuesto suma del total de las actuaciones de acuerdo a la Tabla 1 </w:t>
      </w:r>
      <w:r>
        <w:rPr>
          <w:rFonts w:cs="Times New Roman"/>
        </w:rPr>
        <w:t>del</w:t>
      </w:r>
      <w:r w:rsidR="00B76C09">
        <w:rPr>
          <w:rFonts w:cs="Times New Roman"/>
        </w:rPr>
        <w:t xml:space="preserve"> art.</w:t>
      </w:r>
      <w:r>
        <w:rPr>
          <w:rFonts w:cs="Times New Roman"/>
        </w:rPr>
        <w:t xml:space="preserve"> </w:t>
      </w:r>
      <w:r w:rsidR="000723F6">
        <w:rPr>
          <w:rFonts w:cs="Times New Roman"/>
        </w:rPr>
        <w:fldChar w:fldCharType="begin"/>
      </w:r>
      <w:r>
        <w:rPr>
          <w:rFonts w:cs="Times New Roman"/>
        </w:rPr>
        <w:instrText>REF _Ref507957007 \r \h</w:instrText>
      </w:r>
      <w:r w:rsidR="000723F6">
        <w:rPr>
          <w:rFonts w:cs="Times New Roman"/>
        </w:rPr>
      </w:r>
      <w:r w:rsidR="000723F6">
        <w:rPr>
          <w:rFonts w:cs="Times New Roman"/>
        </w:rPr>
        <w:fldChar w:fldCharType="separate"/>
      </w:r>
      <w:r w:rsidR="00904A83">
        <w:rPr>
          <w:rFonts w:cs="Times New Roman"/>
        </w:rPr>
        <w:t>4</w:t>
      </w:r>
      <w:r w:rsidR="000723F6">
        <w:rPr>
          <w:rFonts w:cs="Times New Roman"/>
        </w:rPr>
        <w:fldChar w:fldCharType="end"/>
      </w:r>
      <w:r>
        <w:rPr>
          <w:rFonts w:cs="Times New Roman"/>
        </w:rPr>
        <w:t xml:space="preserve"> </w:t>
      </w:r>
      <w:fldSimple w:instr="REF _Ref507957007 \h \* MERGEFORMAT ">
        <w:r w:rsidR="00904A83" w:rsidRPr="00904A83">
          <w:t>ACTUACIONES QUE SE DEBEN CONSIDERAR EN LA REHABILITACIÓN ENERGÉTICA EFICIENTE</w:t>
        </w:r>
      </w:fldSimple>
    </w:p>
    <w:p w:rsidR="00482668" w:rsidRPr="003A65EB" w:rsidRDefault="00482668">
      <w:pPr>
        <w:jc w:val="both"/>
      </w:pPr>
    </w:p>
    <w:p w:rsidR="00482668" w:rsidRDefault="00762B21">
      <w:pPr>
        <w:ind w:firstLine="0"/>
        <w:jc w:val="both"/>
      </w:pPr>
      <w:r>
        <w:t xml:space="preserve">Serán también compatibles con las ayudas que pudieran corresponder a cada uno de los/las titulares de derechos de forma individual y </w:t>
      </w:r>
      <w:r w:rsidR="00B76C09">
        <w:t>colectiva</w:t>
      </w:r>
      <w:r>
        <w:t xml:space="preserve"> siguientes:</w:t>
      </w:r>
    </w:p>
    <w:p w:rsidR="00482668" w:rsidRDefault="00482668">
      <w:pPr>
        <w:jc w:val="both"/>
      </w:pPr>
    </w:p>
    <w:p w:rsidR="00482668" w:rsidRDefault="00762B21">
      <w:pPr>
        <w:pStyle w:val="Zerrenda-paragrafoa"/>
        <w:numPr>
          <w:ilvl w:val="0"/>
          <w:numId w:val="35"/>
        </w:numPr>
        <w:ind w:left="426"/>
        <w:jc w:val="both"/>
      </w:pPr>
      <w:r>
        <w:t>ORDEN de 21 de julio de 2021, del Consejero de Planificación Territorial, Vivienda y Transportes, sobre medidas financieras para actuaciones protegibles en materia de rehabilitación en viviendas y edificios, accesi</w:t>
      </w:r>
      <w:r w:rsidR="003A65EB">
        <w:t>bilidad y eficiencia energética.</w:t>
      </w:r>
    </w:p>
    <w:p w:rsidR="003A65EB" w:rsidRDefault="003A65EB" w:rsidP="003A65EB">
      <w:pPr>
        <w:pStyle w:val="Zerrenda-paragrafoa"/>
        <w:ind w:left="426" w:firstLine="0"/>
        <w:jc w:val="both"/>
      </w:pPr>
    </w:p>
    <w:p w:rsidR="00482668" w:rsidRDefault="00762B21">
      <w:pPr>
        <w:pStyle w:val="Zerrenda-paragrafoa"/>
        <w:numPr>
          <w:ilvl w:val="0"/>
          <w:numId w:val="35"/>
        </w:numPr>
        <w:ind w:left="426"/>
        <w:jc w:val="both"/>
      </w:pPr>
      <w:r>
        <w:t xml:space="preserve">El programa 4 regulado en la ORDEN de 21 de junio de 2022, del Consejero de Planificación Territorial, Vivienda y Transportes, por la que se establecen las bases y se regula la convocatoria pública de ayudas con relación a los programas de ayudas de rehabilitación de los edificios residenciales y viviendas para el fomento de su eficiencia energética recogidos en el Real </w:t>
      </w:r>
      <w:r>
        <w:lastRenderedPageBreak/>
        <w:t>Decreto 853/2021, de 5 de octubre, por el que se regulan los Programas 3, 4 y 5 en materia de rehabilitación residencial y vivienda social del Plan de Recuperación, Transformación y Resiliencia - Financiado por la Unión Europea – NextGenerationEU. En el supuesto de que se soliciten las ayudas del programa 4, esos conceptos no serán subvencionables con estas ayudas.</w:t>
      </w:r>
    </w:p>
    <w:p w:rsidR="003A65EB" w:rsidRDefault="003A65EB" w:rsidP="003A65EB">
      <w:pPr>
        <w:pStyle w:val="Zerrenda-paragrafoa"/>
      </w:pPr>
    </w:p>
    <w:p w:rsidR="003A65EB" w:rsidRDefault="003A65EB" w:rsidP="003A65EB">
      <w:pPr>
        <w:pStyle w:val="Zerrenda-paragrafoa"/>
        <w:ind w:left="426" w:firstLine="0"/>
        <w:jc w:val="both"/>
      </w:pPr>
    </w:p>
    <w:p w:rsidR="00482668" w:rsidRDefault="00762B21">
      <w:pPr>
        <w:pStyle w:val="Zerrenda-paragrafoa"/>
        <w:numPr>
          <w:ilvl w:val="0"/>
          <w:numId w:val="35"/>
        </w:numPr>
        <w:ind w:left="426"/>
        <w:jc w:val="both"/>
      </w:pPr>
      <w:r>
        <w:t>Cuando se haya solicitado y recibido una ayuda del Programa 5, regulado por la Orden de 21 de Junio de 2022, se descontará de la cantidad recibida del Programa 1 al determinar la cuantía de la subvención con cargo a este programa, en cumplimiento del Art. 34.2 del RD 853/2021.</w:t>
      </w:r>
    </w:p>
    <w:p w:rsidR="00482668" w:rsidRDefault="00482668">
      <w:pPr>
        <w:jc w:val="both"/>
      </w:pPr>
    </w:p>
    <w:p w:rsidR="00482668" w:rsidRDefault="00482668">
      <w:pPr>
        <w:jc w:val="both"/>
      </w:pPr>
    </w:p>
    <w:p w:rsidR="00482668" w:rsidRDefault="00762B21">
      <w:pPr>
        <w:pStyle w:val="Zerrenda-paragrafoa"/>
        <w:numPr>
          <w:ilvl w:val="0"/>
          <w:numId w:val="25"/>
        </w:numPr>
        <w:jc w:val="both"/>
        <w:outlineLvl w:val="1"/>
      </w:pPr>
      <w:bookmarkStart w:id="237" w:name="_Toc108763797"/>
      <w:bookmarkStart w:id="238" w:name="_Toc115897541"/>
      <w:bookmarkStart w:id="239" w:name="_Toc108599938"/>
      <w:bookmarkStart w:id="240" w:name="_Toc121128563"/>
      <w:r>
        <w:rPr>
          <w:b/>
          <w:bCs/>
        </w:rPr>
        <w:t>FORMA DE ABONO DE LAS SUBVENCIONES. ANTICIPOS A CUENTA</w:t>
      </w:r>
      <w:bookmarkEnd w:id="237"/>
      <w:bookmarkEnd w:id="238"/>
      <w:bookmarkEnd w:id="239"/>
      <w:bookmarkEnd w:id="240"/>
      <w:r>
        <w:rPr>
          <w:b/>
          <w:bCs/>
        </w:rPr>
        <w:t xml:space="preserve"> </w:t>
      </w:r>
    </w:p>
    <w:p w:rsidR="00482668" w:rsidRDefault="00482668">
      <w:pPr>
        <w:pStyle w:val="Zerrenda-paragrafoa"/>
        <w:ind w:left="1080" w:firstLine="0"/>
        <w:jc w:val="both"/>
        <w:rPr>
          <w:b/>
          <w:bCs/>
        </w:rPr>
      </w:pPr>
    </w:p>
    <w:p w:rsidR="00482668" w:rsidRDefault="00762B21">
      <w:pPr>
        <w:ind w:firstLine="0"/>
        <w:jc w:val="both"/>
      </w:pPr>
      <w:bookmarkStart w:id="241" w:name="_Hlk99698973"/>
      <w:r>
        <w:t xml:space="preserve">El abono de las subvenciones previstas en estas bases se hará efectivo mediante </w:t>
      </w:r>
      <w:r w:rsidRPr="000C6080">
        <w:t>resolución de</w:t>
      </w:r>
      <w:bookmarkEnd w:id="241"/>
      <w:r w:rsidRPr="000C6080">
        <w:t xml:space="preserve"> Alcaldía,</w:t>
      </w:r>
      <w:r>
        <w:t xml:space="preserve"> a propuesta del órgano instructor tras la presentación, y en su caso comprobación, de la documentación justificativa exigida en los apartados correspondientes a cada actuación. En dicha resolución se hará expresa referencia a la procedencia de los fondos, mencionando en lo que corresponda al Mecanismo de Recuperación y Resiliencia (MRR). </w:t>
      </w:r>
    </w:p>
    <w:p w:rsidR="00482668" w:rsidRDefault="00482668">
      <w:pPr>
        <w:jc w:val="both"/>
      </w:pPr>
    </w:p>
    <w:p w:rsidR="00482668" w:rsidRDefault="00762B21">
      <w:pPr>
        <w:ind w:firstLine="0"/>
        <w:jc w:val="both"/>
      </w:pPr>
      <w:r>
        <w:t xml:space="preserve">La percepción de las ayudas reconocidas, se realizará mediante transferencia bancaria a la cuenta específica y únicamente destinada a la rehabilitación eficiente del edificio, validada de la persona o entidad beneficiaria, que deberá cumplimentar para estos efectos libratorios, con carácter previo, la correspondiente alta de tercero. </w:t>
      </w:r>
    </w:p>
    <w:p w:rsidR="00482668" w:rsidRDefault="00482668">
      <w:pPr>
        <w:jc w:val="both"/>
      </w:pPr>
    </w:p>
    <w:p w:rsidR="00482668" w:rsidRDefault="00E76243">
      <w:pPr>
        <w:ind w:firstLine="0"/>
        <w:jc w:val="both"/>
      </w:pPr>
      <w:r>
        <w:t>Asi</w:t>
      </w:r>
      <w:r w:rsidR="00762B21">
        <w:t xml:space="preserve">mismo, mediante resolución de la Alcaldía del Ayuntamiento de Lasarte-Oria a propuesta del órgano instructor tras la presentación y la comprobación de la documentación, se podrán dotar anticipos a los/as destinatarios/as finales sobre las subvenciones incluidas en estas bases, siempre y cuando se cumplan las siguientes condiciones: </w:t>
      </w:r>
    </w:p>
    <w:p w:rsidR="00482668" w:rsidRDefault="00482668">
      <w:pPr>
        <w:jc w:val="both"/>
      </w:pPr>
    </w:p>
    <w:p w:rsidR="00482668" w:rsidRDefault="00762B21">
      <w:pPr>
        <w:pStyle w:val="Zerrenda-paragrafoa"/>
        <w:numPr>
          <w:ilvl w:val="0"/>
          <w:numId w:val="24"/>
        </w:numPr>
        <w:ind w:left="426"/>
        <w:jc w:val="both"/>
      </w:pPr>
      <w:r>
        <w:t xml:space="preserve">Que dichos </w:t>
      </w:r>
      <w:r>
        <w:rPr>
          <w:b/>
          <w:bCs/>
        </w:rPr>
        <w:t>anticipos no superen el 20% del importe total de la ayuda</w:t>
      </w:r>
      <w:r>
        <w:t xml:space="preserve"> que se vaya a conceder al beneficiario.</w:t>
      </w:r>
    </w:p>
    <w:p w:rsidR="00482668" w:rsidRDefault="00762B21">
      <w:pPr>
        <w:ind w:left="426" w:hanging="349"/>
        <w:jc w:val="both"/>
      </w:pPr>
      <w:r>
        <w:t xml:space="preserve">b) </w:t>
      </w:r>
      <w:r>
        <w:tab/>
        <w:t xml:space="preserve">Que dichos anticipos se destinen exclusivamente a cubrir gastos de la actuación objeto de subvención y se justifiquen adecuadamente en su conveniencia. </w:t>
      </w:r>
    </w:p>
    <w:p w:rsidR="00482668" w:rsidRDefault="00762B21">
      <w:pPr>
        <w:ind w:left="426" w:hanging="283"/>
        <w:jc w:val="both"/>
      </w:pPr>
      <w:r>
        <w:t xml:space="preserve">c) </w:t>
      </w:r>
      <w:r>
        <w:tab/>
        <w:t xml:space="preserve">Que, de acuerdo con lo establecido en el artículo 61.3 del Real Decreto-ley 36/2020, de 30 de diciembre, por el que se aprueban medidas urgentes para la modernización de la Administración Pública y para la ejecución del Plan de Recuperación, Transformación y Resiliencia, los/as destinatarios/as últimos/as de estos anticipos acrediten que se encuentran al corriente del pago de las obligaciones de reembolso de cualesquiera otros anticipos concedidos anteriormente con cargo a los créditos específicamente consignados para la gestión de fondos europeos. Este extremo se justificará, cuando no pueda acreditarse de otro modo, con una declaración responsable del destinatario/a último/a o certificación del órgano competente si este fuere una administración pública. </w:t>
      </w:r>
    </w:p>
    <w:p w:rsidR="00482668" w:rsidRDefault="00482668">
      <w:pPr>
        <w:jc w:val="both"/>
      </w:pPr>
    </w:p>
    <w:p w:rsidR="000C6080" w:rsidRDefault="000C6080">
      <w:pPr>
        <w:jc w:val="both"/>
      </w:pPr>
    </w:p>
    <w:p w:rsidR="00482668" w:rsidRDefault="00762B21">
      <w:pPr>
        <w:ind w:firstLine="0"/>
        <w:jc w:val="both"/>
      </w:pPr>
      <w:r>
        <w:t xml:space="preserve">En aplicación de lo dispuesto en el apartado 5 del artículo 4 del Real Decreto 853/2021, de 5 de octubre y lo señalado en el artículo 32.3 de la Ley 11/2021, de 23 de diciembre, por la que se aprueban los Presupuestos Generales de la Comunidad Autónoma de Euskadi para el ejercicio 2022, estos anticipos no tendrán que ser objeto de garantía por parte de la persona o entidad beneficiaria. </w:t>
      </w:r>
    </w:p>
    <w:p w:rsidR="00482668" w:rsidRDefault="00482668">
      <w:pPr>
        <w:jc w:val="both"/>
      </w:pPr>
    </w:p>
    <w:p w:rsidR="000C6080" w:rsidRDefault="000C6080">
      <w:pPr>
        <w:jc w:val="both"/>
      </w:pPr>
    </w:p>
    <w:p w:rsidR="00482668" w:rsidRDefault="00762B21">
      <w:pPr>
        <w:pStyle w:val="Zerrenda-paragrafoa"/>
        <w:numPr>
          <w:ilvl w:val="0"/>
          <w:numId w:val="25"/>
        </w:numPr>
        <w:jc w:val="both"/>
        <w:outlineLvl w:val="1"/>
        <w:rPr>
          <w:b/>
        </w:rPr>
      </w:pPr>
      <w:bookmarkStart w:id="242" w:name="_Toc108763798"/>
      <w:bookmarkStart w:id="243" w:name="_Toc115897542"/>
      <w:bookmarkStart w:id="244" w:name="_Toc108599939"/>
      <w:bookmarkStart w:id="245" w:name="_Toc121128564"/>
      <w:r>
        <w:rPr>
          <w:b/>
        </w:rPr>
        <w:lastRenderedPageBreak/>
        <w:t>SECUENCIA DE ABONO DE LAS SUBVENCIONES</w:t>
      </w:r>
      <w:bookmarkEnd w:id="242"/>
      <w:bookmarkEnd w:id="243"/>
      <w:bookmarkEnd w:id="244"/>
      <w:bookmarkEnd w:id="245"/>
    </w:p>
    <w:p w:rsidR="00482668" w:rsidRDefault="00482668">
      <w:pPr>
        <w:jc w:val="both"/>
      </w:pPr>
    </w:p>
    <w:p w:rsidR="00482668" w:rsidRDefault="00762B21">
      <w:pPr>
        <w:ind w:firstLine="0"/>
        <w:jc w:val="both"/>
      </w:pPr>
      <w:r>
        <w:t>El abono de las subvenciones se realizará de acuerdo con la siguiente secuencia y procedimiento:</w:t>
      </w:r>
    </w:p>
    <w:p w:rsidR="00482668" w:rsidRDefault="00482668">
      <w:pPr>
        <w:jc w:val="both"/>
      </w:pPr>
    </w:p>
    <w:p w:rsidR="00482668" w:rsidRDefault="00762B21">
      <w:pPr>
        <w:pStyle w:val="Zerrenda-paragrafoa"/>
        <w:numPr>
          <w:ilvl w:val="0"/>
          <w:numId w:val="17"/>
        </w:numPr>
        <w:ind w:left="426"/>
        <w:jc w:val="both"/>
      </w:pPr>
      <w:r>
        <w:t xml:space="preserve">Un </w:t>
      </w:r>
      <w:r>
        <w:rPr>
          <w:b/>
          <w:bCs/>
        </w:rPr>
        <w:t xml:space="preserve">primer abono en concepto de anticipo del 20% </w:t>
      </w:r>
      <w:bookmarkStart w:id="246" w:name="_Hlk101435878"/>
      <w:bookmarkStart w:id="247" w:name="_Hlk101437093"/>
      <w:r>
        <w:rPr>
          <w:b/>
          <w:bCs/>
        </w:rPr>
        <w:t xml:space="preserve">de la cuantía máxima de las subvenciones que fueran solicitadas en cada caso </w:t>
      </w:r>
      <w:r>
        <w:t>Este abono se realizará tras la presentación de su solicitud, según modelo disponible al efecto,</w:t>
      </w:r>
      <w:bookmarkEnd w:id="246"/>
      <w:r>
        <w:t xml:space="preserve"> y al que se acompañará lo siguiente documentación</w:t>
      </w:r>
      <w:bookmarkEnd w:id="247"/>
      <w:r>
        <w:t>:</w:t>
      </w:r>
    </w:p>
    <w:p w:rsidR="00482668" w:rsidRDefault="00482668">
      <w:pPr>
        <w:pStyle w:val="Zerrenda-paragrafoa"/>
        <w:ind w:left="1080" w:firstLine="0"/>
        <w:jc w:val="both"/>
      </w:pPr>
    </w:p>
    <w:p w:rsidR="00482668" w:rsidRDefault="00762B21">
      <w:pPr>
        <w:pStyle w:val="Zerrenda-paragrafoa"/>
        <w:numPr>
          <w:ilvl w:val="0"/>
          <w:numId w:val="32"/>
        </w:numPr>
        <w:ind w:left="851"/>
        <w:jc w:val="both"/>
      </w:pPr>
      <w:r>
        <w:t xml:space="preserve">La relacionada en el  </w:t>
      </w:r>
      <w:r w:rsidR="000723F6">
        <w:fldChar w:fldCharType="begin"/>
      </w:r>
      <w:r>
        <w:instrText>REF _Ref108718980 \r \h</w:instrText>
      </w:r>
      <w:r w:rsidR="000723F6">
        <w:fldChar w:fldCharType="separate"/>
      </w:r>
      <w:r w:rsidR="00904A83">
        <w:t>8</w:t>
      </w:r>
      <w:r w:rsidR="000723F6">
        <w:fldChar w:fldCharType="end"/>
      </w:r>
      <w:r>
        <w:t xml:space="preserve"> </w:t>
      </w:r>
      <w:r w:rsidR="000723F6">
        <w:fldChar w:fldCharType="begin"/>
      </w:r>
      <w:r>
        <w:instrText>REF _Ref108718989 \h</w:instrText>
      </w:r>
      <w:r w:rsidR="000723F6">
        <w:fldChar w:fldCharType="separate"/>
      </w:r>
      <w:r w:rsidR="00904A83">
        <w:rPr>
          <w:b/>
        </w:rPr>
        <w:t>OBLIGACIONES DE LAS PERSONAS DESTINATARIAS ÚLTIMAS DE LA AYUDAS</w:t>
      </w:r>
      <w:r w:rsidR="000723F6">
        <w:fldChar w:fldCharType="end"/>
      </w:r>
      <w:r w:rsidR="003A65EB">
        <w:t>.</w:t>
      </w:r>
    </w:p>
    <w:p w:rsidR="00482668" w:rsidRDefault="00762B21">
      <w:pPr>
        <w:pStyle w:val="Zerrenda-paragrafoa"/>
        <w:numPr>
          <w:ilvl w:val="1"/>
          <w:numId w:val="3"/>
        </w:numPr>
        <w:ind w:left="851"/>
        <w:jc w:val="both"/>
      </w:pPr>
      <w:r>
        <w:t xml:space="preserve">La relacionada en los puntos </w:t>
      </w:r>
      <w:r>
        <w:rPr>
          <w:b/>
          <w:bCs/>
        </w:rPr>
        <w:t>a) a j), ambos inclusive, del</w:t>
      </w:r>
      <w:r>
        <w:t xml:space="preserve"> </w:t>
      </w:r>
      <w:r>
        <w:rPr>
          <w:b/>
          <w:bCs/>
        </w:rPr>
        <w:t xml:space="preserve"> </w:t>
      </w:r>
      <w:r w:rsidR="000723F6">
        <w:rPr>
          <w:bCs/>
        </w:rPr>
        <w:fldChar w:fldCharType="begin"/>
      </w:r>
      <w:r>
        <w:rPr>
          <w:bCs/>
        </w:rPr>
        <w:instrText>REF _Ref108117400 \r \h</w:instrText>
      </w:r>
      <w:r w:rsidR="000723F6">
        <w:rPr>
          <w:bCs/>
        </w:rPr>
      </w:r>
      <w:r w:rsidR="000723F6">
        <w:rPr>
          <w:bCs/>
        </w:rPr>
        <w:fldChar w:fldCharType="separate"/>
      </w:r>
      <w:r w:rsidR="00904A83">
        <w:rPr>
          <w:bCs/>
        </w:rPr>
        <w:t>33</w:t>
      </w:r>
      <w:r w:rsidR="000723F6">
        <w:rPr>
          <w:bCs/>
        </w:rPr>
        <w:fldChar w:fldCharType="end"/>
      </w:r>
      <w:r>
        <w:rPr>
          <w:bCs/>
        </w:rPr>
        <w:t xml:space="preserve"> </w:t>
      </w:r>
      <w:r w:rsidR="000723F6">
        <w:fldChar w:fldCharType="begin"/>
      </w:r>
      <w:r>
        <w:instrText>REF _Ref108117400 \h</w:instrText>
      </w:r>
      <w:r w:rsidR="000723F6">
        <w:fldChar w:fldCharType="separate"/>
      </w:r>
      <w:r w:rsidR="00904A83">
        <w:rPr>
          <w:b/>
        </w:rPr>
        <w:t>DOCUMENTACIÓN PARA ACOMPAÑAR A LA SOLICITUD DE SUBVENCIÓN</w:t>
      </w:r>
      <w:r w:rsidR="000723F6">
        <w:fldChar w:fldCharType="end"/>
      </w:r>
      <w:r w:rsidR="003A65EB">
        <w:t>.</w:t>
      </w:r>
    </w:p>
    <w:p w:rsidR="00482668" w:rsidRDefault="00762B21">
      <w:pPr>
        <w:pStyle w:val="Zerrenda-paragrafoa"/>
        <w:numPr>
          <w:ilvl w:val="1"/>
          <w:numId w:val="3"/>
        </w:numPr>
        <w:ind w:left="851"/>
        <w:jc w:val="both"/>
      </w:pPr>
      <w:r>
        <w:t xml:space="preserve">Factura de la elaboración del Libro del Edificio Existente que incluya los Certificados de Eficiencia Energética del edificio en sus estados actual y rehabilitado con indicación expresa del porcentaje de Reducción del </w:t>
      </w:r>
      <w:r w:rsidR="003A65EB">
        <w:t>Consumo de Energía NO Renovable.</w:t>
      </w:r>
    </w:p>
    <w:p w:rsidR="00482668" w:rsidRDefault="00762B21">
      <w:pPr>
        <w:pStyle w:val="Zerrenda-paragrafoa"/>
        <w:numPr>
          <w:ilvl w:val="1"/>
          <w:numId w:val="3"/>
        </w:numPr>
        <w:ind w:left="851"/>
        <w:jc w:val="both"/>
      </w:pPr>
      <w:r>
        <w:t>Registro en el órgano competente del Certificado de Eficiencia Energética del edificio en su estado actual</w:t>
      </w:r>
      <w:r w:rsidR="003A65EB">
        <w:t>.</w:t>
      </w:r>
    </w:p>
    <w:p w:rsidR="00482668" w:rsidRDefault="00762B21">
      <w:pPr>
        <w:pStyle w:val="Zerrenda-paragrafoa"/>
        <w:numPr>
          <w:ilvl w:val="1"/>
          <w:numId w:val="3"/>
        </w:numPr>
        <w:ind w:left="851"/>
        <w:jc w:val="both"/>
      </w:pPr>
      <w:r>
        <w:t>Auditoría energética del edificio, de acuerdo a lo señalado en el artículo 39 del Decreto 254/2020, de 10 de noviembre, sobre sostenibilidad energética de la Comunidad Autónoma Vasca.</w:t>
      </w:r>
    </w:p>
    <w:p w:rsidR="00482668" w:rsidRDefault="00762B21">
      <w:pPr>
        <w:pStyle w:val="Zerrenda-paragrafoa"/>
        <w:numPr>
          <w:ilvl w:val="1"/>
          <w:numId w:val="3"/>
        </w:numPr>
        <w:ind w:left="851"/>
        <w:jc w:val="both"/>
      </w:pPr>
      <w:r>
        <w:t xml:space="preserve">Justificante de la inscripción en el Registro de la Propiedad del asiento registral de limitación dispositiva del dominio de todas las viviendas del inmueble, según lo señalado en el </w:t>
      </w:r>
      <w:r w:rsidR="000723F6">
        <w:fldChar w:fldCharType="begin"/>
      </w:r>
      <w:r>
        <w:instrText>REF _Ref108118392 \r \h</w:instrText>
      </w:r>
      <w:r w:rsidR="000723F6">
        <w:fldChar w:fldCharType="separate"/>
      </w:r>
      <w:r w:rsidR="00904A83">
        <w:t>23</w:t>
      </w:r>
      <w:r w:rsidR="000723F6">
        <w:fldChar w:fldCharType="end"/>
      </w:r>
      <w:r>
        <w:t xml:space="preserve"> y en el </w:t>
      </w:r>
      <w:r w:rsidR="000723F6">
        <w:fldChar w:fldCharType="begin"/>
      </w:r>
      <w:r>
        <w:instrText>REF _Ref108719933 \r \h</w:instrText>
      </w:r>
      <w:r w:rsidR="000723F6">
        <w:fldChar w:fldCharType="separate"/>
      </w:r>
      <w:r w:rsidR="00904A83">
        <w:t>24</w:t>
      </w:r>
      <w:r w:rsidR="000723F6">
        <w:fldChar w:fldCharType="end"/>
      </w:r>
      <w:r>
        <w:t xml:space="preserve"> de estas bases.</w:t>
      </w:r>
    </w:p>
    <w:p w:rsidR="00482668" w:rsidRDefault="00762B21">
      <w:pPr>
        <w:pStyle w:val="Zerrenda-paragrafoa"/>
        <w:numPr>
          <w:ilvl w:val="1"/>
          <w:numId w:val="3"/>
        </w:numPr>
        <w:ind w:left="851"/>
        <w:jc w:val="both"/>
      </w:pPr>
      <w:r>
        <w:t>Cuantía del importe de las subvenciones que se solicitan diferenciando el correspondiente a los fondos procedentes del RD 853/2021 y el correspondiente a los fondos del GV</w:t>
      </w:r>
      <w:r w:rsidR="003A65EB">
        <w:t>.</w:t>
      </w:r>
    </w:p>
    <w:p w:rsidR="00482668" w:rsidRDefault="00762B21">
      <w:pPr>
        <w:pStyle w:val="Zerrenda-paragrafoa"/>
        <w:numPr>
          <w:ilvl w:val="1"/>
          <w:numId w:val="3"/>
        </w:numPr>
        <w:ind w:left="851"/>
        <w:jc w:val="both"/>
        <w:rPr>
          <w:lang w:val="es-ES_tradnl"/>
        </w:rPr>
      </w:pPr>
      <w:r>
        <w:rPr>
          <w:lang w:val="es-ES_tradnl"/>
        </w:rPr>
        <w:t>Fotocopia del contrato o contratos con la empresa o empresas responsables de la ejecución de la obra que garanticen la ejecución de la totalidad de las obras objeto de subvención.</w:t>
      </w:r>
    </w:p>
    <w:p w:rsidR="00482668" w:rsidRDefault="00762B21">
      <w:pPr>
        <w:pStyle w:val="Zerrenda-paragrafoa"/>
        <w:numPr>
          <w:ilvl w:val="1"/>
          <w:numId w:val="3"/>
        </w:numPr>
        <w:ind w:left="851"/>
        <w:jc w:val="both"/>
        <w:rPr>
          <w:lang w:val="es-ES_tradnl"/>
        </w:rPr>
      </w:pPr>
      <w:r>
        <w:rPr>
          <w:lang w:val="es-ES_tradnl"/>
        </w:rPr>
        <w:t>Copia del Acta de Inicio de Obra firmada por el presidente de la Comunidad de propietarios, el representante de la empresa constructora y la dirección facultativa.</w:t>
      </w:r>
    </w:p>
    <w:p w:rsidR="00482668" w:rsidRDefault="00482668">
      <w:pPr>
        <w:pStyle w:val="Zerrenda-paragrafoa"/>
        <w:ind w:left="1800" w:firstLine="0"/>
        <w:jc w:val="both"/>
      </w:pPr>
    </w:p>
    <w:p w:rsidR="00482668" w:rsidRDefault="00762B21">
      <w:pPr>
        <w:pStyle w:val="Zerrenda-paragrafoa"/>
        <w:numPr>
          <w:ilvl w:val="0"/>
          <w:numId w:val="17"/>
        </w:numPr>
        <w:ind w:left="426"/>
        <w:jc w:val="both"/>
      </w:pPr>
      <w:r>
        <w:t>Un</w:t>
      </w:r>
      <w:r>
        <w:rPr>
          <w:b/>
          <w:bCs/>
        </w:rPr>
        <w:t xml:space="preserve"> segundo pago del 10% del importe de la subvención realmente solicitada</w:t>
      </w:r>
      <w:r>
        <w:t xml:space="preserve"> se abonará tras la presentación de su solicitud, según modelo disponible al efecto, que se acompañará de la siguiente documentación:</w:t>
      </w:r>
    </w:p>
    <w:p w:rsidR="00482668" w:rsidRDefault="00482668">
      <w:pPr>
        <w:jc w:val="both"/>
      </w:pPr>
    </w:p>
    <w:p w:rsidR="00482668" w:rsidRDefault="00762B21">
      <w:pPr>
        <w:pStyle w:val="Zerrenda-paragrafoa"/>
        <w:numPr>
          <w:ilvl w:val="1"/>
          <w:numId w:val="3"/>
        </w:numPr>
        <w:ind w:left="851"/>
        <w:jc w:val="both"/>
        <w:rPr>
          <w:lang w:val="es-ES_tradnl"/>
        </w:rPr>
      </w:pPr>
      <w:r>
        <w:rPr>
          <w:lang w:val="es-ES_tradnl"/>
        </w:rPr>
        <w:t>Facturas que cubran, como mínimo, el 10% del importe de ejecución de las actuaciones subvencionables con estas bases. Las facturas se acompañarán de la correspondiente certificación de obra expedida por la Dirección Facultativa.</w:t>
      </w:r>
    </w:p>
    <w:p w:rsidR="00482668" w:rsidRDefault="00482668">
      <w:pPr>
        <w:jc w:val="both"/>
        <w:rPr>
          <w:lang w:val="es-ES_tradnl"/>
        </w:rPr>
      </w:pPr>
    </w:p>
    <w:p w:rsidR="00482668" w:rsidRDefault="00762B21">
      <w:pPr>
        <w:pStyle w:val="Zerrenda-paragrafoa"/>
        <w:numPr>
          <w:ilvl w:val="0"/>
          <w:numId w:val="17"/>
        </w:numPr>
        <w:ind w:left="426"/>
        <w:jc w:val="both"/>
      </w:pPr>
      <w:r>
        <w:rPr>
          <w:b/>
          <w:bCs/>
        </w:rPr>
        <w:t>Un tercer pago del 15% del importe de la subvención realmente solicitada</w:t>
      </w:r>
      <w:r>
        <w:t xml:space="preserve"> se abonará tras la presentación de su solicitud, según modelo disponible al efecto, que se acompañará de la siguiente documentación:</w:t>
      </w:r>
    </w:p>
    <w:p w:rsidR="00482668" w:rsidRDefault="00482668">
      <w:pPr>
        <w:jc w:val="both"/>
      </w:pPr>
    </w:p>
    <w:p w:rsidR="00482668" w:rsidRDefault="00762B21">
      <w:pPr>
        <w:pStyle w:val="Zerrenda-paragrafoa"/>
        <w:numPr>
          <w:ilvl w:val="1"/>
          <w:numId w:val="3"/>
        </w:numPr>
        <w:ind w:left="851"/>
        <w:jc w:val="both"/>
      </w:pPr>
      <w:r>
        <w:t>Facturas que cubran, como mínimo, el 25% del importe de ejecución de la obra subvencionable con estas bases. Las facturas se acompañarán de la correspondiente certificación de obra expedida por la Dirección Facultativa.</w:t>
      </w:r>
    </w:p>
    <w:p w:rsidR="00482668" w:rsidRDefault="00482668">
      <w:pPr>
        <w:jc w:val="both"/>
      </w:pPr>
    </w:p>
    <w:p w:rsidR="00482668" w:rsidRDefault="00762B21">
      <w:pPr>
        <w:pStyle w:val="Zerrenda-paragrafoa"/>
        <w:numPr>
          <w:ilvl w:val="0"/>
          <w:numId w:val="17"/>
        </w:numPr>
        <w:ind w:left="426"/>
        <w:jc w:val="both"/>
      </w:pPr>
      <w:bookmarkStart w:id="248" w:name="_Hlk99705519"/>
      <w:r>
        <w:rPr>
          <w:b/>
          <w:bCs/>
        </w:rPr>
        <w:t>Un cuarto pago del 15% del importe de la subvención realmente solicitada</w:t>
      </w:r>
      <w:r>
        <w:t xml:space="preserve"> </w:t>
      </w:r>
      <w:bookmarkEnd w:id="248"/>
      <w:r>
        <w:t>se abonará tras la presentación de su solicitud, según modelo disponible al efecto, que se acompañará de la siguiente documentación:</w:t>
      </w:r>
    </w:p>
    <w:p w:rsidR="00482668" w:rsidRDefault="00482668">
      <w:pPr>
        <w:jc w:val="both"/>
      </w:pPr>
    </w:p>
    <w:p w:rsidR="00482668" w:rsidRDefault="00762B21">
      <w:pPr>
        <w:pStyle w:val="Zerrenda-paragrafoa"/>
        <w:numPr>
          <w:ilvl w:val="1"/>
          <w:numId w:val="3"/>
        </w:numPr>
        <w:ind w:left="851"/>
        <w:jc w:val="both"/>
      </w:pPr>
      <w:r>
        <w:lastRenderedPageBreak/>
        <w:t>Facturas que cubran, como mínimo, el 50% del importe de ejecución de la obra subvencionable con estas bases. Las facturas se acompañarán de la correspondiente certificación de obra expedida por la Dirección Facultativa.</w:t>
      </w:r>
      <w:bookmarkStart w:id="249" w:name="_Hlk99705015"/>
      <w:bookmarkEnd w:id="249"/>
    </w:p>
    <w:p w:rsidR="00482668" w:rsidRDefault="00482668">
      <w:pPr>
        <w:jc w:val="both"/>
      </w:pPr>
    </w:p>
    <w:p w:rsidR="00482668" w:rsidRDefault="00762B21">
      <w:pPr>
        <w:pStyle w:val="Zerrenda-paragrafoa"/>
        <w:numPr>
          <w:ilvl w:val="0"/>
          <w:numId w:val="17"/>
        </w:numPr>
        <w:ind w:left="426"/>
        <w:jc w:val="both"/>
      </w:pPr>
      <w:r>
        <w:rPr>
          <w:b/>
          <w:bCs/>
        </w:rPr>
        <w:t>Un quinto pago del 10% del importe de la subvención realmente solicitada</w:t>
      </w:r>
      <w:r>
        <w:t xml:space="preserve"> se abonará tras la presentación de su solicitud, según modelo disponible al efecto, que se acompañará de la siguiente documentación:</w:t>
      </w:r>
    </w:p>
    <w:p w:rsidR="00482668" w:rsidRDefault="00482668">
      <w:pPr>
        <w:jc w:val="both"/>
      </w:pPr>
    </w:p>
    <w:p w:rsidR="00482668" w:rsidRDefault="00762B21">
      <w:pPr>
        <w:pStyle w:val="Zerrenda-paragrafoa"/>
        <w:numPr>
          <w:ilvl w:val="1"/>
          <w:numId w:val="3"/>
        </w:numPr>
        <w:ind w:left="851"/>
        <w:jc w:val="both"/>
      </w:pPr>
      <w:r>
        <w:t>Facturas que cubran, como mínimo, el 75% del importe de ejecución de la obra subvencionable con estas bases. Las facturas se acompañarán de la correspondiente certificación de obra expedida por la Dirección Facultativa.</w:t>
      </w:r>
    </w:p>
    <w:p w:rsidR="00482668" w:rsidRDefault="00482668">
      <w:pPr>
        <w:jc w:val="both"/>
      </w:pPr>
    </w:p>
    <w:p w:rsidR="00482668" w:rsidRDefault="00762B21">
      <w:pPr>
        <w:pStyle w:val="Zerrenda-paragrafoa"/>
        <w:numPr>
          <w:ilvl w:val="0"/>
          <w:numId w:val="17"/>
        </w:numPr>
        <w:ind w:left="426"/>
        <w:jc w:val="both"/>
      </w:pPr>
      <w:r>
        <w:rPr>
          <w:b/>
          <w:bCs/>
        </w:rPr>
        <w:t>El importe restante se abonará previa comprobación</w:t>
      </w:r>
      <w:r>
        <w:t xml:space="preserve"> y aprobación de la cuenta justificativa, según se indica en el siguiente apartado.</w:t>
      </w:r>
    </w:p>
    <w:p w:rsidR="00482668" w:rsidRDefault="00482668">
      <w:pPr>
        <w:jc w:val="both"/>
      </w:pPr>
    </w:p>
    <w:p w:rsidR="00482668" w:rsidRDefault="00762B21">
      <w:pPr>
        <w:ind w:firstLine="0"/>
        <w:jc w:val="both"/>
      </w:pPr>
      <w:r>
        <w:t>En ningún caso se abonarán cantidades superiores a las justificadas en cada fase.</w:t>
      </w:r>
    </w:p>
    <w:p w:rsidR="00482668" w:rsidRDefault="00482668">
      <w:pPr>
        <w:jc w:val="both"/>
      </w:pPr>
    </w:p>
    <w:p w:rsidR="00482668" w:rsidRDefault="00482668">
      <w:pPr>
        <w:jc w:val="both"/>
      </w:pPr>
    </w:p>
    <w:p w:rsidR="00482668" w:rsidRDefault="00762B21">
      <w:pPr>
        <w:pStyle w:val="Zerrenda-paragrafoa"/>
        <w:numPr>
          <w:ilvl w:val="0"/>
          <w:numId w:val="25"/>
        </w:numPr>
        <w:jc w:val="both"/>
        <w:outlineLvl w:val="1"/>
      </w:pPr>
      <w:bookmarkStart w:id="250" w:name="_Toc108763799"/>
      <w:bookmarkStart w:id="251" w:name="_Toc115897543"/>
      <w:bookmarkStart w:id="252" w:name="_Toc108599940"/>
      <w:bookmarkStart w:id="253" w:name="_Toc121128565"/>
      <w:r>
        <w:rPr>
          <w:b/>
        </w:rPr>
        <w:t>DOCUMENTACIÓN PARA LA JUSTIFICACIÓN DE LAS AYUDAS RECIBIDAS</w:t>
      </w:r>
      <w:bookmarkEnd w:id="250"/>
      <w:bookmarkEnd w:id="251"/>
      <w:bookmarkEnd w:id="252"/>
      <w:bookmarkEnd w:id="253"/>
      <w:r>
        <w:rPr>
          <w:b/>
        </w:rPr>
        <w:t xml:space="preserve"> </w:t>
      </w:r>
    </w:p>
    <w:p w:rsidR="00482668" w:rsidRDefault="00482668">
      <w:pPr>
        <w:jc w:val="both"/>
      </w:pPr>
    </w:p>
    <w:p w:rsidR="00482668" w:rsidRDefault="00762B21">
      <w:pPr>
        <w:ind w:firstLine="0"/>
        <w:jc w:val="both"/>
      </w:pPr>
      <w:r>
        <w:t xml:space="preserve">La justificación por parte de los destinatarios últimos de las ayudas de la ejecución de las actuaciones deberá realizarse ante el órgano instructor a través de la presentación de la documentación que, con carácter general, figura a continuación, sin perjuicio de la documentación complementaria que pudieran requerir en sucesivas convocatorias: </w:t>
      </w:r>
    </w:p>
    <w:p w:rsidR="00482668" w:rsidRDefault="00482668">
      <w:pPr>
        <w:jc w:val="both"/>
      </w:pPr>
    </w:p>
    <w:p w:rsidR="00482668" w:rsidRDefault="00762B21">
      <w:pPr>
        <w:pStyle w:val="Zerrenda-paragrafoa"/>
        <w:numPr>
          <w:ilvl w:val="0"/>
          <w:numId w:val="18"/>
        </w:numPr>
        <w:ind w:left="426"/>
        <w:jc w:val="both"/>
      </w:pPr>
      <w:r>
        <w:rPr>
          <w:b/>
          <w:bCs/>
        </w:rPr>
        <w:t xml:space="preserve">Memoria de actuación justificativa </w:t>
      </w:r>
      <w:r>
        <w:t xml:space="preserve">del cumplimiento de las condiciones impuestas en la concesión de la subvención, conforme a lo exigido por estas bases y la resolución de concesión de la ayuda, con indicación de las actividades realizadas y de los resultados obtenidos. Esta memoria será realizada y suscrita por un técnico titulado competente, indicando así mismo la fecha de conclusión de las actuaciones. En la misma se hará constar el cumplimiento de la normativa de obligado cumplimiento que le sea de aplicación. </w:t>
      </w:r>
    </w:p>
    <w:p w:rsidR="00482668" w:rsidRDefault="00482668">
      <w:pPr>
        <w:pStyle w:val="Zerrenda-paragrafoa"/>
        <w:ind w:firstLine="0"/>
        <w:jc w:val="both"/>
      </w:pPr>
    </w:p>
    <w:p w:rsidR="00482668" w:rsidRDefault="00762B21">
      <w:pPr>
        <w:pStyle w:val="Zerrenda-paragrafoa"/>
        <w:numPr>
          <w:ilvl w:val="0"/>
          <w:numId w:val="18"/>
        </w:numPr>
        <w:ind w:left="426"/>
        <w:jc w:val="both"/>
      </w:pPr>
      <w:r>
        <w:rPr>
          <w:b/>
          <w:bCs/>
        </w:rPr>
        <w:t>Comunicación de cuenta justificativa</w:t>
      </w:r>
      <w:r>
        <w:t>, según modelo disponible al efecto</w:t>
      </w:r>
    </w:p>
    <w:p w:rsidR="00482668" w:rsidRDefault="00482668">
      <w:pPr>
        <w:pStyle w:val="Zerrenda-paragrafoa"/>
      </w:pPr>
    </w:p>
    <w:p w:rsidR="00482668" w:rsidRDefault="00762B21">
      <w:pPr>
        <w:pStyle w:val="Zerrenda-paragrafoa"/>
        <w:numPr>
          <w:ilvl w:val="0"/>
          <w:numId w:val="18"/>
        </w:numPr>
        <w:ind w:left="426"/>
        <w:jc w:val="both"/>
      </w:pPr>
      <w:r>
        <w:rPr>
          <w:b/>
          <w:bCs/>
        </w:rPr>
        <w:t>Facturas de ejecución de obra que no hayan sido ya presentadas</w:t>
      </w:r>
      <w:r>
        <w:t xml:space="preserve"> con anterioridad.</w:t>
      </w:r>
    </w:p>
    <w:p w:rsidR="00482668" w:rsidRDefault="00482668">
      <w:pPr>
        <w:pStyle w:val="Zerrenda-paragrafoa"/>
        <w:ind w:firstLine="0"/>
        <w:jc w:val="both"/>
      </w:pPr>
    </w:p>
    <w:p w:rsidR="00482668" w:rsidRDefault="00762B21">
      <w:pPr>
        <w:pStyle w:val="Zerrenda-paragrafoa"/>
        <w:numPr>
          <w:ilvl w:val="0"/>
          <w:numId w:val="18"/>
        </w:numPr>
        <w:ind w:left="426"/>
        <w:jc w:val="both"/>
      </w:pPr>
      <w:r>
        <w:rPr>
          <w:b/>
          <w:bCs/>
        </w:rPr>
        <w:t xml:space="preserve">Certificado final de las obras </w:t>
      </w:r>
      <w:r>
        <w:t>emitido y firmado por el director facultativo de éstas.</w:t>
      </w:r>
    </w:p>
    <w:p w:rsidR="00482668" w:rsidRDefault="00482668">
      <w:pPr>
        <w:pStyle w:val="Zerrenda-paragrafoa"/>
        <w:ind w:left="426"/>
      </w:pPr>
    </w:p>
    <w:p w:rsidR="00482668" w:rsidRDefault="00762B21">
      <w:pPr>
        <w:pStyle w:val="Zerrenda-paragrafoa"/>
        <w:numPr>
          <w:ilvl w:val="0"/>
          <w:numId w:val="18"/>
        </w:numPr>
        <w:ind w:left="426"/>
      </w:pPr>
      <w:r>
        <w:rPr>
          <w:b/>
          <w:bCs/>
        </w:rPr>
        <w:t>Certificado de subsanación</w:t>
      </w:r>
      <w:r>
        <w:t xml:space="preserve"> de las patologías y daños identificados en la ITE.</w:t>
      </w:r>
    </w:p>
    <w:p w:rsidR="00482668" w:rsidRDefault="00482668">
      <w:pPr>
        <w:pStyle w:val="Zerrenda-paragrafoa"/>
        <w:ind w:left="426" w:firstLine="0"/>
        <w:jc w:val="both"/>
      </w:pPr>
    </w:p>
    <w:p w:rsidR="00482668" w:rsidRDefault="00762B21">
      <w:pPr>
        <w:pStyle w:val="Zerrenda-paragrafoa"/>
        <w:numPr>
          <w:ilvl w:val="0"/>
          <w:numId w:val="18"/>
        </w:numPr>
        <w:ind w:left="426"/>
        <w:jc w:val="both"/>
      </w:pPr>
      <w:r>
        <w:rPr>
          <w:b/>
          <w:bCs/>
        </w:rPr>
        <w:t>Certificado de eficiencia energética del edificio o vivienda obtenido una vez realizadas las actuaciones</w:t>
      </w:r>
      <w:r>
        <w:t xml:space="preserve">, realizado con el mismo programa reconocido de certificación que el utilizado para el Certificado previo a la intervención, suscrito por técnico competente, en el que se acredite el cumplimiento de los requisitos establecidos para la obtención de la ayuda, y registrado en el registro del órgano competente de la comunidad autónoma. </w:t>
      </w:r>
    </w:p>
    <w:p w:rsidR="00482668" w:rsidRDefault="00482668">
      <w:pPr>
        <w:pStyle w:val="Zerrenda-paragrafoa"/>
        <w:ind w:left="426"/>
      </w:pPr>
    </w:p>
    <w:p w:rsidR="00482668" w:rsidRDefault="00762B21">
      <w:pPr>
        <w:pStyle w:val="Zerrenda-paragrafoa"/>
        <w:numPr>
          <w:ilvl w:val="0"/>
          <w:numId w:val="18"/>
        </w:numPr>
        <w:ind w:left="426"/>
        <w:jc w:val="both"/>
      </w:pPr>
      <w:r>
        <w:rPr>
          <w:b/>
          <w:bCs/>
        </w:rPr>
        <w:t>Certificado de la instalación térmica, en su caso</w:t>
      </w:r>
      <w:r>
        <w:t xml:space="preserve">, suscrito por el director de la instalación o instalador autorizado, registrado en el órgano competente de la Comunidad Autónoma de acuerdo con el RITE. </w:t>
      </w:r>
    </w:p>
    <w:p w:rsidR="00482668" w:rsidRDefault="00482668">
      <w:pPr>
        <w:pStyle w:val="Zerrenda-paragrafoa"/>
        <w:ind w:left="426"/>
      </w:pPr>
    </w:p>
    <w:p w:rsidR="00482668" w:rsidRDefault="00762B21">
      <w:pPr>
        <w:pStyle w:val="Zerrenda-paragrafoa"/>
        <w:numPr>
          <w:ilvl w:val="0"/>
          <w:numId w:val="18"/>
        </w:numPr>
        <w:ind w:left="426"/>
        <w:jc w:val="both"/>
      </w:pPr>
      <w:r>
        <w:rPr>
          <w:b/>
          <w:bCs/>
        </w:rPr>
        <w:lastRenderedPageBreak/>
        <w:t>Documentación fotográfica de las obras ejecutadas</w:t>
      </w:r>
      <w:r>
        <w:t xml:space="preserve">, preferentemente en color. </w:t>
      </w:r>
    </w:p>
    <w:p w:rsidR="00482668" w:rsidRDefault="00482668">
      <w:pPr>
        <w:pStyle w:val="Zerrenda-paragrafoa"/>
        <w:ind w:left="426"/>
      </w:pPr>
    </w:p>
    <w:p w:rsidR="00482668" w:rsidRDefault="00762B21">
      <w:pPr>
        <w:pStyle w:val="Zerrenda-paragrafoa"/>
        <w:numPr>
          <w:ilvl w:val="0"/>
          <w:numId w:val="18"/>
        </w:numPr>
        <w:ind w:left="426"/>
        <w:jc w:val="both"/>
      </w:pPr>
      <w:r>
        <w:rPr>
          <w:b/>
          <w:bCs/>
        </w:rPr>
        <w:t>Certificado o declaración responsable que incluya detalle de otros ingresos o subvenciones</w:t>
      </w:r>
      <w:r>
        <w:t xml:space="preserve"> que hayan financiado la actividad subvencionada con indicación de sus importes y procedencia expedido por la persona que ostente la Presidencia o, en su caso, la Secretaría o la -Administración de la Comunidad. En su caso, declaración responsable del titular o titulares de la vivienda. </w:t>
      </w:r>
    </w:p>
    <w:p w:rsidR="00482668" w:rsidRDefault="00482668">
      <w:pPr>
        <w:jc w:val="both"/>
      </w:pPr>
    </w:p>
    <w:p w:rsidR="00482668" w:rsidRDefault="00762B21">
      <w:pPr>
        <w:ind w:firstLine="0"/>
        <w:jc w:val="both"/>
      </w:pPr>
      <w:r>
        <w:t>El plazo máximo de ejecución de las obras será de 18 meses contados a partir de la notificación de la concesión de la licencia de obras. No obstante, cuando por causa justificada no imputable a las solicitantes de la ayuda se produjera un retraso en el inicio o en la ejecución de la obra, se podrá solicitar, previo vencimiento del plazo establecido, una ampliación del mismo.</w:t>
      </w:r>
    </w:p>
    <w:p w:rsidR="00482668" w:rsidRDefault="00482668">
      <w:pPr>
        <w:jc w:val="both"/>
      </w:pPr>
    </w:p>
    <w:p w:rsidR="00482668" w:rsidRDefault="00762B21">
      <w:pPr>
        <w:ind w:firstLine="0"/>
        <w:jc w:val="both"/>
      </w:pPr>
      <w:r>
        <w:t>El plazo de justificación (por parte de las personas beneficiarias) del cumplimiento de la finalidad para la que se concedió la subvención y de la aplicación de los fondos percibidos será de dos meses contado a partir del vencimiento de la fecha indicada en el párrafo anterior, sin que, en ningún caso, pueda superar la fecha 31 de octubre de 2025.</w:t>
      </w:r>
    </w:p>
    <w:p w:rsidR="00482668" w:rsidRDefault="00482668">
      <w:pPr>
        <w:jc w:val="both"/>
      </w:pPr>
    </w:p>
    <w:p w:rsidR="007A65F6" w:rsidRDefault="007A65F6">
      <w:pPr>
        <w:jc w:val="both"/>
      </w:pPr>
    </w:p>
    <w:p w:rsidR="00482668" w:rsidRDefault="00762B21">
      <w:pPr>
        <w:pStyle w:val="Zerrenda-paragrafoa"/>
        <w:numPr>
          <w:ilvl w:val="0"/>
          <w:numId w:val="25"/>
        </w:numPr>
        <w:jc w:val="both"/>
        <w:outlineLvl w:val="1"/>
      </w:pPr>
      <w:bookmarkStart w:id="254" w:name="_Toc108763800"/>
      <w:bookmarkStart w:id="255" w:name="_Toc115897544"/>
      <w:bookmarkStart w:id="256" w:name="_Toc108599941"/>
      <w:bookmarkStart w:id="257" w:name="_Toc121128566"/>
      <w:r>
        <w:rPr>
          <w:b/>
        </w:rPr>
        <w:t>INCUMPLIMIENTO</w:t>
      </w:r>
      <w:r>
        <w:rPr>
          <w:b/>
          <w:bCs/>
        </w:rPr>
        <w:t xml:space="preserve"> Y PROCEDIMIENTO DE REINTEGRO DE SUBVENCIONES RECIBIDAS</w:t>
      </w:r>
      <w:bookmarkEnd w:id="254"/>
      <w:bookmarkEnd w:id="255"/>
      <w:bookmarkEnd w:id="256"/>
      <w:bookmarkEnd w:id="257"/>
    </w:p>
    <w:p w:rsidR="00482668" w:rsidRDefault="00482668">
      <w:pPr>
        <w:pStyle w:val="Zerrenda-paragrafoa"/>
        <w:ind w:left="1080" w:firstLine="0"/>
        <w:jc w:val="both"/>
      </w:pPr>
    </w:p>
    <w:p w:rsidR="00482668" w:rsidRDefault="00762B21">
      <w:pPr>
        <w:ind w:firstLine="0"/>
        <w:jc w:val="both"/>
      </w:pPr>
      <w:r>
        <w:t>La constatación de que los beneficiarios:</w:t>
      </w:r>
    </w:p>
    <w:p w:rsidR="00482668" w:rsidRDefault="00482668">
      <w:pPr>
        <w:jc w:val="both"/>
      </w:pPr>
    </w:p>
    <w:p w:rsidR="00482668" w:rsidRDefault="00762B21">
      <w:pPr>
        <w:pStyle w:val="Zerrenda-paragrafoa"/>
        <w:numPr>
          <w:ilvl w:val="0"/>
          <w:numId w:val="13"/>
        </w:numPr>
        <w:ind w:left="426"/>
        <w:jc w:val="both"/>
      </w:pPr>
      <w:r>
        <w:t>No utilicen la subvención para el destino específico par</w:t>
      </w:r>
      <w:r w:rsidR="007A65F6">
        <w:t>a el que se solicitó y concedió</w:t>
      </w:r>
      <w:r>
        <w:t xml:space="preserve"> </w:t>
      </w:r>
    </w:p>
    <w:p w:rsidR="00482668" w:rsidRDefault="00762B21">
      <w:pPr>
        <w:pStyle w:val="Zerrenda-paragrafoa"/>
        <w:numPr>
          <w:ilvl w:val="0"/>
          <w:numId w:val="13"/>
        </w:numPr>
        <w:ind w:left="426"/>
        <w:jc w:val="both"/>
      </w:pPr>
      <w:r>
        <w:t xml:space="preserve">No realicen la actuación </w:t>
      </w:r>
      <w:r w:rsidR="007A65F6">
        <w:t>que dio origen a la subvención</w:t>
      </w:r>
    </w:p>
    <w:p w:rsidR="00482668" w:rsidRDefault="00762B21">
      <w:pPr>
        <w:pStyle w:val="Zerrenda-paragrafoa"/>
        <w:numPr>
          <w:ilvl w:val="0"/>
          <w:numId w:val="13"/>
        </w:numPr>
        <w:ind w:left="426"/>
        <w:jc w:val="both"/>
      </w:pPr>
      <w:r>
        <w:t xml:space="preserve">No justifiquen su aplicación a los fines determinados para los que se interesó o, en general, de </w:t>
      </w:r>
    </w:p>
    <w:p w:rsidR="00482668" w:rsidRDefault="00762B21">
      <w:pPr>
        <w:pStyle w:val="Zerrenda-paragrafoa"/>
        <w:numPr>
          <w:ilvl w:val="0"/>
          <w:numId w:val="13"/>
        </w:numPr>
        <w:ind w:left="426"/>
        <w:jc w:val="both"/>
      </w:pPr>
      <w:r>
        <w:t>Incumplen las condiciones que motivaron</w:t>
      </w:r>
      <w:r w:rsidR="007A65F6">
        <w:t xml:space="preserve"> la concesión de la subvención</w:t>
      </w:r>
    </w:p>
    <w:p w:rsidR="00482668" w:rsidRDefault="00762B21">
      <w:pPr>
        <w:pStyle w:val="Zerrenda-paragrafoa"/>
        <w:numPr>
          <w:ilvl w:val="0"/>
          <w:numId w:val="13"/>
        </w:numPr>
        <w:ind w:left="426"/>
        <w:jc w:val="both"/>
      </w:pPr>
      <w:r>
        <w:t xml:space="preserve">Se niegan a facilitar la labor de inspección </w:t>
      </w:r>
    </w:p>
    <w:p w:rsidR="00482668" w:rsidRDefault="00762B21">
      <w:pPr>
        <w:pStyle w:val="Zerrenda-paragrafoa"/>
        <w:numPr>
          <w:ilvl w:val="0"/>
          <w:numId w:val="13"/>
        </w:numPr>
        <w:ind w:left="426"/>
        <w:jc w:val="both"/>
      </w:pPr>
      <w:r>
        <w:t>Incumplen cualquiera de las obligaciones atribuidas a las personas beneficiarias en los términos establecidos en el artículo 37 de la Ley General de Subvenciones o su cumplimiento extemporáneo, cuando el cumplimiento total de las condiciones o del plazo fuera determinante para la consecución del fin público perseguido, o bien</w:t>
      </w:r>
    </w:p>
    <w:p w:rsidR="00482668" w:rsidRDefault="00762B21">
      <w:pPr>
        <w:pStyle w:val="Zerrenda-paragrafoa"/>
        <w:numPr>
          <w:ilvl w:val="0"/>
          <w:numId w:val="13"/>
        </w:numPr>
        <w:ind w:left="426"/>
        <w:jc w:val="both"/>
      </w:pPr>
      <w:r>
        <w:t xml:space="preserve">Concurrieran las circunstancias previstas en el </w:t>
      </w:r>
      <w:r>
        <w:rPr>
          <w:b/>
          <w:bCs/>
        </w:rPr>
        <w:t xml:space="preserve"> </w:t>
      </w:r>
      <w:r w:rsidR="000723F6">
        <w:rPr>
          <w:bCs/>
        </w:rPr>
        <w:fldChar w:fldCharType="begin"/>
      </w:r>
      <w:r>
        <w:rPr>
          <w:bCs/>
        </w:rPr>
        <w:instrText>REF _Ref108720462 \r \h</w:instrText>
      </w:r>
      <w:r w:rsidR="000723F6">
        <w:rPr>
          <w:bCs/>
        </w:rPr>
      </w:r>
      <w:r w:rsidR="000723F6">
        <w:rPr>
          <w:bCs/>
        </w:rPr>
        <w:fldChar w:fldCharType="separate"/>
      </w:r>
      <w:r w:rsidR="00904A83">
        <w:rPr>
          <w:bCs/>
        </w:rPr>
        <w:t>26</w:t>
      </w:r>
      <w:r w:rsidR="000723F6">
        <w:rPr>
          <w:bCs/>
        </w:rPr>
        <w:fldChar w:fldCharType="end"/>
      </w:r>
      <w:r>
        <w:rPr>
          <w:bCs/>
        </w:rPr>
        <w:t xml:space="preserve"> </w:t>
      </w:r>
      <w:r w:rsidR="000723F6">
        <w:rPr>
          <w:bCs/>
        </w:rPr>
        <w:fldChar w:fldCharType="begin"/>
      </w:r>
      <w:r>
        <w:rPr>
          <w:bCs/>
        </w:rPr>
        <w:instrText>REF _Ref108720469 \h</w:instrText>
      </w:r>
      <w:r w:rsidR="000723F6">
        <w:rPr>
          <w:bCs/>
        </w:rPr>
      </w:r>
      <w:r w:rsidR="000723F6">
        <w:rPr>
          <w:bCs/>
        </w:rPr>
        <w:fldChar w:fldCharType="separate"/>
      </w:r>
      <w:r w:rsidR="00904A83">
        <w:rPr>
          <w:b/>
          <w:bCs/>
        </w:rPr>
        <w:t>REINTEGRO DE LAS AYUDAS EN SUPUESTOS DE ADJUDICACIONES IMPROCEDENTES</w:t>
      </w:r>
      <w:r w:rsidR="000723F6">
        <w:rPr>
          <w:bCs/>
        </w:rPr>
        <w:fldChar w:fldCharType="end"/>
      </w:r>
    </w:p>
    <w:p w:rsidR="00482668" w:rsidRDefault="00482668">
      <w:pPr>
        <w:pStyle w:val="Zerrenda-paragrafoa"/>
        <w:ind w:left="1080" w:firstLine="0"/>
        <w:jc w:val="both"/>
      </w:pPr>
    </w:p>
    <w:p w:rsidR="00482668" w:rsidRDefault="00762B21">
      <w:pPr>
        <w:ind w:left="426" w:firstLine="0"/>
        <w:jc w:val="both"/>
      </w:pPr>
      <w:r>
        <w:t>Dará lugar, previa audiencia al interesado, a la declaración de pérdida del derecho a la percepción de la subvención y, en su caso, a la obligación de reintegrar a la Tesorería General del País Vasco las cantidades percibidas, más los intereses legales que procedan, de conformidad y en los términos establecidos en el Decreto Legislativo 1/1997, de 11 de noviembre, por el que se aprueba el Texto Refundido de la Ley de Principios Ordenadores de la Hacienda General del País Vasco, en la Ley 38/2003, de 17 de noviembre, General de Subvenciones, y en el Decreto 698/1991 de 17 de diciembre, por el que se regula el régimen general de garantías y reintegros de las subvenciones con cargo a los Presupuestos Generales de la Comunidad Autónoma de Euskadi.</w:t>
      </w:r>
    </w:p>
    <w:p w:rsidR="00482668" w:rsidRDefault="00482668">
      <w:pPr>
        <w:jc w:val="both"/>
      </w:pPr>
    </w:p>
    <w:p w:rsidR="00482668" w:rsidRDefault="00762B21">
      <w:pPr>
        <w:ind w:firstLine="0"/>
        <w:jc w:val="both"/>
      </w:pPr>
      <w:r>
        <w:t>La no aportación del justificante de la inscripción en el Registro de la Propiedad del asiento registral de limitación dispositiva del dominio de alguna o algunas de las viviendas del inmueble, supondrá la reducción de la ayuda concedida en un porcentaje equivalente a la cuota de participación atribuida a dichas viviendas en el total del inmueble en la división de propiedad horizontal.</w:t>
      </w:r>
    </w:p>
    <w:p w:rsidR="00482668" w:rsidRDefault="00482668">
      <w:pPr>
        <w:jc w:val="both"/>
      </w:pPr>
    </w:p>
    <w:p w:rsidR="00482668" w:rsidRDefault="00762B21">
      <w:pPr>
        <w:ind w:firstLine="0"/>
        <w:jc w:val="both"/>
      </w:pPr>
      <w:r>
        <w:t>Si en la realización de una comprobación o control financiero por los servicios de la Administración se pusiera de manifiesto la falta de pago de todos o parte de los gastos realizados, después de cobrada la subvención, siendo exigibles por los respectivos acreedores, se exigirá el reintegro aplicando el principio de proporcionalidad, a cuyo efecto se considerará reintegrable la subvención en proporción a los gastos impagados.</w:t>
      </w:r>
    </w:p>
    <w:p w:rsidR="00482668" w:rsidRDefault="00482668">
      <w:pPr>
        <w:pStyle w:val="Zerrenda-paragrafoa"/>
        <w:ind w:left="1080" w:firstLine="0"/>
        <w:jc w:val="both"/>
      </w:pPr>
      <w:bookmarkStart w:id="258" w:name="OLE_LINK1"/>
      <w:bookmarkEnd w:id="258"/>
    </w:p>
    <w:p w:rsidR="00482668" w:rsidRDefault="00762B21">
      <w:pPr>
        <w:ind w:firstLine="0"/>
        <w:jc w:val="both"/>
      </w:pPr>
      <w:r>
        <w:t>Así mismo procederá el reintegro por el exceso obtenido sobre el coste de la actividad subvencionada, lo que conlleva la exigencia del interés de demora aplicable en materia de subvenciones.</w:t>
      </w:r>
    </w:p>
    <w:p w:rsidR="00482668" w:rsidRDefault="00482668">
      <w:pPr>
        <w:jc w:val="both"/>
        <w:rPr>
          <w:u w:val="single"/>
        </w:rPr>
      </w:pPr>
    </w:p>
    <w:p w:rsidR="00482668" w:rsidRDefault="00482668">
      <w:pPr>
        <w:jc w:val="both"/>
        <w:rPr>
          <w:u w:val="single"/>
        </w:rPr>
      </w:pPr>
    </w:p>
    <w:p w:rsidR="00482668" w:rsidRDefault="00762B21">
      <w:pPr>
        <w:pStyle w:val="Zerrenda-paragrafoa"/>
        <w:numPr>
          <w:ilvl w:val="0"/>
          <w:numId w:val="25"/>
        </w:numPr>
        <w:jc w:val="both"/>
        <w:outlineLvl w:val="1"/>
        <w:rPr>
          <w:b/>
        </w:rPr>
      </w:pPr>
      <w:bookmarkStart w:id="259" w:name="_Toc108763801"/>
      <w:bookmarkStart w:id="260" w:name="_Toc115897545"/>
      <w:bookmarkStart w:id="261" w:name="_Toc108599942"/>
      <w:bookmarkStart w:id="262" w:name="_Toc121128567"/>
      <w:r>
        <w:rPr>
          <w:b/>
        </w:rPr>
        <w:t>INFRACCIONES Y SANCIONES ADMINISTRATIVAS EN MATERIA DE SUBVENCIONES. PROCEDIMIENTO SANCIONADOR</w:t>
      </w:r>
      <w:bookmarkEnd w:id="259"/>
      <w:bookmarkEnd w:id="260"/>
      <w:bookmarkEnd w:id="261"/>
      <w:bookmarkEnd w:id="262"/>
    </w:p>
    <w:p w:rsidR="00482668" w:rsidRDefault="00482668">
      <w:pPr>
        <w:jc w:val="both"/>
      </w:pPr>
    </w:p>
    <w:p w:rsidR="00482668" w:rsidRDefault="00762B21">
      <w:pPr>
        <w:ind w:firstLine="0"/>
        <w:jc w:val="both"/>
      </w:pPr>
      <w:r>
        <w:t>En esta materia se estará a lo dispuesto en el Capítulo VIII de la ORDENANZA GENERAL DE SUBVENCIONES DEL EXCMO. AYUNTAMIENTO DE LASARTE-ORIA.</w:t>
      </w:r>
    </w:p>
    <w:p w:rsidR="00482668" w:rsidRDefault="00482668" w:rsidP="000C6080">
      <w:pPr>
        <w:ind w:firstLine="0"/>
        <w:jc w:val="both"/>
      </w:pPr>
    </w:p>
    <w:p w:rsidR="00482668" w:rsidRPr="000C6080" w:rsidRDefault="00482668" w:rsidP="000C6080">
      <w:pPr>
        <w:ind w:firstLine="0"/>
        <w:jc w:val="both"/>
      </w:pPr>
    </w:p>
    <w:p w:rsidR="00482668" w:rsidRPr="000C6080" w:rsidRDefault="00762B21">
      <w:pPr>
        <w:pStyle w:val="Zerrenda-paragrafoa"/>
        <w:numPr>
          <w:ilvl w:val="0"/>
          <w:numId w:val="25"/>
        </w:numPr>
        <w:jc w:val="both"/>
        <w:outlineLvl w:val="1"/>
        <w:rPr>
          <w:b/>
        </w:rPr>
      </w:pPr>
      <w:bookmarkStart w:id="263" w:name="_Toc108763802"/>
      <w:bookmarkStart w:id="264" w:name="_Toc115897546"/>
      <w:bookmarkStart w:id="265" w:name="_Toc108599943"/>
      <w:bookmarkStart w:id="266" w:name="_Toc121128568"/>
      <w:r w:rsidRPr="000C6080">
        <w:rPr>
          <w:b/>
        </w:rPr>
        <w:t>INDICACIÓN DEL FIN DE LA VÍA ADMINISTRATIVA</w:t>
      </w:r>
      <w:bookmarkEnd w:id="263"/>
      <w:bookmarkEnd w:id="264"/>
      <w:bookmarkEnd w:id="265"/>
      <w:bookmarkEnd w:id="266"/>
    </w:p>
    <w:p w:rsidR="00482668" w:rsidRDefault="00482668">
      <w:pPr>
        <w:jc w:val="both"/>
        <w:rPr>
          <w:shd w:val="clear" w:color="auto" w:fill="FFFF00"/>
        </w:rPr>
      </w:pPr>
    </w:p>
    <w:p w:rsidR="000C6080" w:rsidRDefault="000C6080" w:rsidP="000C6080">
      <w:pPr>
        <w:ind w:firstLine="0"/>
        <w:jc w:val="both"/>
      </w:pPr>
      <w:r w:rsidRPr="00481219">
        <w:t>La Resolución pone fin a la vía administrativa pudiendo interponerse contra la misma, recurso contencioso administrativo en el plazo de dos meses ante el Tribunal Superior  de Justicia del País Vasco.</w:t>
      </w:r>
    </w:p>
    <w:p w:rsidR="000C6080" w:rsidRDefault="000C6080" w:rsidP="000C6080">
      <w:pPr>
        <w:ind w:firstLine="0"/>
        <w:jc w:val="both"/>
      </w:pPr>
    </w:p>
    <w:p w:rsidR="000C6080" w:rsidRPr="00481219" w:rsidRDefault="000C6080" w:rsidP="000C6080">
      <w:pPr>
        <w:ind w:firstLine="0"/>
        <w:jc w:val="both"/>
      </w:pPr>
    </w:p>
    <w:p w:rsidR="00482668" w:rsidRDefault="00762B21">
      <w:pPr>
        <w:pStyle w:val="Zerrenda-paragrafoa"/>
        <w:numPr>
          <w:ilvl w:val="0"/>
          <w:numId w:val="25"/>
        </w:numPr>
        <w:jc w:val="both"/>
        <w:outlineLvl w:val="1"/>
        <w:rPr>
          <w:b/>
        </w:rPr>
      </w:pPr>
      <w:bookmarkStart w:id="267" w:name="_Toc108763803"/>
      <w:bookmarkStart w:id="268" w:name="_Toc115897547"/>
      <w:bookmarkStart w:id="269" w:name="_Toc108599944"/>
      <w:bookmarkStart w:id="270" w:name="_Toc121128569"/>
      <w:r>
        <w:rPr>
          <w:b/>
        </w:rPr>
        <w:t>PROTECCIÓN DE DATOS DE CARÁCTER PERSONAL</w:t>
      </w:r>
      <w:bookmarkEnd w:id="267"/>
      <w:bookmarkEnd w:id="268"/>
      <w:bookmarkEnd w:id="269"/>
      <w:bookmarkEnd w:id="270"/>
    </w:p>
    <w:p w:rsidR="00482668" w:rsidRDefault="00482668">
      <w:pPr>
        <w:jc w:val="both"/>
      </w:pPr>
    </w:p>
    <w:p w:rsidR="00482668" w:rsidRDefault="00762B21">
      <w:pPr>
        <w:ind w:firstLine="0"/>
        <w:jc w:val="both"/>
      </w:pPr>
      <w:bookmarkStart w:id="271" w:name="_GoBack"/>
      <w:bookmarkEnd w:id="271"/>
      <w:r>
        <w:t>Con la presentación de la solicitud de subvención, la entidad solicitante declara que reúne todos los requisitos establecidos en la convocatoria y que acepta íntegramente estas bases. Así mismo, manifiesta que los Datos Personales contenidos en la instancia son recogidos bajo su consentimiento y que acepta que dichos datos sean objeto de tratamiento automatizado e incorporados a los diferentes ficheros debidamente autorizados del Ayuntamiento de Lasarte-Oria y que autoriza a que el uso de dichos datos se restrinja exclusivamente a la gestión municipal, pudiendo procederse a su cesión o comunicación a otras Administraciones Públicas o terceros en los supuestos previstos en el “Reglamento (UE) 2016/679 del Parlamento europeo y del Consejo de 27 de abril de 2016 relativo a la protección de las personas físicas en lo que respecta al tratamiento de datos personales y a la libre circulación de estos datos” y la “Ley Orgánica 3/2018, de 5 de diciembre, de Protección de Datos Personales y garantía de los derechos digitales”.</w:t>
      </w:r>
    </w:p>
    <w:p w:rsidR="00482668" w:rsidRDefault="00762B21">
      <w:pPr>
        <w:jc w:val="both"/>
      </w:pPr>
      <w:r>
        <w:br w:type="page"/>
      </w:r>
    </w:p>
    <w:p w:rsidR="00482668" w:rsidRDefault="00762B21" w:rsidP="006F472F">
      <w:pPr>
        <w:pStyle w:val="Heading1"/>
        <w:numPr>
          <w:ilvl w:val="0"/>
          <w:numId w:val="0"/>
        </w:numPr>
        <w:ind w:left="432" w:hanging="716"/>
        <w:rPr>
          <w:rFonts w:ascii="Arial" w:eastAsia="Times New Roman" w:hAnsi="Arial" w:cs="Arial"/>
          <w:color w:val="auto"/>
          <w:lang w:eastAsia="es-ES"/>
        </w:rPr>
      </w:pPr>
      <w:bookmarkStart w:id="272" w:name="_Ref108119150"/>
      <w:bookmarkStart w:id="273" w:name="_Ref108518437"/>
      <w:bookmarkStart w:id="274" w:name="_Toc108599945"/>
      <w:bookmarkStart w:id="275" w:name="_Toc108763804"/>
      <w:bookmarkStart w:id="276" w:name="_Toc115897548"/>
      <w:bookmarkStart w:id="277" w:name="_Ref108119112"/>
      <w:bookmarkStart w:id="278" w:name="_Toc121128570"/>
      <w:r>
        <w:rPr>
          <w:rFonts w:ascii="Arial" w:eastAsia="Times New Roman" w:hAnsi="Arial" w:cs="Arial"/>
          <w:color w:val="auto"/>
          <w:lang w:eastAsia="es-ES"/>
        </w:rPr>
        <w:lastRenderedPageBreak/>
        <w:t>ANEXO I</w:t>
      </w:r>
      <w:bookmarkEnd w:id="272"/>
      <w:bookmarkEnd w:id="273"/>
      <w:bookmarkEnd w:id="274"/>
      <w:bookmarkEnd w:id="275"/>
      <w:bookmarkEnd w:id="276"/>
      <w:bookmarkEnd w:id="277"/>
      <w:bookmarkEnd w:id="278"/>
    </w:p>
    <w:p w:rsidR="00482668" w:rsidRDefault="00482668">
      <w:pPr>
        <w:ind w:firstLine="0"/>
        <w:jc w:val="center"/>
        <w:rPr>
          <w:rFonts w:ascii="Arial" w:eastAsia="Times New Roman" w:hAnsi="Arial" w:cs="Arial"/>
          <w:b/>
          <w:bCs/>
          <w:sz w:val="24"/>
          <w:szCs w:val="24"/>
          <w:lang w:eastAsia="es-ES"/>
        </w:rPr>
      </w:pPr>
    </w:p>
    <w:p w:rsidR="00482668" w:rsidRDefault="00762B21">
      <w:pPr>
        <w:ind w:firstLine="0"/>
        <w:jc w:val="center"/>
        <w:rPr>
          <w:rFonts w:ascii="Arial" w:eastAsia="Times New Roman" w:hAnsi="Arial" w:cs="Arial"/>
          <w:b/>
          <w:bCs/>
          <w:sz w:val="24"/>
          <w:szCs w:val="24"/>
          <w:lang w:eastAsia="es-ES"/>
        </w:rPr>
      </w:pPr>
      <w:r>
        <w:rPr>
          <w:rFonts w:ascii="Arial" w:eastAsia="Times New Roman" w:hAnsi="Arial" w:cs="Arial"/>
          <w:b/>
          <w:bCs/>
          <w:sz w:val="24"/>
          <w:szCs w:val="24"/>
          <w:lang w:eastAsia="es-ES"/>
        </w:rPr>
        <w:t>MODELO DECLARACIÓN RESPONSABLE DEL CUMPLIMIENTO</w:t>
      </w:r>
    </w:p>
    <w:p w:rsidR="00482668" w:rsidRDefault="00762B21">
      <w:pPr>
        <w:ind w:firstLine="0"/>
        <w:jc w:val="center"/>
        <w:rPr>
          <w:rFonts w:ascii="Arial" w:eastAsia="Times New Roman" w:hAnsi="Arial" w:cs="Arial"/>
          <w:b/>
          <w:bCs/>
          <w:sz w:val="24"/>
          <w:szCs w:val="24"/>
          <w:lang w:eastAsia="es-ES"/>
        </w:rPr>
      </w:pPr>
      <w:bookmarkStart w:id="279" w:name="_Hlk101090400"/>
      <w:r>
        <w:rPr>
          <w:rFonts w:ascii="Arial" w:eastAsia="Times New Roman" w:hAnsi="Arial" w:cs="Arial"/>
          <w:b/>
          <w:bCs/>
          <w:sz w:val="24"/>
          <w:szCs w:val="24"/>
          <w:lang w:eastAsia="es-ES"/>
        </w:rPr>
        <w:t>DEL PRINCIPIO DE «NO CAUSAR PERJUICIO SIGNIFICATIVO» AL MEDIO AMBIENTE (DNSH)</w:t>
      </w:r>
      <w:bookmarkEnd w:id="279"/>
    </w:p>
    <w:p w:rsidR="00482668" w:rsidRDefault="00482668">
      <w:pPr>
        <w:ind w:firstLine="0"/>
        <w:rPr>
          <w:rFonts w:ascii="Arial" w:eastAsia="Times New Roman" w:hAnsi="Arial" w:cs="Arial"/>
          <w:lang w:eastAsia="es-ES"/>
        </w:rPr>
      </w:pPr>
    </w:p>
    <w:p w:rsidR="00482668" w:rsidRDefault="00762B21">
      <w:pPr>
        <w:ind w:firstLine="0"/>
        <w:jc w:val="both"/>
      </w:pPr>
      <w:r>
        <w:rPr>
          <w:rFonts w:ascii="Arial" w:hAnsi="Arial" w:cs="Arial"/>
          <w:lang w:eastAsia="es-ES"/>
        </w:rPr>
        <w:t xml:space="preserve">D./Dª ………………………………… con DNI nº …………………………………, </w:t>
      </w:r>
      <w:r>
        <w:rPr>
          <w:rFonts w:ascii="Arial" w:hAnsi="Arial" w:cs="Arial"/>
          <w:i/>
          <w:iCs/>
          <w:lang w:eastAsia="es-ES"/>
        </w:rPr>
        <w:t>Titulación del técnico</w:t>
      </w:r>
      <w:r>
        <w:rPr>
          <w:rFonts w:ascii="Arial" w:hAnsi="Arial" w:cs="Arial"/>
          <w:lang w:eastAsia="es-ES"/>
        </w:rPr>
        <w:t>,</w:t>
      </w:r>
      <w:r>
        <w:rPr>
          <w:rFonts w:ascii="Arial" w:hAnsi="Arial" w:cs="Arial"/>
          <w:i/>
          <w:iCs/>
          <w:lang w:eastAsia="es-ES"/>
        </w:rPr>
        <w:t xml:space="preserve"> </w:t>
      </w:r>
      <w:r>
        <w:rPr>
          <w:rFonts w:ascii="Arial" w:hAnsi="Arial" w:cs="Arial"/>
          <w:lang w:eastAsia="es-ES"/>
        </w:rPr>
        <w:t>con Nº de Colegiación………...., del colegio oficial de ………………………………… en nombre y representación de la entidad ………………………………… con NIF ………………………………….</w:t>
      </w:r>
    </w:p>
    <w:p w:rsidR="00482668" w:rsidRDefault="00482668">
      <w:pPr>
        <w:ind w:firstLine="0"/>
        <w:rPr>
          <w:rFonts w:ascii="Arial" w:hAnsi="Arial" w:cs="Arial"/>
          <w:lang w:eastAsia="es-ES"/>
        </w:rPr>
      </w:pPr>
    </w:p>
    <w:p w:rsidR="00482668" w:rsidRDefault="00762B21">
      <w:pPr>
        <w:ind w:firstLine="0"/>
        <w:rPr>
          <w:rFonts w:ascii="Arial" w:hAnsi="Arial" w:cs="Arial"/>
          <w:b/>
          <w:lang w:eastAsia="es-ES"/>
        </w:rPr>
      </w:pPr>
      <w:r>
        <w:rPr>
          <w:rFonts w:ascii="Arial" w:hAnsi="Arial" w:cs="Arial"/>
          <w:b/>
          <w:lang w:eastAsia="es-ES"/>
        </w:rPr>
        <w:t>DECLARA</w:t>
      </w:r>
    </w:p>
    <w:p w:rsidR="00482668" w:rsidRDefault="00762B21">
      <w:pPr>
        <w:spacing w:before="240"/>
        <w:ind w:firstLine="0"/>
        <w:jc w:val="both"/>
      </w:pPr>
      <w:r>
        <w:rPr>
          <w:rFonts w:ascii="Arial" w:hAnsi="Arial" w:cs="Arial"/>
          <w:lang w:eastAsia="es-ES"/>
        </w:rPr>
        <w:t xml:space="preserve">Que es autor/a del </w:t>
      </w:r>
      <w:bookmarkStart w:id="280" w:name="_Hlk93577773"/>
      <w:r>
        <w:rPr>
          <w:rFonts w:ascii="Arial" w:hAnsi="Arial" w:cs="Arial"/>
          <w:i/>
          <w:iCs/>
          <w:lang w:eastAsia="es-ES"/>
        </w:rPr>
        <w:t>proyecto, memoria o libro del edificio</w:t>
      </w:r>
      <w:r>
        <w:rPr>
          <w:rFonts w:ascii="Arial" w:hAnsi="Arial" w:cs="Arial"/>
          <w:lang w:eastAsia="es-ES"/>
        </w:rPr>
        <w:t xml:space="preserve"> </w:t>
      </w:r>
      <w:bookmarkEnd w:id="280"/>
      <w:r>
        <w:rPr>
          <w:rFonts w:ascii="Arial" w:hAnsi="Arial" w:cs="Arial"/>
          <w:lang w:eastAsia="es-ES"/>
        </w:rPr>
        <w:t>“………………………” presentado para la solicitud de las ayudas correspondientes a la citada convocatoria en el marco del Plan de Recuperación, Transformación y Resiliencia (PRTR).</w:t>
      </w:r>
    </w:p>
    <w:p w:rsidR="00482668" w:rsidRDefault="00762B21">
      <w:pPr>
        <w:spacing w:before="360"/>
        <w:ind w:firstLine="0"/>
        <w:jc w:val="both"/>
      </w:pPr>
      <w:bookmarkStart w:id="281" w:name="_Hlk93501220"/>
      <w:r>
        <w:rPr>
          <w:rFonts w:ascii="Arial" w:hAnsi="Arial" w:cs="Arial"/>
          <w:lang w:eastAsia="es-ES"/>
        </w:rPr>
        <w:t xml:space="preserve">Que dicho </w:t>
      </w:r>
      <w:r>
        <w:rPr>
          <w:rFonts w:ascii="Arial" w:hAnsi="Arial" w:cs="Arial"/>
          <w:i/>
          <w:iCs/>
          <w:lang w:eastAsia="es-ES"/>
        </w:rPr>
        <w:t>proyecto, memoria o libro del edificio</w:t>
      </w:r>
      <w:r>
        <w:rPr>
          <w:rFonts w:ascii="Arial" w:hAnsi="Arial" w:cs="Arial"/>
          <w:lang w:eastAsia="es-ES"/>
        </w:rPr>
        <w:t xml:space="preserve"> presentado para la solicitud de las ayudas y las actuaciones que de él se derivan dentro del referido programa cumplen con </w:t>
      </w:r>
      <w:bookmarkEnd w:id="281"/>
      <w:r>
        <w:rPr>
          <w:rFonts w:ascii="Arial" w:hAnsi="Arial" w:cs="Arial"/>
          <w:lang w:eastAsia="es-ES"/>
        </w:rPr>
        <w:t>lo siguiente:</w:t>
      </w:r>
    </w:p>
    <w:p w:rsidR="00482668" w:rsidRDefault="00762B21">
      <w:pPr>
        <w:spacing w:before="100" w:after="100"/>
        <w:ind w:firstLine="0"/>
        <w:jc w:val="both"/>
      </w:pPr>
      <w:r>
        <w:rPr>
          <w:rFonts w:ascii="Arial" w:hAnsi="Arial" w:cs="Arial"/>
          <w:lang w:eastAsia="es-ES"/>
        </w:rPr>
        <w:t xml:space="preserve">Las actividades que se desarrollan en el mismo no ocasionan un perjuicio significativo a los siguientes objetivos medioambientales, según el artículo 17 del </w:t>
      </w:r>
      <w:hyperlink r:id="rId12">
        <w:r>
          <w:rPr>
            <w:rFonts w:ascii="Arial" w:hAnsi="Arial" w:cs="Arial"/>
            <w:lang w:eastAsia="es-ES"/>
          </w:rPr>
          <w:t>Reglamento (UE) 2020/852 relativo al establecimiento de un marco para facilitar las inversiones sostenibles</w:t>
        </w:r>
      </w:hyperlink>
      <w:r>
        <w:rPr>
          <w:rFonts w:ascii="Arial" w:hAnsi="Arial" w:cs="Arial"/>
          <w:lang w:eastAsia="es-ES"/>
        </w:rPr>
        <w:t xml:space="preserve"> mediante la implantación de un sistema de clasificación (o «taxonomía») de las actividades económicas medioambientalmente sostenibles: </w:t>
      </w:r>
    </w:p>
    <w:p w:rsidR="00482668" w:rsidRDefault="00762B21">
      <w:pPr>
        <w:numPr>
          <w:ilvl w:val="0"/>
          <w:numId w:val="19"/>
        </w:numPr>
        <w:tabs>
          <w:tab w:val="left" w:pos="1134"/>
        </w:tabs>
        <w:spacing w:before="100" w:after="100" w:line="259" w:lineRule="auto"/>
        <w:contextualSpacing/>
        <w:jc w:val="both"/>
        <w:rPr>
          <w:rFonts w:ascii="Arial" w:hAnsi="Arial" w:cs="Arial"/>
          <w:lang w:eastAsia="es-ES"/>
        </w:rPr>
      </w:pPr>
      <w:r>
        <w:rPr>
          <w:rFonts w:ascii="Arial" w:hAnsi="Arial" w:cs="Arial"/>
          <w:lang w:eastAsia="es-ES"/>
        </w:rPr>
        <w:t>Mitigación del cambio climático.</w:t>
      </w:r>
    </w:p>
    <w:p w:rsidR="00482668" w:rsidRDefault="00762B21">
      <w:pPr>
        <w:numPr>
          <w:ilvl w:val="0"/>
          <w:numId w:val="19"/>
        </w:numPr>
        <w:tabs>
          <w:tab w:val="left" w:pos="1134"/>
        </w:tabs>
        <w:spacing w:before="100" w:after="100" w:line="259" w:lineRule="auto"/>
        <w:contextualSpacing/>
        <w:jc w:val="both"/>
        <w:rPr>
          <w:rFonts w:ascii="Arial" w:hAnsi="Arial" w:cs="Arial"/>
          <w:lang w:eastAsia="es-ES"/>
        </w:rPr>
      </w:pPr>
      <w:r>
        <w:rPr>
          <w:rFonts w:ascii="Arial" w:hAnsi="Arial" w:cs="Arial"/>
          <w:lang w:eastAsia="es-ES"/>
        </w:rPr>
        <w:t>Adaptación al cambio climático.</w:t>
      </w:r>
    </w:p>
    <w:p w:rsidR="00482668" w:rsidRDefault="00762B21">
      <w:pPr>
        <w:numPr>
          <w:ilvl w:val="0"/>
          <w:numId w:val="19"/>
        </w:numPr>
        <w:tabs>
          <w:tab w:val="left" w:pos="1134"/>
        </w:tabs>
        <w:spacing w:before="100" w:after="100" w:line="259" w:lineRule="auto"/>
        <w:contextualSpacing/>
        <w:jc w:val="both"/>
        <w:rPr>
          <w:rFonts w:ascii="Arial" w:hAnsi="Arial" w:cs="Arial"/>
          <w:lang w:eastAsia="es-ES"/>
        </w:rPr>
      </w:pPr>
      <w:r>
        <w:rPr>
          <w:rFonts w:ascii="Arial" w:hAnsi="Arial" w:cs="Arial"/>
          <w:lang w:eastAsia="es-ES"/>
        </w:rPr>
        <w:t>Uso sostenible y protección de los recursos hídricos y marinos.</w:t>
      </w:r>
    </w:p>
    <w:p w:rsidR="00482668" w:rsidRDefault="00762B21">
      <w:pPr>
        <w:numPr>
          <w:ilvl w:val="0"/>
          <w:numId w:val="19"/>
        </w:numPr>
        <w:tabs>
          <w:tab w:val="left" w:pos="1134"/>
        </w:tabs>
        <w:spacing w:before="100" w:after="100" w:line="259" w:lineRule="auto"/>
        <w:contextualSpacing/>
        <w:jc w:val="both"/>
        <w:rPr>
          <w:rFonts w:ascii="Arial" w:hAnsi="Arial" w:cs="Arial"/>
          <w:lang w:eastAsia="es-ES"/>
        </w:rPr>
      </w:pPr>
      <w:r>
        <w:rPr>
          <w:rFonts w:ascii="Arial" w:hAnsi="Arial" w:cs="Arial"/>
          <w:lang w:eastAsia="es-ES"/>
        </w:rPr>
        <w:t>Economía circular, incluidos la prevención y el reciclado de residuos.</w:t>
      </w:r>
    </w:p>
    <w:p w:rsidR="00482668" w:rsidRDefault="00762B21">
      <w:pPr>
        <w:numPr>
          <w:ilvl w:val="0"/>
          <w:numId w:val="19"/>
        </w:numPr>
        <w:tabs>
          <w:tab w:val="left" w:pos="1134"/>
        </w:tabs>
        <w:spacing w:before="100" w:after="100" w:line="259" w:lineRule="auto"/>
        <w:contextualSpacing/>
        <w:jc w:val="both"/>
        <w:rPr>
          <w:rFonts w:ascii="Arial" w:hAnsi="Arial" w:cs="Arial"/>
          <w:lang w:eastAsia="es-ES"/>
        </w:rPr>
      </w:pPr>
      <w:r>
        <w:rPr>
          <w:rFonts w:ascii="Arial" w:hAnsi="Arial" w:cs="Arial"/>
          <w:lang w:eastAsia="es-ES"/>
        </w:rPr>
        <w:t>Prevención y control de la contaminación a la atmósfera, el agua o el suelo.</w:t>
      </w:r>
    </w:p>
    <w:p w:rsidR="00482668" w:rsidRDefault="00762B21">
      <w:pPr>
        <w:numPr>
          <w:ilvl w:val="0"/>
          <w:numId w:val="19"/>
        </w:numPr>
        <w:tabs>
          <w:tab w:val="left" w:pos="1134"/>
        </w:tabs>
        <w:spacing w:before="100" w:after="100" w:line="259" w:lineRule="auto"/>
        <w:contextualSpacing/>
        <w:jc w:val="both"/>
        <w:rPr>
          <w:rFonts w:ascii="Arial" w:hAnsi="Arial" w:cs="Arial"/>
          <w:lang w:eastAsia="es-ES"/>
        </w:rPr>
      </w:pPr>
      <w:r>
        <w:rPr>
          <w:rFonts w:ascii="Arial" w:hAnsi="Arial" w:cs="Arial"/>
          <w:lang w:eastAsia="es-ES"/>
        </w:rPr>
        <w:t>Protección y restauración de la biodiversidad y los ecosistemas.</w:t>
      </w:r>
    </w:p>
    <w:p w:rsidR="00482668" w:rsidRDefault="00762B21">
      <w:pPr>
        <w:spacing w:before="100" w:after="100"/>
        <w:ind w:firstLine="0"/>
        <w:jc w:val="both"/>
      </w:pPr>
      <w:r>
        <w:rPr>
          <w:rFonts w:ascii="Arial" w:hAnsi="Arial" w:cs="Arial"/>
          <w:lang w:eastAsia="es-ES"/>
        </w:rPr>
        <w:t xml:space="preserve">Las actuaciones cumplen con los requisitos establecidos en el Real Decreto 853/2021 y se adecúan a las características y condiciones específicas fijadas en el </w:t>
      </w:r>
      <w:hyperlink r:id="rId13">
        <w:r>
          <w:rPr>
            <w:rFonts w:ascii="Arial" w:hAnsi="Arial" w:cs="Arial"/>
            <w:u w:val="single"/>
            <w:lang w:eastAsia="es-ES"/>
          </w:rPr>
          <w:t>componente 2</w:t>
        </w:r>
      </w:hyperlink>
      <w:r>
        <w:rPr>
          <w:rFonts w:ascii="Arial" w:hAnsi="Arial" w:cs="Arial"/>
          <w:lang w:eastAsia="es-ES"/>
        </w:rPr>
        <w:t xml:space="preserve">  y reflejadas en el Plan de Recuperación, Transformación y Resiliencia para cada uno de los objetivos medioambientales:</w:t>
      </w:r>
    </w:p>
    <w:tbl>
      <w:tblPr>
        <w:tblW w:w="9209" w:type="dxa"/>
        <w:jc w:val="center"/>
        <w:tblLayout w:type="fixed"/>
        <w:tblLook w:val="0000"/>
      </w:tblPr>
      <w:tblGrid>
        <w:gridCol w:w="2119"/>
        <w:gridCol w:w="7090"/>
      </w:tblGrid>
      <w:tr w:rsidR="00482668">
        <w:trPr>
          <w:tblHeader/>
          <w:jc w:val="center"/>
        </w:trPr>
        <w:tc>
          <w:tcPr>
            <w:tcW w:w="2119" w:type="dxa"/>
            <w:tcBorders>
              <w:top w:val="single" w:sz="6" w:space="0" w:color="0989B1"/>
              <w:left w:val="single" w:sz="4" w:space="0" w:color="0989B1"/>
              <w:bottom w:val="single" w:sz="6" w:space="0" w:color="0989B1"/>
              <w:right w:val="single" w:sz="6" w:space="0" w:color="0989B1"/>
            </w:tcBorders>
            <w:shd w:val="clear" w:color="auto" w:fill="0989B1"/>
          </w:tcPr>
          <w:p w:rsidR="00482668" w:rsidRDefault="00762B21">
            <w:pPr>
              <w:widowControl w:val="0"/>
              <w:tabs>
                <w:tab w:val="left" w:pos="1553"/>
              </w:tabs>
              <w:spacing w:before="60" w:after="60"/>
              <w:jc w:val="center"/>
              <w:rPr>
                <w:rFonts w:ascii="Arial" w:hAnsi="Arial" w:cs="Arial"/>
                <w:sz w:val="16"/>
                <w:szCs w:val="16"/>
                <w:lang w:eastAsia="es-ES"/>
              </w:rPr>
            </w:pPr>
            <w:r>
              <w:rPr>
                <w:rFonts w:ascii="Arial" w:hAnsi="Arial" w:cs="Arial"/>
                <w:sz w:val="16"/>
                <w:szCs w:val="16"/>
                <w:lang w:eastAsia="es-ES"/>
              </w:rPr>
              <w:t>Objetivo Medioambiental</w:t>
            </w:r>
          </w:p>
        </w:tc>
        <w:tc>
          <w:tcPr>
            <w:tcW w:w="7089" w:type="dxa"/>
            <w:tcBorders>
              <w:top w:val="single" w:sz="6" w:space="0" w:color="0989B1"/>
              <w:left w:val="single" w:sz="6" w:space="0" w:color="0989B1"/>
              <w:bottom w:val="single" w:sz="6" w:space="0" w:color="0989B1"/>
              <w:right w:val="single" w:sz="6" w:space="0" w:color="0989B1"/>
            </w:tcBorders>
            <w:shd w:val="clear" w:color="auto" w:fill="0989B1"/>
          </w:tcPr>
          <w:p w:rsidR="00482668" w:rsidRDefault="00762B21">
            <w:pPr>
              <w:widowControl w:val="0"/>
              <w:tabs>
                <w:tab w:val="left" w:pos="1553"/>
              </w:tabs>
              <w:spacing w:before="60" w:after="60"/>
              <w:jc w:val="center"/>
              <w:rPr>
                <w:rFonts w:ascii="Arial" w:hAnsi="Arial" w:cs="Arial"/>
                <w:sz w:val="16"/>
                <w:szCs w:val="16"/>
                <w:lang w:eastAsia="es-ES"/>
              </w:rPr>
            </w:pPr>
            <w:r>
              <w:rPr>
                <w:rFonts w:ascii="Arial" w:hAnsi="Arial" w:cs="Arial"/>
                <w:sz w:val="16"/>
                <w:szCs w:val="16"/>
                <w:lang w:eastAsia="es-ES"/>
              </w:rPr>
              <w:t>Condiciones específicas a cumplir por las actuaciones</w:t>
            </w:r>
          </w:p>
        </w:tc>
      </w:tr>
      <w:tr w:rsidR="00482668">
        <w:trPr>
          <w:trHeight w:val="457"/>
          <w:jc w:val="center"/>
        </w:trPr>
        <w:tc>
          <w:tcPr>
            <w:tcW w:w="2119" w:type="dxa"/>
            <w:tcBorders>
              <w:top w:val="single" w:sz="6" w:space="0" w:color="0989B1"/>
              <w:left w:val="single" w:sz="4" w:space="0" w:color="0989B1"/>
              <w:bottom w:val="single" w:sz="6" w:space="0" w:color="0989B1"/>
              <w:right w:val="single" w:sz="6" w:space="0" w:color="0989B1"/>
            </w:tcBorders>
          </w:tcPr>
          <w:p w:rsidR="00482668" w:rsidRDefault="00762B21">
            <w:pPr>
              <w:widowControl w:val="0"/>
              <w:tabs>
                <w:tab w:val="left" w:pos="1553"/>
              </w:tabs>
              <w:spacing w:before="60" w:after="60"/>
              <w:rPr>
                <w:rFonts w:ascii="Arial" w:hAnsi="Arial" w:cs="Arial"/>
                <w:sz w:val="16"/>
                <w:szCs w:val="16"/>
                <w:lang w:eastAsia="es-ES"/>
              </w:rPr>
            </w:pPr>
            <w:r>
              <w:rPr>
                <w:rFonts w:ascii="Arial" w:hAnsi="Arial" w:cs="Arial"/>
                <w:sz w:val="16"/>
                <w:szCs w:val="16"/>
                <w:lang w:eastAsia="es-ES"/>
              </w:rPr>
              <w:t>1. Mitigación del cambio climático</w:t>
            </w:r>
          </w:p>
        </w:tc>
        <w:tc>
          <w:tcPr>
            <w:tcW w:w="7089" w:type="dxa"/>
            <w:tcBorders>
              <w:top w:val="single" w:sz="6" w:space="0" w:color="0989B1"/>
              <w:left w:val="single" w:sz="6" w:space="0" w:color="0989B1"/>
              <w:bottom w:val="single" w:sz="6" w:space="0" w:color="0989B1"/>
              <w:right w:val="single" w:sz="6" w:space="0" w:color="0989B1"/>
            </w:tcBorders>
          </w:tcPr>
          <w:p w:rsidR="00482668" w:rsidRDefault="00762B21">
            <w:pPr>
              <w:widowControl w:val="0"/>
              <w:tabs>
                <w:tab w:val="left" w:pos="1553"/>
              </w:tabs>
              <w:spacing w:before="60" w:after="60"/>
              <w:rPr>
                <w:rFonts w:ascii="Arial" w:hAnsi="Arial" w:cs="Arial"/>
                <w:sz w:val="16"/>
                <w:szCs w:val="16"/>
                <w:lang w:eastAsia="es-ES"/>
              </w:rPr>
            </w:pPr>
            <w:r>
              <w:rPr>
                <w:rFonts w:ascii="Arial" w:hAnsi="Arial" w:cs="Arial"/>
                <w:sz w:val="16"/>
                <w:szCs w:val="16"/>
                <w:lang w:eastAsia="es-ES"/>
              </w:rPr>
              <w:t xml:space="preserve">Se mejorará la </w:t>
            </w:r>
            <w:r>
              <w:rPr>
                <w:rFonts w:ascii="Arial" w:hAnsi="Arial" w:cs="Arial"/>
                <w:b/>
                <w:bCs/>
                <w:sz w:val="16"/>
                <w:szCs w:val="16"/>
                <w:lang w:eastAsia="es-ES"/>
              </w:rPr>
              <w:t>eficiencia energética</w:t>
            </w:r>
            <w:r>
              <w:rPr>
                <w:rFonts w:ascii="Arial" w:hAnsi="Arial" w:cs="Arial"/>
                <w:sz w:val="16"/>
                <w:szCs w:val="16"/>
                <w:lang w:eastAsia="es-ES"/>
              </w:rPr>
              <w:t xml:space="preserve"> conforme a lo establecido </w:t>
            </w:r>
            <w:r>
              <w:rPr>
                <w:rFonts w:ascii="Arial" w:hAnsi="Arial" w:cs="Arial"/>
                <w:b/>
                <w:bCs/>
                <w:sz w:val="16"/>
                <w:szCs w:val="16"/>
                <w:lang w:eastAsia="es-ES"/>
              </w:rPr>
              <w:t>Directiva 2010/31/EU</w:t>
            </w:r>
            <w:r>
              <w:rPr>
                <w:rFonts w:ascii="Arial" w:hAnsi="Arial" w:cs="Arial"/>
                <w:sz w:val="16"/>
                <w:szCs w:val="16"/>
                <w:lang w:eastAsia="es-ES"/>
              </w:rPr>
              <w:t>. Esto contribuirá a menores consumos y, por tanto, a unas menores emisiones GEI.*</w:t>
            </w:r>
          </w:p>
        </w:tc>
      </w:tr>
      <w:tr w:rsidR="00482668">
        <w:trPr>
          <w:trHeight w:val="410"/>
          <w:jc w:val="center"/>
        </w:trPr>
        <w:tc>
          <w:tcPr>
            <w:tcW w:w="2119" w:type="dxa"/>
            <w:tcBorders>
              <w:top w:val="single" w:sz="6" w:space="0" w:color="0989B1"/>
              <w:left w:val="single" w:sz="4" w:space="0" w:color="0989B1"/>
              <w:bottom w:val="single" w:sz="6" w:space="0" w:color="0989B1"/>
              <w:right w:val="single" w:sz="6" w:space="0" w:color="0989B1"/>
            </w:tcBorders>
          </w:tcPr>
          <w:p w:rsidR="00482668" w:rsidRDefault="00762B21">
            <w:pPr>
              <w:widowControl w:val="0"/>
              <w:tabs>
                <w:tab w:val="left" w:pos="1553"/>
              </w:tabs>
              <w:spacing w:before="60" w:after="60"/>
              <w:rPr>
                <w:rFonts w:ascii="Arial" w:hAnsi="Arial" w:cs="Arial"/>
                <w:sz w:val="16"/>
                <w:szCs w:val="16"/>
                <w:lang w:eastAsia="es-ES"/>
              </w:rPr>
            </w:pPr>
            <w:r>
              <w:rPr>
                <w:rFonts w:ascii="Arial" w:hAnsi="Arial" w:cs="Arial"/>
                <w:sz w:val="16"/>
                <w:szCs w:val="16"/>
                <w:lang w:eastAsia="es-ES"/>
              </w:rPr>
              <w:t>2. Adaptación al cambio climático</w:t>
            </w:r>
          </w:p>
        </w:tc>
        <w:tc>
          <w:tcPr>
            <w:tcW w:w="7089" w:type="dxa"/>
            <w:tcBorders>
              <w:top w:val="single" w:sz="6" w:space="0" w:color="0989B1"/>
              <w:left w:val="single" w:sz="6" w:space="0" w:color="0989B1"/>
              <w:bottom w:val="single" w:sz="6" w:space="0" w:color="0989B1"/>
              <w:right w:val="single" w:sz="6" w:space="0" w:color="0989B1"/>
            </w:tcBorders>
          </w:tcPr>
          <w:p w:rsidR="00482668" w:rsidRDefault="00762B21">
            <w:pPr>
              <w:widowControl w:val="0"/>
              <w:tabs>
                <w:tab w:val="left" w:pos="1553"/>
              </w:tabs>
              <w:spacing w:before="60" w:after="60"/>
              <w:rPr>
                <w:rFonts w:ascii="Arial" w:hAnsi="Arial" w:cs="Arial"/>
                <w:sz w:val="16"/>
                <w:szCs w:val="16"/>
                <w:lang w:eastAsia="es-ES"/>
              </w:rPr>
            </w:pPr>
            <w:r>
              <w:rPr>
                <w:rFonts w:ascii="Arial" w:hAnsi="Arial" w:cs="Arial"/>
                <w:sz w:val="16"/>
                <w:szCs w:val="16"/>
                <w:lang w:eastAsia="es-ES"/>
              </w:rPr>
              <w:t>No se definen condiciones específicas, las actuaciones suponen una mejora en este objetivo (mejora condiciones edificaciones y entorno).</w:t>
            </w:r>
          </w:p>
        </w:tc>
      </w:tr>
      <w:tr w:rsidR="00482668">
        <w:trPr>
          <w:trHeight w:val="408"/>
          <w:jc w:val="center"/>
        </w:trPr>
        <w:tc>
          <w:tcPr>
            <w:tcW w:w="2119" w:type="dxa"/>
            <w:tcBorders>
              <w:top w:val="single" w:sz="6" w:space="0" w:color="0989B1"/>
              <w:left w:val="single" w:sz="4" w:space="0" w:color="0989B1"/>
              <w:bottom w:val="single" w:sz="6" w:space="0" w:color="0989B1"/>
              <w:right w:val="single" w:sz="6" w:space="0" w:color="0989B1"/>
            </w:tcBorders>
          </w:tcPr>
          <w:p w:rsidR="00482668" w:rsidRDefault="00762B21">
            <w:pPr>
              <w:widowControl w:val="0"/>
              <w:tabs>
                <w:tab w:val="left" w:pos="1553"/>
              </w:tabs>
              <w:spacing w:before="60" w:after="60"/>
              <w:rPr>
                <w:rFonts w:ascii="Arial" w:hAnsi="Arial" w:cs="Arial"/>
                <w:sz w:val="16"/>
                <w:szCs w:val="16"/>
                <w:lang w:eastAsia="es-ES"/>
              </w:rPr>
            </w:pPr>
            <w:r>
              <w:rPr>
                <w:rFonts w:ascii="Arial" w:hAnsi="Arial" w:cs="Arial"/>
                <w:sz w:val="16"/>
                <w:szCs w:val="16"/>
                <w:lang w:eastAsia="es-ES"/>
              </w:rPr>
              <w:t>3. Recursos hídricos y marinos</w:t>
            </w:r>
          </w:p>
        </w:tc>
        <w:tc>
          <w:tcPr>
            <w:tcW w:w="7089" w:type="dxa"/>
            <w:tcBorders>
              <w:top w:val="single" w:sz="6" w:space="0" w:color="0989B1"/>
              <w:left w:val="single" w:sz="6" w:space="0" w:color="0989B1"/>
              <w:bottom w:val="single" w:sz="6" w:space="0" w:color="0989B1"/>
              <w:right w:val="single" w:sz="6" w:space="0" w:color="0989B1"/>
            </w:tcBorders>
          </w:tcPr>
          <w:p w:rsidR="00482668" w:rsidRDefault="00762B21">
            <w:pPr>
              <w:widowControl w:val="0"/>
              <w:tabs>
                <w:tab w:val="left" w:pos="1553"/>
              </w:tabs>
              <w:spacing w:before="60" w:after="60"/>
              <w:rPr>
                <w:rFonts w:ascii="Arial" w:hAnsi="Arial" w:cs="Arial"/>
                <w:sz w:val="16"/>
                <w:szCs w:val="16"/>
                <w:lang w:eastAsia="es-ES"/>
              </w:rPr>
            </w:pPr>
            <w:r>
              <w:rPr>
                <w:rFonts w:ascii="Arial" w:hAnsi="Arial" w:cs="Arial"/>
                <w:sz w:val="16"/>
                <w:szCs w:val="16"/>
                <w:lang w:eastAsia="es-ES"/>
              </w:rPr>
              <w:t>No se definen condiciones específicas, dado que las actuaciones no deben generar efectos significativos sobre este objetivo.</w:t>
            </w:r>
          </w:p>
        </w:tc>
      </w:tr>
      <w:tr w:rsidR="00482668">
        <w:trPr>
          <w:jc w:val="center"/>
        </w:trPr>
        <w:tc>
          <w:tcPr>
            <w:tcW w:w="2119" w:type="dxa"/>
            <w:tcBorders>
              <w:top w:val="single" w:sz="6" w:space="0" w:color="0989B1"/>
              <w:left w:val="single" w:sz="4" w:space="0" w:color="0989B1"/>
              <w:bottom w:val="single" w:sz="6" w:space="0" w:color="0989B1"/>
              <w:right w:val="single" w:sz="6" w:space="0" w:color="0989B1"/>
            </w:tcBorders>
          </w:tcPr>
          <w:p w:rsidR="00482668" w:rsidRDefault="00762B21">
            <w:pPr>
              <w:widowControl w:val="0"/>
              <w:tabs>
                <w:tab w:val="left" w:pos="1553"/>
              </w:tabs>
              <w:spacing w:before="60" w:after="60"/>
              <w:rPr>
                <w:rFonts w:ascii="Arial" w:hAnsi="Arial" w:cs="Arial"/>
                <w:sz w:val="16"/>
                <w:szCs w:val="16"/>
                <w:lang w:eastAsia="es-ES"/>
              </w:rPr>
            </w:pPr>
            <w:r>
              <w:rPr>
                <w:rFonts w:ascii="Arial" w:hAnsi="Arial" w:cs="Arial"/>
                <w:sz w:val="16"/>
                <w:szCs w:val="16"/>
                <w:lang w:eastAsia="es-ES"/>
              </w:rPr>
              <w:t>4. Economía circular</w:t>
            </w:r>
          </w:p>
        </w:tc>
        <w:tc>
          <w:tcPr>
            <w:tcW w:w="7089" w:type="dxa"/>
            <w:tcBorders>
              <w:top w:val="single" w:sz="6" w:space="0" w:color="0989B1"/>
              <w:left w:val="single" w:sz="6" w:space="0" w:color="0989B1"/>
              <w:bottom w:val="single" w:sz="6" w:space="0" w:color="0989B1"/>
              <w:right w:val="single" w:sz="6" w:space="0" w:color="0989B1"/>
            </w:tcBorders>
          </w:tcPr>
          <w:p w:rsidR="00482668" w:rsidRDefault="00762B21">
            <w:pPr>
              <w:widowControl w:val="0"/>
              <w:tabs>
                <w:tab w:val="left" w:pos="1553"/>
              </w:tabs>
              <w:spacing w:before="60" w:after="60"/>
              <w:rPr>
                <w:rFonts w:ascii="Arial" w:hAnsi="Arial" w:cs="Arial"/>
                <w:sz w:val="16"/>
                <w:szCs w:val="16"/>
                <w:lang w:eastAsia="es-ES"/>
              </w:rPr>
            </w:pPr>
            <w:bookmarkStart w:id="282" w:name="_Hlk95841991"/>
            <w:r>
              <w:rPr>
                <w:rFonts w:ascii="Arial" w:hAnsi="Arial" w:cs="Arial"/>
                <w:b/>
                <w:bCs/>
                <w:sz w:val="16"/>
                <w:szCs w:val="16"/>
                <w:lang w:eastAsia="es-ES"/>
              </w:rPr>
              <w:t>Condiciones específicas a nivel proyecto:</w:t>
            </w:r>
            <w:r>
              <w:rPr>
                <w:rFonts w:ascii="Arial" w:hAnsi="Arial" w:cs="Arial"/>
                <w:sz w:val="16"/>
                <w:szCs w:val="16"/>
                <w:vertAlign w:val="superscript"/>
                <w:lang w:eastAsia="es-ES"/>
              </w:rPr>
              <w:t>*</w:t>
            </w:r>
          </w:p>
          <w:p w:rsidR="00482668" w:rsidRDefault="00762B21">
            <w:pPr>
              <w:widowControl w:val="0"/>
              <w:tabs>
                <w:tab w:val="left" w:pos="1553"/>
              </w:tabs>
              <w:spacing w:before="60" w:after="60"/>
              <w:rPr>
                <w:rFonts w:ascii="Arial" w:hAnsi="Arial" w:cs="Arial"/>
                <w:sz w:val="16"/>
                <w:szCs w:val="16"/>
                <w:lang w:eastAsia="es-ES"/>
              </w:rPr>
            </w:pPr>
            <w:r>
              <w:rPr>
                <w:rFonts w:ascii="Arial" w:hAnsi="Arial" w:cs="Arial"/>
                <w:sz w:val="16"/>
                <w:szCs w:val="16"/>
                <w:lang w:eastAsia="es-ES"/>
              </w:rPr>
              <w:t xml:space="preserve">i. Al menos el </w:t>
            </w:r>
            <w:r>
              <w:rPr>
                <w:rFonts w:ascii="Arial" w:hAnsi="Arial" w:cs="Arial"/>
                <w:b/>
                <w:bCs/>
                <w:sz w:val="16"/>
                <w:szCs w:val="16"/>
                <w:lang w:eastAsia="es-ES"/>
              </w:rPr>
              <w:t>70% (en peso) de los residuos de construcción y demolición</w:t>
            </w:r>
            <w:r>
              <w:rPr>
                <w:rFonts w:ascii="Arial" w:hAnsi="Arial" w:cs="Arial"/>
                <w:sz w:val="16"/>
                <w:szCs w:val="16"/>
                <w:lang w:eastAsia="es-ES"/>
              </w:rPr>
              <w:t xml:space="preserve"> no peligrosos (excluyendo el material natural mencionado en la categoría 17 05 04 en la Lista europea de residuos establecida por la Decisión 2000/532 /EC) generados </w:t>
            </w:r>
            <w:bookmarkEnd w:id="282"/>
            <w:r>
              <w:rPr>
                <w:rFonts w:ascii="Arial" w:hAnsi="Arial" w:cs="Arial"/>
                <w:sz w:val="16"/>
                <w:szCs w:val="16"/>
                <w:lang w:eastAsia="es-ES"/>
              </w:rPr>
              <w:t xml:space="preserve">en el sitio de construcción se preparará para su </w:t>
            </w:r>
            <w:r>
              <w:rPr>
                <w:rFonts w:ascii="Arial" w:hAnsi="Arial" w:cs="Arial"/>
                <w:b/>
                <w:bCs/>
                <w:sz w:val="16"/>
                <w:szCs w:val="16"/>
                <w:lang w:eastAsia="es-ES"/>
              </w:rPr>
              <w:t>reutilización, reciclaje y recuperación</w:t>
            </w:r>
            <w:r>
              <w:rPr>
                <w:rFonts w:ascii="Arial" w:hAnsi="Arial" w:cs="Arial"/>
                <w:sz w:val="16"/>
                <w:szCs w:val="16"/>
                <w:lang w:eastAsia="es-ES"/>
              </w:rPr>
              <w:t xml:space="preserve"> de otros materiales, incluidas las operaciones de relleno utilizando residuos para sustituir otros materiales, de acuerdo con la jerarquía de residuos y el Protocolo de gestión de residuos de construcción y demolición de la UE.</w:t>
            </w:r>
          </w:p>
          <w:p w:rsidR="00482668" w:rsidRDefault="00762B21">
            <w:pPr>
              <w:widowControl w:val="0"/>
              <w:tabs>
                <w:tab w:val="left" w:pos="1553"/>
              </w:tabs>
              <w:spacing w:before="60" w:after="60"/>
              <w:rPr>
                <w:rFonts w:ascii="Arial" w:hAnsi="Arial" w:cs="Arial"/>
                <w:sz w:val="16"/>
                <w:szCs w:val="16"/>
                <w:lang w:eastAsia="es-ES"/>
              </w:rPr>
            </w:pPr>
            <w:r>
              <w:rPr>
                <w:rFonts w:ascii="Arial" w:hAnsi="Arial" w:cs="Arial"/>
                <w:sz w:val="16"/>
                <w:szCs w:val="16"/>
                <w:lang w:eastAsia="es-ES"/>
              </w:rPr>
              <w:t xml:space="preserve">ii. Los operadores </w:t>
            </w:r>
            <w:r>
              <w:rPr>
                <w:rFonts w:ascii="Arial" w:hAnsi="Arial" w:cs="Arial"/>
                <w:b/>
                <w:bCs/>
                <w:sz w:val="16"/>
                <w:szCs w:val="16"/>
                <w:lang w:eastAsia="es-ES"/>
              </w:rPr>
              <w:t>deberán limitar la generación de residuos en los procesos relacionados con la construcción y demolición</w:t>
            </w:r>
            <w:r>
              <w:rPr>
                <w:rFonts w:ascii="Arial" w:hAnsi="Arial" w:cs="Arial"/>
                <w:sz w:val="16"/>
                <w:szCs w:val="16"/>
                <w:lang w:eastAsia="es-ES"/>
              </w:rPr>
              <w:t xml:space="preserve">, de conformidad con el Protocolo de gestión </w:t>
            </w:r>
            <w:r>
              <w:rPr>
                <w:rFonts w:ascii="Arial" w:hAnsi="Arial" w:cs="Arial"/>
                <w:sz w:val="16"/>
                <w:szCs w:val="16"/>
                <w:lang w:eastAsia="es-ES"/>
              </w:rPr>
              <w:lastRenderedPageBreak/>
              <w:t>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rsidR="00482668" w:rsidRDefault="00762B21">
            <w:pPr>
              <w:widowControl w:val="0"/>
              <w:tabs>
                <w:tab w:val="left" w:pos="1553"/>
              </w:tabs>
              <w:spacing w:before="60" w:after="60"/>
              <w:rPr>
                <w:rFonts w:ascii="Arial" w:hAnsi="Arial" w:cs="Arial"/>
                <w:sz w:val="16"/>
                <w:szCs w:val="16"/>
                <w:lang w:eastAsia="es-ES"/>
              </w:rPr>
            </w:pPr>
            <w:r>
              <w:rPr>
                <w:rFonts w:ascii="Arial" w:hAnsi="Arial" w:cs="Arial"/>
                <w:sz w:val="16"/>
                <w:szCs w:val="16"/>
                <w:lang w:eastAsia="es-ES"/>
              </w:rPr>
              <w:t xml:space="preserve">iii. Los diseños de los edificios y las técnicas de construcción apoyarán la circularidad y, en particular, demostrarán, con referencia a la </w:t>
            </w:r>
            <w:r>
              <w:rPr>
                <w:rFonts w:ascii="Arial" w:hAnsi="Arial" w:cs="Arial"/>
                <w:b/>
                <w:bCs/>
                <w:sz w:val="16"/>
                <w:szCs w:val="16"/>
                <w:lang w:eastAsia="es-ES"/>
              </w:rPr>
              <w:t>ISO 20887 u otras normas para evaluar la capacidad de desmontaje o adaptabilidad de los edificios</w:t>
            </w:r>
            <w:r>
              <w:rPr>
                <w:rFonts w:ascii="Arial" w:hAnsi="Arial" w:cs="Arial"/>
                <w:sz w:val="16"/>
                <w:szCs w:val="16"/>
                <w:lang w:eastAsia="es-ES"/>
              </w:rPr>
              <w:t>, cómo están diseñados para ser más eficientes en el uso de recursos, adaptables, flexibles y desmontables para permitir la reutilización y reciclaje.”</w:t>
            </w:r>
          </w:p>
        </w:tc>
      </w:tr>
      <w:tr w:rsidR="00482668">
        <w:trPr>
          <w:trHeight w:val="1224"/>
          <w:jc w:val="center"/>
        </w:trPr>
        <w:tc>
          <w:tcPr>
            <w:tcW w:w="2119" w:type="dxa"/>
            <w:tcBorders>
              <w:top w:val="single" w:sz="6" w:space="0" w:color="0989B1"/>
              <w:left w:val="single" w:sz="4" w:space="0" w:color="0989B1"/>
              <w:bottom w:val="single" w:sz="6" w:space="0" w:color="0989B1"/>
              <w:right w:val="single" w:sz="6" w:space="0" w:color="0989B1"/>
            </w:tcBorders>
          </w:tcPr>
          <w:p w:rsidR="00482668" w:rsidRDefault="00762B21">
            <w:pPr>
              <w:widowControl w:val="0"/>
              <w:tabs>
                <w:tab w:val="left" w:pos="1553"/>
              </w:tabs>
              <w:spacing w:before="60" w:after="60"/>
              <w:rPr>
                <w:rFonts w:ascii="Arial" w:hAnsi="Arial" w:cs="Arial"/>
                <w:sz w:val="16"/>
                <w:szCs w:val="16"/>
                <w:lang w:eastAsia="es-ES"/>
              </w:rPr>
            </w:pPr>
            <w:r>
              <w:rPr>
                <w:rFonts w:ascii="Arial" w:hAnsi="Arial" w:cs="Arial"/>
                <w:sz w:val="16"/>
                <w:szCs w:val="16"/>
                <w:lang w:eastAsia="es-ES"/>
              </w:rPr>
              <w:lastRenderedPageBreak/>
              <w:t>5. Contaminación</w:t>
            </w:r>
          </w:p>
        </w:tc>
        <w:tc>
          <w:tcPr>
            <w:tcW w:w="7089" w:type="dxa"/>
            <w:tcBorders>
              <w:top w:val="single" w:sz="6" w:space="0" w:color="0989B1"/>
              <w:left w:val="single" w:sz="6" w:space="0" w:color="0989B1"/>
              <w:bottom w:val="single" w:sz="6" w:space="0" w:color="0989B1"/>
              <w:right w:val="single" w:sz="6" w:space="0" w:color="0989B1"/>
            </w:tcBorders>
          </w:tcPr>
          <w:p w:rsidR="00482668" w:rsidRDefault="00762B21">
            <w:pPr>
              <w:widowControl w:val="0"/>
              <w:tabs>
                <w:tab w:val="left" w:pos="1553"/>
              </w:tabs>
              <w:spacing w:before="60" w:after="60"/>
              <w:rPr>
                <w:rFonts w:ascii="Arial" w:hAnsi="Arial" w:cs="Arial"/>
                <w:sz w:val="16"/>
                <w:szCs w:val="16"/>
                <w:lang w:eastAsia="es-ES"/>
              </w:rPr>
            </w:pPr>
            <w:r>
              <w:rPr>
                <w:rFonts w:ascii="Arial" w:hAnsi="Arial" w:cs="Arial"/>
                <w:sz w:val="16"/>
                <w:szCs w:val="16"/>
                <w:lang w:eastAsia="es-ES"/>
              </w:rPr>
              <w:t>No se esperan efectos significativos.</w:t>
            </w:r>
          </w:p>
          <w:p w:rsidR="00482668" w:rsidRDefault="00762B21">
            <w:pPr>
              <w:widowControl w:val="0"/>
              <w:tabs>
                <w:tab w:val="left" w:pos="1553"/>
              </w:tabs>
              <w:spacing w:before="60" w:after="60"/>
              <w:rPr>
                <w:rFonts w:ascii="Arial" w:hAnsi="Arial" w:cs="Arial"/>
                <w:sz w:val="16"/>
                <w:szCs w:val="16"/>
                <w:lang w:eastAsia="es-ES"/>
              </w:rPr>
            </w:pPr>
            <w:r>
              <w:rPr>
                <w:rFonts w:ascii="Arial" w:hAnsi="Arial" w:cs="Arial"/>
                <w:sz w:val="16"/>
                <w:szCs w:val="16"/>
                <w:lang w:eastAsia="es-ES"/>
              </w:rPr>
              <w:t>Los componentes y materiales de construcción utilizados en el desarrollo de las actuaciones previstas en esta medida</w:t>
            </w:r>
            <w:r>
              <w:rPr>
                <w:rFonts w:ascii="Arial" w:hAnsi="Arial" w:cs="Arial"/>
                <w:b/>
                <w:bCs/>
                <w:sz w:val="16"/>
                <w:szCs w:val="16"/>
                <w:lang w:eastAsia="es-ES"/>
              </w:rPr>
              <w:t xml:space="preserve"> no contendrán amianto ni sustancias muy preocupantes </w:t>
            </w:r>
            <w:r>
              <w:rPr>
                <w:rFonts w:ascii="Arial" w:hAnsi="Arial" w:cs="Arial"/>
                <w:sz w:val="16"/>
                <w:szCs w:val="16"/>
                <w:lang w:eastAsia="es-ES"/>
              </w:rPr>
              <w:t>identificadas a partir de la lista de sustancias sujetas a autorización que figura en el</w:t>
            </w:r>
            <w:r>
              <w:rPr>
                <w:rFonts w:ascii="Arial" w:hAnsi="Arial" w:cs="Arial"/>
                <w:b/>
                <w:bCs/>
                <w:sz w:val="16"/>
                <w:szCs w:val="16"/>
                <w:lang w:eastAsia="es-ES"/>
              </w:rPr>
              <w:t xml:space="preserve"> anexo XIV del Reglamento (CE) 1907/2006. *</w:t>
            </w:r>
          </w:p>
        </w:tc>
      </w:tr>
      <w:tr w:rsidR="00482668">
        <w:trPr>
          <w:trHeight w:val="366"/>
          <w:jc w:val="center"/>
        </w:trPr>
        <w:tc>
          <w:tcPr>
            <w:tcW w:w="2119" w:type="dxa"/>
            <w:tcBorders>
              <w:top w:val="single" w:sz="6" w:space="0" w:color="0989B1"/>
              <w:left w:val="single" w:sz="4" w:space="0" w:color="0989B1"/>
              <w:bottom w:val="single" w:sz="6" w:space="0" w:color="0989B1"/>
              <w:right w:val="single" w:sz="6" w:space="0" w:color="0989B1"/>
            </w:tcBorders>
          </w:tcPr>
          <w:p w:rsidR="00482668" w:rsidRDefault="00762B21">
            <w:pPr>
              <w:widowControl w:val="0"/>
              <w:tabs>
                <w:tab w:val="left" w:pos="1553"/>
              </w:tabs>
              <w:spacing w:before="60" w:after="60"/>
              <w:rPr>
                <w:rFonts w:ascii="Arial" w:hAnsi="Arial" w:cs="Arial"/>
                <w:sz w:val="16"/>
                <w:szCs w:val="16"/>
                <w:lang w:eastAsia="es-ES"/>
              </w:rPr>
            </w:pPr>
            <w:r>
              <w:rPr>
                <w:rFonts w:ascii="Arial" w:hAnsi="Arial" w:cs="Arial"/>
                <w:sz w:val="16"/>
                <w:szCs w:val="16"/>
                <w:lang w:eastAsia="es-ES"/>
              </w:rPr>
              <w:t>6. Biodiversidad y los ecosistemas</w:t>
            </w:r>
          </w:p>
        </w:tc>
        <w:tc>
          <w:tcPr>
            <w:tcW w:w="7089" w:type="dxa"/>
            <w:tcBorders>
              <w:top w:val="single" w:sz="6" w:space="0" w:color="0989B1"/>
              <w:left w:val="single" w:sz="6" w:space="0" w:color="0989B1"/>
              <w:bottom w:val="single" w:sz="6" w:space="0" w:color="0989B1"/>
              <w:right w:val="single" w:sz="6" w:space="0" w:color="0989B1"/>
            </w:tcBorders>
          </w:tcPr>
          <w:p w:rsidR="00482668" w:rsidRDefault="00762B21">
            <w:pPr>
              <w:widowControl w:val="0"/>
              <w:tabs>
                <w:tab w:val="left" w:pos="1553"/>
              </w:tabs>
              <w:spacing w:before="60" w:after="60"/>
              <w:rPr>
                <w:rFonts w:ascii="Arial" w:hAnsi="Arial" w:cs="Arial"/>
                <w:sz w:val="16"/>
                <w:szCs w:val="16"/>
                <w:lang w:eastAsia="es-ES"/>
              </w:rPr>
            </w:pPr>
            <w:r>
              <w:rPr>
                <w:rFonts w:ascii="Arial" w:hAnsi="Arial" w:cs="Arial"/>
                <w:sz w:val="16"/>
                <w:szCs w:val="16"/>
                <w:lang w:eastAsia="es-ES"/>
              </w:rPr>
              <w:t>No hay definidas condiciones específicas, ya que las actuaciones no deben suponer impactos directos o indirectos negativos en la biodiversidad o ecosistemas.</w:t>
            </w:r>
          </w:p>
        </w:tc>
      </w:tr>
      <w:tr w:rsidR="00482668">
        <w:trPr>
          <w:trHeight w:val="467"/>
          <w:jc w:val="center"/>
        </w:trPr>
        <w:tc>
          <w:tcPr>
            <w:tcW w:w="9208" w:type="dxa"/>
            <w:gridSpan w:val="2"/>
            <w:tcBorders>
              <w:top w:val="single" w:sz="6" w:space="0" w:color="0989B1"/>
              <w:left w:val="single" w:sz="6" w:space="0" w:color="FFFFFF"/>
              <w:bottom w:val="single" w:sz="6" w:space="0" w:color="FFFFFF"/>
              <w:right w:val="single" w:sz="6" w:space="0" w:color="FFFFFF"/>
            </w:tcBorders>
          </w:tcPr>
          <w:p w:rsidR="00482668" w:rsidRDefault="00762B21">
            <w:pPr>
              <w:widowControl w:val="0"/>
              <w:spacing w:before="60" w:after="60"/>
              <w:ind w:left="2124"/>
              <w:rPr>
                <w:rFonts w:ascii="Arial" w:eastAsia="Times New Roman" w:hAnsi="Arial" w:cs="Arial"/>
                <w:sz w:val="16"/>
                <w:szCs w:val="16"/>
                <w:lang w:eastAsia="es-ES"/>
              </w:rPr>
            </w:pPr>
            <w:r>
              <w:rPr>
                <w:rFonts w:ascii="Arial" w:eastAsia="Times New Roman" w:hAnsi="Arial" w:cs="Arial"/>
                <w:sz w:val="16"/>
                <w:szCs w:val="16"/>
                <w:vertAlign w:val="superscript"/>
                <w:lang w:eastAsia="es-ES"/>
              </w:rPr>
              <w:t xml:space="preserve">(*) </w:t>
            </w:r>
            <w:r>
              <w:rPr>
                <w:rFonts w:ascii="Arial" w:eastAsia="Times New Roman" w:hAnsi="Arial" w:cs="Arial"/>
                <w:sz w:val="16"/>
                <w:szCs w:val="16"/>
                <w:lang w:eastAsia="es-ES"/>
              </w:rPr>
              <w:t>Requisitos del programa establecidos en el Real Decreto 853/2021.</w:t>
            </w:r>
          </w:p>
        </w:tc>
      </w:tr>
    </w:tbl>
    <w:p w:rsidR="00482668" w:rsidRDefault="00762B21">
      <w:pPr>
        <w:spacing w:before="100" w:after="100"/>
        <w:ind w:hanging="11"/>
        <w:jc w:val="both"/>
        <w:rPr>
          <w:rFonts w:ascii="Arial" w:hAnsi="Arial" w:cs="Arial"/>
          <w:szCs w:val="20"/>
          <w:lang w:eastAsia="es-ES"/>
        </w:rPr>
      </w:pPr>
      <w:r>
        <w:rPr>
          <w:rFonts w:ascii="Arial" w:hAnsi="Arial" w:cs="Arial"/>
          <w:szCs w:val="20"/>
          <w:lang w:eastAsia="es-ES"/>
        </w:rPr>
        <w:t>Las actuaciones objeto de esta declaración responsable cumplirán la normativa vigente relacionada con los objetivos del principio DNSH que resulte de aplicación.</w:t>
      </w:r>
    </w:p>
    <w:p w:rsidR="00482668" w:rsidRDefault="00762B21">
      <w:pPr>
        <w:spacing w:before="100" w:after="100"/>
        <w:ind w:hanging="11"/>
        <w:jc w:val="both"/>
        <w:rPr>
          <w:rFonts w:ascii="Arial" w:hAnsi="Arial" w:cs="Arial"/>
          <w:szCs w:val="20"/>
          <w:lang w:eastAsia="es-ES"/>
        </w:rPr>
      </w:pPr>
      <w:r>
        <w:rPr>
          <w:rFonts w:ascii="Arial" w:hAnsi="Arial" w:cs="Arial"/>
          <w:szCs w:val="20"/>
          <w:lang w:eastAsia="es-ES"/>
        </w:rPr>
        <w:t>Las actuaciones descritas en el proyecto y en el estudio de gestión de residuos que lo acompaña cumplen con los criterios específicos establecidos para la evaluación sustantiva del objetivo de economía circular descritos en el apartado b), de acuerdo con lo siguiente:</w:t>
      </w:r>
    </w:p>
    <w:p w:rsidR="00482668" w:rsidRDefault="00762B21">
      <w:pPr>
        <w:spacing w:before="120" w:after="120"/>
        <w:ind w:hanging="11"/>
        <w:jc w:val="both"/>
        <w:rPr>
          <w:rFonts w:ascii="Arial" w:hAnsi="Arial" w:cs="Arial"/>
          <w:szCs w:val="20"/>
          <w:lang w:eastAsia="es-ES"/>
        </w:rPr>
      </w:pPr>
      <w:r>
        <w:rPr>
          <w:rFonts w:ascii="Arial" w:hAnsi="Arial" w:cs="Arial"/>
          <w:szCs w:val="20"/>
          <w:lang w:eastAsia="es-ES"/>
        </w:rPr>
        <w:t>La rehabilitación edificatoria propuesta parte de los condicionantes impuestos por la edificación existente. En consecuencia, se han considerado los criterios de construcción circular en la medida que las intervenciones concretas lo permiten.</w:t>
      </w:r>
    </w:p>
    <w:p w:rsidR="00482668" w:rsidRDefault="00762B21">
      <w:pPr>
        <w:spacing w:before="120" w:after="120"/>
        <w:ind w:hanging="11"/>
        <w:jc w:val="both"/>
      </w:pPr>
      <w:r>
        <w:rPr>
          <w:rFonts w:ascii="Arial" w:hAnsi="Arial" w:cs="Arial"/>
          <w:szCs w:val="20"/>
          <w:lang w:eastAsia="es-ES"/>
        </w:rPr>
        <w:t xml:space="preserve">Las técnicas de construcción consideradas </w:t>
      </w:r>
      <w:r>
        <w:rPr>
          <w:rFonts w:ascii="Arial" w:hAnsi="Arial" w:cs="Arial"/>
          <w:lang w:eastAsia="es-ES"/>
        </w:rPr>
        <w:t xml:space="preserve">apoyan la circularidad: </w:t>
      </w:r>
      <w:r>
        <w:rPr>
          <w:rFonts w:ascii="Arial" w:hAnsi="Arial" w:cs="Arial"/>
          <w:szCs w:val="20"/>
          <w:lang w:eastAsia="es-ES"/>
        </w:rPr>
        <w:t>se han adoptado las acciones necesarias para preparar para su reutilización, reciclaje y recuperación de al menos el 70% de los residuos de construcción y demolición (RCD) resultantes de las actuaciones propuestas.</w:t>
      </w:r>
    </w:p>
    <w:p w:rsidR="00482668" w:rsidRDefault="00762B21">
      <w:pPr>
        <w:ind w:hanging="11"/>
        <w:jc w:val="both"/>
        <w:rPr>
          <w:rFonts w:ascii="Arial" w:hAnsi="Arial" w:cs="Arial"/>
          <w:lang w:eastAsia="es-ES"/>
        </w:rPr>
      </w:pPr>
      <w:r>
        <w:rPr>
          <w:rFonts w:ascii="Arial" w:hAnsi="Arial" w:cs="Arial"/>
          <w:lang w:eastAsia="es-ES"/>
        </w:rPr>
        <w:t>El incumplimiento de alguno de los requisitos establecidos en la presente declaración dará lugar a la obligación de devolver las cantidades percibidas y los intereses de demora correspondientes.</w:t>
      </w:r>
    </w:p>
    <w:p w:rsidR="00482668" w:rsidRDefault="00482668">
      <w:pPr>
        <w:ind w:hanging="11"/>
        <w:jc w:val="both"/>
        <w:rPr>
          <w:rFonts w:ascii="Arial" w:hAnsi="Arial" w:cs="Arial"/>
          <w:lang w:eastAsia="es-ES"/>
        </w:rPr>
      </w:pPr>
    </w:p>
    <w:p w:rsidR="00482668" w:rsidRDefault="00762B21">
      <w:pPr>
        <w:ind w:hanging="11"/>
        <w:jc w:val="both"/>
        <w:rPr>
          <w:rFonts w:ascii="Arial" w:hAnsi="Arial" w:cs="Arial"/>
          <w:lang w:eastAsia="es-ES"/>
        </w:rPr>
      </w:pPr>
      <w:r>
        <w:rPr>
          <w:rFonts w:ascii="Arial" w:hAnsi="Arial" w:cs="Arial"/>
          <w:lang w:eastAsia="es-ES"/>
        </w:rPr>
        <w:t>Y para que así conste, firmo la presente en …………………….... a fecha de firma digital.</w:t>
      </w:r>
    </w:p>
    <w:p w:rsidR="00482668" w:rsidRDefault="00482668">
      <w:pPr>
        <w:ind w:hanging="11"/>
        <w:jc w:val="both"/>
        <w:rPr>
          <w:rFonts w:ascii="Arial" w:hAnsi="Arial" w:cs="Arial"/>
          <w:lang w:eastAsia="es-ES"/>
        </w:rPr>
      </w:pPr>
      <w:bookmarkStart w:id="283" w:name="_Hlk89170142"/>
      <w:bookmarkEnd w:id="283"/>
    </w:p>
    <w:p w:rsidR="00482668" w:rsidRDefault="00762B21">
      <w:pPr>
        <w:ind w:hanging="11"/>
        <w:jc w:val="both"/>
        <w:rPr>
          <w:rFonts w:ascii="Arial" w:hAnsi="Arial" w:cs="Arial"/>
          <w:lang w:eastAsia="es-ES"/>
        </w:rPr>
      </w:pPr>
      <w:r>
        <w:rPr>
          <w:rFonts w:ascii="Arial" w:hAnsi="Arial" w:cs="Arial"/>
          <w:lang w:eastAsia="es-ES"/>
        </w:rPr>
        <w:t>Firmado por el técnico competente.</w:t>
      </w:r>
    </w:p>
    <w:p w:rsidR="00482668" w:rsidRDefault="00482668"/>
    <w:p w:rsidR="00482668" w:rsidRDefault="00482668"/>
    <w:p w:rsidR="00482668" w:rsidRDefault="00482668">
      <w:pPr>
        <w:tabs>
          <w:tab w:val="left" w:pos="709"/>
        </w:tabs>
        <w:ind w:left="709"/>
      </w:pPr>
    </w:p>
    <w:p w:rsidR="00482668" w:rsidRDefault="00762B21">
      <w:r>
        <w:br w:type="page"/>
      </w:r>
    </w:p>
    <w:p w:rsidR="00482668" w:rsidRDefault="00762B21" w:rsidP="006F472F">
      <w:pPr>
        <w:pStyle w:val="Heading1"/>
        <w:numPr>
          <w:ilvl w:val="0"/>
          <w:numId w:val="0"/>
        </w:numPr>
        <w:ind w:left="432" w:hanging="716"/>
        <w:rPr>
          <w:rFonts w:ascii="Arial" w:eastAsia="Times New Roman" w:hAnsi="Arial" w:cs="Arial"/>
          <w:color w:val="auto"/>
          <w:lang w:eastAsia="es-ES"/>
        </w:rPr>
      </w:pPr>
      <w:bookmarkStart w:id="284" w:name="_Ref108118870"/>
      <w:bookmarkStart w:id="285" w:name="_Ref108119054"/>
      <w:bookmarkStart w:id="286" w:name="_Toc108599946"/>
      <w:bookmarkStart w:id="287" w:name="_Toc108763805"/>
      <w:bookmarkStart w:id="288" w:name="_Toc115897549"/>
      <w:bookmarkStart w:id="289" w:name="_Ref108118203"/>
      <w:bookmarkStart w:id="290" w:name="_Toc121128571"/>
      <w:r>
        <w:rPr>
          <w:rFonts w:ascii="Arial" w:eastAsia="Times New Roman" w:hAnsi="Arial" w:cs="Arial"/>
          <w:color w:val="auto"/>
          <w:lang w:eastAsia="es-ES"/>
        </w:rPr>
        <w:lastRenderedPageBreak/>
        <w:t>ANEXO II</w:t>
      </w:r>
      <w:bookmarkEnd w:id="284"/>
      <w:bookmarkEnd w:id="285"/>
      <w:bookmarkEnd w:id="286"/>
      <w:bookmarkEnd w:id="287"/>
      <w:bookmarkEnd w:id="288"/>
      <w:bookmarkEnd w:id="289"/>
      <w:bookmarkEnd w:id="290"/>
    </w:p>
    <w:p w:rsidR="00482668" w:rsidRDefault="00762B21">
      <w:pPr>
        <w:spacing w:before="280" w:after="280"/>
        <w:ind w:firstLine="0"/>
        <w:jc w:val="center"/>
        <w:textAlignment w:val="baseline"/>
        <w:rPr>
          <w:rFonts w:ascii="Tahoma" w:eastAsia="Times New Roman" w:hAnsi="Tahoma"/>
          <w:b/>
          <w:bCs/>
          <w:sz w:val="24"/>
          <w:szCs w:val="24"/>
          <w:lang w:eastAsia="eu-ES"/>
        </w:rPr>
      </w:pPr>
      <w:r>
        <w:rPr>
          <w:rFonts w:ascii="Tahoma" w:eastAsia="Times New Roman" w:hAnsi="Tahoma"/>
          <w:b/>
          <w:bCs/>
          <w:sz w:val="24"/>
          <w:szCs w:val="24"/>
          <w:lang w:eastAsia="eu-ES"/>
        </w:rPr>
        <w:t>DECLARACIÓN DE AUSENCIA DE CONFLICTOS DE INTERÉS (DACI)</w:t>
      </w:r>
    </w:p>
    <w:p w:rsidR="00482668" w:rsidRDefault="00482668">
      <w:pPr>
        <w:spacing w:after="220"/>
        <w:ind w:firstLine="0"/>
        <w:jc w:val="both"/>
        <w:textAlignment w:val="baseline"/>
        <w:rPr>
          <w:rFonts w:ascii="Arial" w:eastAsia="Times New Roman" w:hAnsi="Arial" w:cs="Arial"/>
          <w:lang w:val="eu-ES" w:eastAsia="eu-ES"/>
        </w:rPr>
      </w:pPr>
    </w:p>
    <w:p w:rsidR="00482668" w:rsidRDefault="00762B21">
      <w:pPr>
        <w:spacing w:after="220"/>
        <w:ind w:firstLine="0"/>
        <w:jc w:val="both"/>
        <w:textAlignment w:val="baseline"/>
        <w:rPr>
          <w:rFonts w:ascii="Arial" w:eastAsia="Times New Roman" w:hAnsi="Arial" w:cs="Arial"/>
          <w:lang w:eastAsia="eu-ES"/>
        </w:rPr>
      </w:pPr>
      <w:r>
        <w:rPr>
          <w:rFonts w:ascii="Arial" w:eastAsia="Times New Roman" w:hAnsi="Arial" w:cs="Arial"/>
          <w:lang w:eastAsia="eu-ES"/>
        </w:rPr>
        <w:t>Denominación del contrato o convocatoria:</w:t>
      </w:r>
    </w:p>
    <w:p w:rsidR="00482668" w:rsidRDefault="00762B21">
      <w:pPr>
        <w:spacing w:after="220"/>
        <w:ind w:firstLine="0"/>
        <w:jc w:val="both"/>
        <w:textAlignment w:val="baseline"/>
        <w:rPr>
          <w:rFonts w:ascii="Arial" w:eastAsia="Times New Roman" w:hAnsi="Arial" w:cs="Arial"/>
          <w:lang w:eastAsia="eu-ES"/>
        </w:rPr>
      </w:pPr>
      <w:r>
        <w:rPr>
          <w:rFonts w:ascii="Arial" w:eastAsia="Times New Roman" w:hAnsi="Arial" w:cs="Arial"/>
          <w:lang w:eastAsia="eu-ES"/>
        </w:rPr>
        <w:t>……………………………………………………………………………………………………..</w:t>
      </w:r>
    </w:p>
    <w:p w:rsidR="00482668" w:rsidRDefault="00762B21">
      <w:pPr>
        <w:spacing w:after="220"/>
        <w:ind w:firstLine="0"/>
        <w:jc w:val="both"/>
        <w:textAlignment w:val="baseline"/>
      </w:pPr>
      <w:r>
        <w:rPr>
          <w:rFonts w:ascii="Arial" w:eastAsia="Times New Roman" w:hAnsi="Arial" w:cs="Arial"/>
          <w:b/>
          <w:bCs/>
          <w:lang w:eastAsia="eu-ES"/>
        </w:rPr>
        <w:t>Referencia del expediente</w:t>
      </w:r>
      <w:r>
        <w:rPr>
          <w:rFonts w:ascii="Arial" w:eastAsia="Times New Roman" w:hAnsi="Arial" w:cs="Arial"/>
          <w:lang w:eastAsia="eu-ES"/>
        </w:rPr>
        <w:t xml:space="preserve"> ………………………………………………………………</w:t>
      </w:r>
      <w:r>
        <w:rPr>
          <w:rFonts w:ascii="Arial" w:eastAsia="Times New Roman" w:hAnsi="Arial" w:cs="Arial"/>
          <w:lang w:val="eu-ES" w:eastAsia="eu-ES"/>
        </w:rPr>
        <w:t>……</w:t>
      </w:r>
    </w:p>
    <w:p w:rsidR="00482668" w:rsidRDefault="00762B21">
      <w:pPr>
        <w:spacing w:after="220"/>
        <w:ind w:firstLine="0"/>
        <w:jc w:val="both"/>
        <w:textAlignment w:val="baseline"/>
      </w:pPr>
      <w:r>
        <w:rPr>
          <w:rFonts w:ascii="Arial" w:eastAsia="Times New Roman" w:hAnsi="Arial" w:cs="Arial"/>
          <w:i/>
          <w:iCs/>
          <w:lang w:eastAsia="eu-ES"/>
        </w:rPr>
        <w:t xml:space="preserve">(Identidad del declarante) </w:t>
      </w:r>
      <w:r>
        <w:rPr>
          <w:rFonts w:ascii="Arial" w:eastAsia="Times New Roman" w:hAnsi="Arial" w:cs="Arial"/>
          <w:lang w:eastAsia="eu-ES"/>
        </w:rPr>
        <w:t xml:space="preserve">…………………….., que presto mis servicios en </w:t>
      </w:r>
      <w:r>
        <w:rPr>
          <w:rFonts w:ascii="Arial" w:eastAsia="Times New Roman" w:hAnsi="Arial" w:cs="Arial"/>
          <w:i/>
          <w:iCs/>
          <w:lang w:eastAsia="eu-ES"/>
        </w:rPr>
        <w:t xml:space="preserve">(Entidad convocante) </w:t>
      </w:r>
      <w:r>
        <w:rPr>
          <w:rFonts w:ascii="Arial" w:eastAsia="Times New Roman" w:hAnsi="Arial" w:cs="Arial"/>
          <w:lang w:eastAsia="eu-ES"/>
        </w:rPr>
        <w:t>…………….………., como ……………….….………….……………….…..….,</w:t>
      </w:r>
    </w:p>
    <w:p w:rsidR="00482668" w:rsidRDefault="00762B21">
      <w:pPr>
        <w:spacing w:after="220"/>
        <w:ind w:firstLine="0"/>
        <w:jc w:val="center"/>
        <w:textAlignment w:val="baseline"/>
        <w:rPr>
          <w:rFonts w:ascii="Arial" w:eastAsia="Times New Roman" w:hAnsi="Arial" w:cs="Arial"/>
          <w:b/>
          <w:lang w:eastAsia="eu-ES"/>
        </w:rPr>
      </w:pPr>
      <w:r>
        <w:rPr>
          <w:rFonts w:ascii="Arial" w:eastAsia="Times New Roman" w:hAnsi="Arial" w:cs="Arial"/>
          <w:b/>
          <w:lang w:eastAsia="eu-ES"/>
        </w:rPr>
        <w:t>DECLARO:</w:t>
      </w:r>
    </w:p>
    <w:p w:rsidR="00482668" w:rsidRDefault="00762B21">
      <w:pPr>
        <w:spacing w:after="220"/>
        <w:ind w:firstLine="0"/>
        <w:jc w:val="both"/>
        <w:textAlignment w:val="baseline"/>
        <w:rPr>
          <w:rFonts w:ascii="Arial" w:eastAsia="Times New Roman" w:hAnsi="Arial" w:cs="Arial"/>
          <w:lang w:eastAsia="eu-ES"/>
        </w:rPr>
      </w:pPr>
      <w:r>
        <w:rPr>
          <w:rFonts w:ascii="Arial" w:eastAsia="Times New Roman" w:hAnsi="Arial" w:cs="Arial"/>
          <w:lang w:eastAsia="eu-ES"/>
        </w:rPr>
        <w:t>Primero. Estar informado/a de lo siguiente:</w:t>
      </w:r>
    </w:p>
    <w:p w:rsidR="00482668" w:rsidRDefault="00762B21">
      <w:pPr>
        <w:numPr>
          <w:ilvl w:val="0"/>
          <w:numId w:val="20"/>
        </w:numPr>
        <w:tabs>
          <w:tab w:val="clear" w:pos="720"/>
        </w:tabs>
        <w:spacing w:after="220" w:line="259" w:lineRule="auto"/>
        <w:ind w:left="0" w:firstLine="0"/>
        <w:jc w:val="both"/>
        <w:textAlignment w:val="baseline"/>
        <w:rPr>
          <w:rFonts w:ascii="Arial" w:eastAsia="Times New Roman" w:hAnsi="Arial" w:cs="Arial"/>
          <w:lang w:eastAsia="eu-ES"/>
        </w:rPr>
      </w:pPr>
      <w:bookmarkStart w:id="291" w:name="_Ref108118234"/>
      <w:r>
        <w:rPr>
          <w:rFonts w:ascii="Arial" w:eastAsia="Times New Roman" w:hAnsi="Arial" w:cs="Arial"/>
          <w:lang w:eastAsia="eu-ES"/>
        </w:rPr>
        <w:t>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bookmarkEnd w:id="291"/>
    </w:p>
    <w:p w:rsidR="00482668" w:rsidRDefault="00762B21">
      <w:pPr>
        <w:numPr>
          <w:ilvl w:val="0"/>
          <w:numId w:val="20"/>
        </w:numPr>
        <w:tabs>
          <w:tab w:val="clear" w:pos="720"/>
        </w:tabs>
        <w:spacing w:after="220" w:line="259" w:lineRule="auto"/>
        <w:ind w:left="0" w:firstLine="0"/>
        <w:jc w:val="both"/>
        <w:textAlignment w:val="baseline"/>
      </w:pPr>
      <w:r>
        <w:rPr>
          <w:rFonts w:ascii="Arial" w:eastAsia="Times New Roman" w:hAnsi="Arial" w:cs="Arial"/>
          <w:lang w:eastAsia="eu-ES"/>
        </w:rPr>
        <w:t>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r>
        <w:rPr>
          <w:rFonts w:ascii="Arial" w:eastAsia="Times New Roman" w:hAnsi="Arial" w:cs="Arial"/>
          <w:lang w:val="eu-ES" w:eastAsia="eu-ES"/>
        </w:rPr>
        <w:t> </w:t>
      </w:r>
    </w:p>
    <w:p w:rsidR="00482668" w:rsidRDefault="00762B21">
      <w:pPr>
        <w:numPr>
          <w:ilvl w:val="0"/>
          <w:numId w:val="20"/>
        </w:numPr>
        <w:spacing w:after="220" w:line="259" w:lineRule="auto"/>
        <w:ind w:left="0" w:firstLine="0"/>
        <w:jc w:val="both"/>
        <w:textAlignment w:val="baseline"/>
        <w:rPr>
          <w:rFonts w:ascii="Arial" w:eastAsia="Times New Roman" w:hAnsi="Arial" w:cs="Arial"/>
          <w:lang w:eastAsia="eu-ES"/>
        </w:rPr>
      </w:pPr>
      <w:r>
        <w:rPr>
          <w:rFonts w:ascii="Arial" w:eastAsia="Times New Roman" w:hAnsi="Arial" w:cs="Arial"/>
          <w:lang w:eastAsia="eu-ES"/>
        </w:rPr>
        <w:t>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482668" w:rsidRDefault="00762B21">
      <w:pPr>
        <w:numPr>
          <w:ilvl w:val="1"/>
          <w:numId w:val="21"/>
        </w:numPr>
        <w:spacing w:after="220" w:line="259" w:lineRule="auto"/>
        <w:ind w:left="709" w:firstLine="0"/>
        <w:jc w:val="both"/>
        <w:textAlignment w:val="baseline"/>
        <w:rPr>
          <w:rFonts w:ascii="Arial" w:eastAsia="Times New Roman" w:hAnsi="Arial" w:cs="Arial"/>
          <w:lang w:eastAsia="eu-ES"/>
        </w:rPr>
      </w:pPr>
      <w:r>
        <w:rPr>
          <w:rFonts w:ascii="Arial" w:eastAsia="Times New Roman" w:hAnsi="Arial" w:cs="Arial"/>
          <w:lang w:eastAsia="eu-ES"/>
        </w:rPr>
        <w:t>Tener interés personal en el asunto de que se trate o en otro en cuya resolución pudiera influir la de aquél; ser administrador de sociedad o entidad interesada, o tener cuestión litigiosa pendiente con algún interesado.</w:t>
      </w:r>
    </w:p>
    <w:p w:rsidR="00482668" w:rsidRDefault="00762B21">
      <w:pPr>
        <w:numPr>
          <w:ilvl w:val="1"/>
          <w:numId w:val="21"/>
        </w:numPr>
        <w:spacing w:after="220" w:line="259" w:lineRule="auto"/>
        <w:ind w:left="709" w:firstLine="0"/>
        <w:jc w:val="both"/>
        <w:textAlignment w:val="baseline"/>
        <w:rPr>
          <w:rFonts w:ascii="Arial" w:eastAsia="Times New Roman" w:hAnsi="Arial" w:cs="Arial"/>
          <w:lang w:eastAsia="eu-ES"/>
        </w:rPr>
      </w:pPr>
      <w:r>
        <w:rPr>
          <w:rFonts w:ascii="Arial" w:eastAsia="Times New Roman" w:hAnsi="Arial" w:cs="Arial"/>
          <w:lang w:eastAsia="eu-ES"/>
        </w:rPr>
        <w:t>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00482668" w:rsidRDefault="00762B21">
      <w:pPr>
        <w:numPr>
          <w:ilvl w:val="1"/>
          <w:numId w:val="21"/>
        </w:numPr>
        <w:spacing w:after="220" w:line="259" w:lineRule="auto"/>
        <w:ind w:left="709" w:firstLine="0"/>
        <w:jc w:val="both"/>
        <w:textAlignment w:val="baseline"/>
        <w:rPr>
          <w:rFonts w:ascii="Arial" w:eastAsia="Times New Roman" w:hAnsi="Arial" w:cs="Arial"/>
          <w:lang w:eastAsia="eu-ES"/>
        </w:rPr>
      </w:pPr>
      <w:r>
        <w:rPr>
          <w:rFonts w:ascii="Arial" w:eastAsia="Times New Roman" w:hAnsi="Arial" w:cs="Arial"/>
          <w:lang w:eastAsia="eu-ES"/>
        </w:rPr>
        <w:t>Tener amistad íntima o enemistad manifiesta con alguna de las personas mencionadas en el apartado anterior.</w:t>
      </w:r>
    </w:p>
    <w:p w:rsidR="00482668" w:rsidRDefault="00762B21">
      <w:pPr>
        <w:numPr>
          <w:ilvl w:val="1"/>
          <w:numId w:val="21"/>
        </w:numPr>
        <w:spacing w:after="220" w:line="259" w:lineRule="auto"/>
        <w:ind w:left="709" w:firstLine="0"/>
        <w:jc w:val="both"/>
        <w:textAlignment w:val="baseline"/>
        <w:rPr>
          <w:rFonts w:ascii="Arial" w:eastAsia="Times New Roman" w:hAnsi="Arial" w:cs="Arial"/>
          <w:lang w:eastAsia="eu-ES"/>
        </w:rPr>
      </w:pPr>
      <w:r>
        <w:rPr>
          <w:rFonts w:ascii="Arial" w:eastAsia="Times New Roman" w:hAnsi="Arial" w:cs="Arial"/>
          <w:lang w:eastAsia="eu-ES"/>
        </w:rPr>
        <w:t>Haber intervenido como perito o como testigo en el procedimiento de que se trate.</w:t>
      </w:r>
    </w:p>
    <w:p w:rsidR="00482668" w:rsidRDefault="00762B21">
      <w:pPr>
        <w:numPr>
          <w:ilvl w:val="1"/>
          <w:numId w:val="21"/>
        </w:numPr>
        <w:spacing w:after="220" w:line="259" w:lineRule="auto"/>
        <w:ind w:left="709" w:firstLine="0"/>
        <w:jc w:val="both"/>
        <w:textAlignment w:val="baseline"/>
        <w:rPr>
          <w:rFonts w:ascii="Arial" w:eastAsia="Times New Roman" w:hAnsi="Arial" w:cs="Arial"/>
          <w:lang w:eastAsia="eu-ES"/>
        </w:rPr>
      </w:pPr>
      <w:r>
        <w:rPr>
          <w:rFonts w:ascii="Arial" w:eastAsia="Times New Roman" w:hAnsi="Arial" w:cs="Arial"/>
          <w:lang w:eastAsia="eu-ES"/>
        </w:rPr>
        <w:lastRenderedPageBreak/>
        <w:t>Tener relación de servicio con persona natural o jurídica interesada directamente en el asunto, o haberle prestado en los dos últimos años servicios profesionales de cualquier tipo y en cualquier circunstancia o lugar».</w:t>
      </w:r>
    </w:p>
    <w:p w:rsidR="00482668" w:rsidRDefault="00762B21">
      <w:pPr>
        <w:spacing w:after="220"/>
        <w:ind w:firstLine="0"/>
        <w:jc w:val="both"/>
        <w:textAlignment w:val="baseline"/>
      </w:pPr>
      <w:r>
        <w:rPr>
          <w:rFonts w:ascii="Arial" w:eastAsia="Times New Roman" w:hAnsi="Arial" w:cs="Arial"/>
          <w:lang w:eastAsia="eu-ES"/>
        </w:rPr>
        <w:t>Segundo. Que no se encuentra/n incurso/s en ninguna situación que pueda calificarse de conflicto de intereses de las indicadas en el artículo 61.3 del Reglamento Financiero de la UE y que no concurre en su/s persona/s ninguna causa de abstención del artículo</w:t>
      </w:r>
      <w:r>
        <w:rPr>
          <w:rFonts w:ascii="Arial" w:eastAsia="Times New Roman" w:hAnsi="Arial" w:cs="Arial"/>
          <w:lang w:val="eu-ES" w:eastAsia="eu-ES"/>
        </w:rPr>
        <w:t> </w:t>
      </w:r>
      <w:r>
        <w:rPr>
          <w:rFonts w:ascii="Arial" w:eastAsia="Times New Roman" w:hAnsi="Arial" w:cs="Arial"/>
          <w:lang w:eastAsia="eu-ES"/>
        </w:rPr>
        <w:t>23.2 de la Ley 40/2015, de 1 de octubre, de Régimen Jurídico del Sector Público que pueda afectar al procedimiento de licitación/concesión.</w:t>
      </w:r>
    </w:p>
    <w:p w:rsidR="00482668" w:rsidRDefault="00762B21">
      <w:pPr>
        <w:spacing w:after="220"/>
        <w:ind w:firstLine="0"/>
        <w:jc w:val="both"/>
        <w:textAlignment w:val="baseline"/>
        <w:rPr>
          <w:rFonts w:ascii="Arial" w:eastAsia="Times New Roman" w:hAnsi="Arial" w:cs="Arial"/>
          <w:lang w:eastAsia="eu-ES"/>
        </w:rPr>
      </w:pPr>
      <w:r>
        <w:rPr>
          <w:rFonts w:ascii="Arial" w:eastAsia="Times New Roman" w:hAnsi="Arial" w:cs="Arial"/>
          <w:lang w:eastAsia="eu-ES"/>
        </w:rPr>
        <w:t>Tercero. Que se compromete/n a poner en conocimiento del órgano de contratación, comisión de evaluación o superior jerárquico, sin dilación, cualquier situación de conflicto de intereses o causa de abstención que dé o pudiera dar lugar a dicho escenario y dejaré de tomar parte en el proceso de evaluación y en todas las actividades relacionadas con este procedimiento.</w:t>
      </w:r>
    </w:p>
    <w:p w:rsidR="00482668" w:rsidRDefault="00762B21">
      <w:pPr>
        <w:spacing w:after="220"/>
        <w:ind w:firstLine="0"/>
        <w:jc w:val="both"/>
        <w:textAlignment w:val="baseline"/>
        <w:rPr>
          <w:rFonts w:ascii="Arial" w:eastAsia="Times New Roman" w:hAnsi="Arial" w:cs="Arial"/>
          <w:lang w:eastAsia="eu-ES"/>
        </w:rPr>
      </w:pPr>
      <w:r>
        <w:rPr>
          <w:rFonts w:ascii="Arial" w:eastAsia="Times New Roman" w:hAnsi="Arial" w:cs="Arial"/>
          <w:lang w:eastAsia="eu-ES"/>
        </w:rPr>
        <w:t>Cuarto. Que trataré con confidencialidad los asuntos y documentación que se desarrollen en el marco de estos procedimientos ni utilizaré inapropiadamente la información que se me proporcione por mi participación en los mismos.</w:t>
      </w:r>
    </w:p>
    <w:p w:rsidR="00482668" w:rsidRDefault="00762B21">
      <w:pPr>
        <w:spacing w:after="220"/>
        <w:ind w:firstLine="0"/>
        <w:jc w:val="both"/>
        <w:textAlignment w:val="baseline"/>
        <w:rPr>
          <w:rFonts w:ascii="Arial" w:eastAsia="Times New Roman" w:hAnsi="Arial" w:cs="Arial"/>
          <w:lang w:eastAsia="eu-ES"/>
        </w:rPr>
      </w:pPr>
      <w:r>
        <w:rPr>
          <w:rFonts w:ascii="Arial" w:eastAsia="Times New Roman" w:hAnsi="Arial" w:cs="Arial"/>
          <w:lang w:eastAsia="eu-ES"/>
        </w:rPr>
        <w:t>Quinto. Conozco que, una declaración de ausencia de conflicto de intereses que se demuestre que sea falsa, acarreará las consecuencias disciplinarias, administrativas y judiciales que establezca la normativa de aplicación.</w:t>
      </w:r>
    </w:p>
    <w:p w:rsidR="00482668" w:rsidRDefault="00762B21">
      <w:pPr>
        <w:spacing w:after="220"/>
        <w:ind w:firstLine="0"/>
        <w:jc w:val="both"/>
        <w:textAlignment w:val="baseline"/>
      </w:pPr>
      <w:r>
        <w:rPr>
          <w:rFonts w:ascii="Arial" w:eastAsia="Times New Roman" w:hAnsi="Arial" w:cs="Arial"/>
          <w:lang w:eastAsia="eu-ES"/>
        </w:rPr>
        <w:t>(Fecha y firma, nombre completo y DNI)</w:t>
      </w:r>
      <w:r>
        <w:rPr>
          <w:rFonts w:ascii="Arial" w:eastAsia="Times New Roman" w:hAnsi="Arial" w:cs="Arial"/>
          <w:lang w:val="eu-ES" w:eastAsia="eu-ES"/>
        </w:rPr>
        <w:t> </w:t>
      </w:r>
    </w:p>
    <w:p w:rsidR="00482668" w:rsidRDefault="00482668"/>
    <w:p w:rsidR="00482668" w:rsidRDefault="00482668"/>
    <w:p w:rsidR="00482668" w:rsidRDefault="00762B21">
      <w:r>
        <w:br w:type="page"/>
      </w:r>
    </w:p>
    <w:p w:rsidR="00482668" w:rsidRDefault="00762B21" w:rsidP="006F472F">
      <w:pPr>
        <w:pStyle w:val="Heading1"/>
        <w:numPr>
          <w:ilvl w:val="0"/>
          <w:numId w:val="0"/>
        </w:numPr>
        <w:ind w:left="432" w:hanging="716"/>
      </w:pPr>
      <w:bookmarkStart w:id="292" w:name="_Toc108599947"/>
      <w:bookmarkStart w:id="293" w:name="_Toc108763806"/>
      <w:bookmarkStart w:id="294" w:name="_Toc115897550"/>
      <w:bookmarkStart w:id="295" w:name="_Ref108119288"/>
      <w:bookmarkStart w:id="296" w:name="_Toc121128572"/>
      <w:r>
        <w:rPr>
          <w:rFonts w:ascii="Arial" w:eastAsia="Times New Roman" w:hAnsi="Arial" w:cs="Arial"/>
          <w:color w:val="auto"/>
          <w:lang w:eastAsia="es-ES"/>
        </w:rPr>
        <w:lastRenderedPageBreak/>
        <w:t>ANEXO III</w:t>
      </w:r>
      <w:bookmarkEnd w:id="292"/>
      <w:bookmarkEnd w:id="293"/>
      <w:bookmarkEnd w:id="294"/>
      <w:bookmarkEnd w:id="295"/>
      <w:bookmarkEnd w:id="296"/>
      <w:r>
        <w:rPr>
          <w:rFonts w:ascii="Arial" w:eastAsia="Times New Roman" w:hAnsi="Arial" w:cs="Arial"/>
          <w:color w:val="auto"/>
          <w:lang w:eastAsia="es-ES"/>
        </w:rPr>
        <w:t xml:space="preserve"> </w:t>
      </w:r>
    </w:p>
    <w:p w:rsidR="006F472F" w:rsidRPr="006F472F" w:rsidRDefault="006F472F" w:rsidP="006F472F"/>
    <w:p w:rsidR="00482668" w:rsidRDefault="00762B21">
      <w:pPr>
        <w:ind w:firstLine="0"/>
        <w:jc w:val="center"/>
      </w:pPr>
      <w:bookmarkStart w:id="297" w:name="_Hlk93575938"/>
      <w:r>
        <w:rPr>
          <w:rFonts w:ascii="Arial" w:eastAsia="Times New Roman" w:hAnsi="Arial" w:cs="Arial"/>
          <w:b/>
          <w:sz w:val="24"/>
          <w:szCs w:val="24"/>
          <w:lang w:eastAsia="es-ES"/>
        </w:rPr>
        <w:t xml:space="preserve">DOCUMENTO DE APOYO PARA LA IMPLEMENTACIÓN DE LA CIRCULARIDAD EN PROYECTOS DE CONSTRUCCIÓN </w:t>
      </w:r>
      <w:bookmarkEnd w:id="297"/>
      <w:r>
        <w:rPr>
          <w:rFonts w:ascii="Arial" w:eastAsia="Times New Roman" w:hAnsi="Arial" w:cs="Arial"/>
          <w:b/>
          <w:sz w:val="24"/>
          <w:szCs w:val="24"/>
          <w:lang w:eastAsia="es-ES"/>
        </w:rPr>
        <w:t>Y LA EVALUACIÓN DE LOS REQUISITOS DE CIRCULARIDAD EN LOS PROGRAMAS DEL RD 853/2021 (CON REFERENCIA A LA ISO 20887:2020)</w:t>
      </w:r>
    </w:p>
    <w:p w:rsidR="00482668" w:rsidRDefault="00482668">
      <w:pPr>
        <w:spacing w:before="120" w:after="120"/>
        <w:ind w:firstLine="0"/>
        <w:jc w:val="right"/>
        <w:rPr>
          <w:rFonts w:cs="Calibri"/>
          <w:sz w:val="20"/>
          <w:szCs w:val="18"/>
        </w:rPr>
      </w:pPr>
    </w:p>
    <w:p w:rsidR="00482668" w:rsidRDefault="00762B21">
      <w:pPr>
        <w:spacing w:after="220"/>
        <w:ind w:firstLine="0"/>
        <w:jc w:val="both"/>
      </w:pPr>
      <w:r>
        <w:rPr>
          <w:rFonts w:ascii="Arial" w:hAnsi="Arial" w:cs="Arial"/>
        </w:rPr>
        <w:t>La</w:t>
      </w:r>
      <w:r>
        <w:rPr>
          <w:rFonts w:ascii="Arial" w:hAnsi="Arial" w:cs="Arial"/>
          <w:b/>
          <w:bCs/>
        </w:rPr>
        <w:t xml:space="preserve"> ISO 20887</w:t>
      </w:r>
      <w:r>
        <w:rPr>
          <w:rStyle w:val="Ancladenotaalpie"/>
          <w:rFonts w:ascii="Arial" w:hAnsi="Arial" w:cs="Arial"/>
        </w:rPr>
        <w:footnoteReference w:id="1"/>
      </w:r>
      <w:r>
        <w:rPr>
          <w:rFonts w:ascii="Arial" w:hAnsi="Arial" w:cs="Arial"/>
        </w:rPr>
        <w:t xml:space="preserve"> es un estándar internacional que proporciona principios generales para introducir los criterios de la economía circular en el </w:t>
      </w:r>
      <w:r>
        <w:rPr>
          <w:rFonts w:ascii="Arial" w:hAnsi="Arial" w:cs="Arial"/>
          <w:b/>
          <w:bCs/>
        </w:rPr>
        <w:t>ámbito de la construcción</w:t>
      </w:r>
      <w:r>
        <w:rPr>
          <w:rFonts w:ascii="Arial" w:hAnsi="Arial" w:cs="Arial"/>
        </w:rPr>
        <w:t xml:space="preserve">. La finalidad que se persigue, como en el concepto económico, es eliminar los residuos de la construcción y ayudar a aumentar la vida útil de los edificios en general o de sus componentes por separado. </w:t>
      </w:r>
    </w:p>
    <w:p w:rsidR="00482668" w:rsidRDefault="00762B21">
      <w:pPr>
        <w:spacing w:after="220"/>
        <w:ind w:firstLine="0"/>
        <w:jc w:val="both"/>
      </w:pPr>
      <w:r>
        <w:rPr>
          <w:rFonts w:ascii="Arial" w:hAnsi="Arial" w:cs="Arial"/>
        </w:rPr>
        <w:t xml:space="preserve">Uno de los objetivos principales del proyecto circular, en inglés </w:t>
      </w:r>
      <w:r>
        <w:rPr>
          <w:rFonts w:ascii="Arial" w:hAnsi="Arial" w:cs="Arial"/>
          <w:b/>
          <w:bCs/>
        </w:rPr>
        <w:t xml:space="preserve">“Desing for disassembly and adaptability” (DfD/A), </w:t>
      </w:r>
      <w:r>
        <w:rPr>
          <w:rFonts w:ascii="Arial" w:hAnsi="Arial" w:cs="Arial"/>
        </w:rPr>
        <w:t xml:space="preserve">es crear activos </w:t>
      </w:r>
      <w:r>
        <w:rPr>
          <w:rFonts w:ascii="Arial" w:hAnsi="Arial" w:cs="Arial"/>
          <w:b/>
          <w:bCs/>
        </w:rPr>
        <w:t>adaptables</w:t>
      </w:r>
      <w:r>
        <w:rPr>
          <w:rFonts w:ascii="Arial" w:hAnsi="Arial" w:cs="Arial"/>
        </w:rPr>
        <w:t xml:space="preserve"> a los posibles sucesos futuros o </w:t>
      </w:r>
      <w:r>
        <w:rPr>
          <w:rFonts w:ascii="Arial" w:hAnsi="Arial" w:cs="Arial"/>
          <w:b/>
          <w:bCs/>
        </w:rPr>
        <w:t>desmontables</w:t>
      </w:r>
      <w:r>
        <w:rPr>
          <w:rFonts w:ascii="Arial" w:hAnsi="Arial" w:cs="Arial"/>
        </w:rPr>
        <w:t xml:space="preserve"> para que sus partes puedan ser reutilizadas, recicladas o revalorizadas.  </w:t>
      </w:r>
    </w:p>
    <w:p w:rsidR="00482668" w:rsidRDefault="00762B21">
      <w:pPr>
        <w:spacing w:after="220"/>
        <w:ind w:firstLine="0"/>
        <w:jc w:val="both"/>
      </w:pPr>
      <w:r>
        <w:rPr>
          <w:rFonts w:ascii="Arial" w:hAnsi="Arial" w:cs="Arial"/>
        </w:rPr>
        <w:t xml:space="preserve">Debe resaltarse que no se trata de un documento de obligado cumplimiento ya que no se encuentra incorporado como tal a nivel reglamentario. Sin embargo, es una condición específica requerida en el RD 853/2021, que los diseños de edificios y las técnicas de construcción de las actuaciones subvencionables se apoyen en los </w:t>
      </w:r>
      <w:r>
        <w:rPr>
          <w:rFonts w:ascii="Arial" w:hAnsi="Arial" w:cs="Arial"/>
          <w:b/>
          <w:bCs/>
        </w:rPr>
        <w:t>principios de circularidad</w:t>
      </w:r>
      <w:r>
        <w:rPr>
          <w:rFonts w:ascii="Arial" w:hAnsi="Arial" w:cs="Arial"/>
        </w:rPr>
        <w:t xml:space="preserve"> por lo que los destinatarios últimos deben conocerlos y tomar consideración de ellos en los proyectos propuestos. </w:t>
      </w:r>
      <w:r>
        <w:rPr>
          <w:rFonts w:ascii="Arial" w:hAnsi="Arial" w:cs="Arial"/>
          <w:lang w:val="es-ES_tradnl" w:eastAsia="es-ES"/>
        </w:rPr>
        <w:t xml:space="preserve">Además, a lo largo de las diferentes fases del proyecto, los destinatarios últimos pueden incorporar </w:t>
      </w:r>
      <w:r>
        <w:rPr>
          <w:rFonts w:ascii="Arial" w:hAnsi="Arial" w:cs="Arial"/>
          <w:b/>
          <w:bCs/>
          <w:lang w:val="es-ES_tradnl" w:eastAsia="es-ES"/>
        </w:rPr>
        <w:t xml:space="preserve">documentación </w:t>
      </w:r>
      <w:r>
        <w:rPr>
          <w:rFonts w:ascii="Arial" w:hAnsi="Arial" w:cs="Arial"/>
          <w:lang w:val="es-ES_tradnl" w:eastAsia="es-ES"/>
        </w:rPr>
        <w:t xml:space="preserve">que facilite la gestión de la información del proyecto, mejorando así su circularidad.  </w:t>
      </w:r>
    </w:p>
    <w:p w:rsidR="00482668" w:rsidRDefault="00762B21">
      <w:pPr>
        <w:keepNext/>
        <w:tabs>
          <w:tab w:val="left" w:pos="426"/>
        </w:tabs>
        <w:spacing w:after="220"/>
        <w:ind w:firstLine="0"/>
        <w:jc w:val="both"/>
      </w:pPr>
      <w:bookmarkStart w:id="298" w:name="_Toc93400045"/>
      <w:r>
        <w:rPr>
          <w:rFonts w:ascii="Arial" w:hAnsi="Arial" w:cs="Arial"/>
          <w:b/>
          <w:caps/>
          <w:kern w:val="2"/>
          <w:u w:val="single"/>
          <w:lang w:val="es-ES_tradnl" w:eastAsia="es-ES_tradnl"/>
        </w:rPr>
        <w:t>DESCRIPCIÓN DE LOS PRINCIPIOS DE CIRCULARIDAD DESCRITOS EN LA ISO 20887.</w:t>
      </w:r>
      <w:bookmarkEnd w:id="298"/>
      <w:r>
        <w:rPr>
          <w:rFonts w:ascii="Arial" w:hAnsi="Arial" w:cs="Arial"/>
          <w:b/>
          <w:caps/>
          <w:kern w:val="2"/>
          <w:u w:val="single"/>
          <w:lang w:val="es-ES_tradnl" w:eastAsia="es-ES_tradnl"/>
        </w:rPr>
        <w:t xml:space="preserve"> </w:t>
      </w:r>
    </w:p>
    <w:p w:rsidR="00482668" w:rsidRDefault="00762B21">
      <w:pPr>
        <w:spacing w:after="220"/>
        <w:ind w:firstLine="0"/>
        <w:jc w:val="both"/>
        <w:rPr>
          <w:rFonts w:ascii="Arial" w:hAnsi="Arial" w:cs="Arial"/>
          <w:lang w:val="es-ES_tradnl" w:eastAsia="es-ES"/>
        </w:rPr>
      </w:pPr>
      <w:r>
        <w:rPr>
          <w:rFonts w:ascii="Arial" w:hAnsi="Arial" w:cs="Arial"/>
          <w:lang w:val="es-ES_tradnl" w:eastAsia="es-ES"/>
        </w:rPr>
        <w:t xml:space="preserve">Para las actuaciones de rehabilitación energética en edificios de los programas del RD 853/2021, los proyectos han de tener en cuenta los principios descritos por la ISO 20887 sobre la capacidad de desmontaje, en la medida en que sea posible, atendiendo a las características específicas de la actuación. </w:t>
      </w:r>
    </w:p>
    <w:p w:rsidR="00482668" w:rsidRDefault="00762B21">
      <w:pPr>
        <w:spacing w:after="220"/>
        <w:ind w:firstLine="0"/>
        <w:jc w:val="center"/>
        <w:rPr>
          <w:rFonts w:ascii="Arial" w:hAnsi="Arial" w:cs="Arial"/>
          <w:b/>
          <w:bCs/>
        </w:rPr>
      </w:pPr>
      <w:r>
        <w:rPr>
          <w:rFonts w:ascii="Arial" w:hAnsi="Arial" w:cs="Arial"/>
          <w:b/>
          <w:bCs/>
        </w:rPr>
        <w:t>PRINCIPIOS SOBRE LA CAPACIDAD DE DESMONTAJE DE ACTIVOS CONSTRUIDOS.</w:t>
      </w:r>
    </w:p>
    <w:p w:rsidR="00482668" w:rsidRDefault="00762B21">
      <w:pPr>
        <w:spacing w:after="220"/>
        <w:ind w:firstLine="0"/>
        <w:jc w:val="both"/>
      </w:pPr>
      <w:r>
        <w:rPr>
          <w:rFonts w:ascii="Arial" w:hAnsi="Arial" w:cs="Arial"/>
          <w:b/>
          <w:bCs/>
          <w:lang w:eastAsia="es-ES"/>
        </w:rPr>
        <w:t xml:space="preserve">Accesibilidad de los componentes e instalaciones. </w:t>
      </w:r>
      <w:r>
        <w:rPr>
          <w:rFonts w:ascii="Arial" w:hAnsi="Arial" w:cs="Arial"/>
          <w:lang w:eastAsia="es-ES"/>
        </w:rPr>
        <w:t xml:space="preserve">Implica que las diferentes partes de las instalaciones y sistemas constructivos sean fácilmente accesibles, de manera que se facilite su reemplazo y su mantenimiento. En este sentido, las uniones o conexiones funcionan mejor cuando están expuestas. En el caso de tener uniones desmontables, los detalles constructivos deben diseñarse con la suficiente holgura para que sus partes puedan ser manipuladas.  </w:t>
      </w:r>
    </w:p>
    <w:p w:rsidR="00482668" w:rsidRDefault="00762B21">
      <w:pPr>
        <w:spacing w:after="220"/>
        <w:ind w:firstLine="0"/>
        <w:jc w:val="both"/>
      </w:pPr>
      <w:r>
        <w:rPr>
          <w:rFonts w:ascii="Arial" w:hAnsi="Arial" w:cs="Arial"/>
          <w:b/>
          <w:bCs/>
          <w:lang w:eastAsia="es-ES"/>
        </w:rPr>
        <w:t xml:space="preserve">Independencia. </w:t>
      </w:r>
      <w:r>
        <w:rPr>
          <w:rFonts w:ascii="Arial" w:hAnsi="Arial" w:cs="Arial"/>
          <w:lang w:eastAsia="es-ES"/>
        </w:rPr>
        <w:t xml:space="preserve">Permite que las distintas partes, componentes, módulos y sistemas puedan ser retiradas y renovadas sin afectar a la totalidad del edificio. Asegurar la independencia de los sistemas principales de en un edificio (estructura, envolvente, instalaciones y acabados) y el uso de uniones en seco favorece la capacidad de desmontaje.   </w:t>
      </w:r>
    </w:p>
    <w:p w:rsidR="00482668" w:rsidRDefault="00762B21">
      <w:pPr>
        <w:spacing w:after="220"/>
        <w:ind w:firstLine="0"/>
        <w:jc w:val="both"/>
      </w:pPr>
      <w:r>
        <w:rPr>
          <w:rFonts w:ascii="Arial" w:hAnsi="Arial" w:cs="Arial"/>
          <w:b/>
          <w:bCs/>
          <w:lang w:eastAsia="es-ES"/>
        </w:rPr>
        <w:lastRenderedPageBreak/>
        <w:t xml:space="preserve">Acabados: </w:t>
      </w:r>
      <w:r>
        <w:rPr>
          <w:rFonts w:ascii="Arial" w:hAnsi="Arial" w:cs="Arial"/>
          <w:lang w:eastAsia="es-ES"/>
        </w:rPr>
        <w:t xml:space="preserve">La elección del acabado condiciona la reutilización o reciclaje de los sustratos. Será más fácil de reutilizar y reciclar los elementos que no necesitan un acabado posterior. </w:t>
      </w:r>
    </w:p>
    <w:p w:rsidR="00482668" w:rsidRDefault="00762B21">
      <w:pPr>
        <w:spacing w:after="220"/>
        <w:ind w:firstLine="0"/>
        <w:jc w:val="both"/>
      </w:pPr>
      <w:r>
        <w:rPr>
          <w:rFonts w:ascii="Arial" w:hAnsi="Arial" w:cs="Arial"/>
          <w:b/>
          <w:bCs/>
          <w:lang w:eastAsia="es-ES"/>
        </w:rPr>
        <w:t xml:space="preserve">Apoyo a la economía circular: </w:t>
      </w:r>
      <w:r>
        <w:rPr>
          <w:rFonts w:ascii="Arial" w:hAnsi="Arial" w:cs="Arial"/>
          <w:lang w:eastAsia="es-ES"/>
        </w:rPr>
        <w:t xml:space="preserve">Implica escoger materiales y soluciones constructivas que favorezcan la reutilización, el reciclaje, el reacondicionamiento y la sustitución de las partes del edificio.  </w:t>
      </w:r>
    </w:p>
    <w:p w:rsidR="00482668" w:rsidRDefault="00762B21">
      <w:pPr>
        <w:spacing w:after="220"/>
        <w:ind w:firstLine="0"/>
        <w:jc w:val="both"/>
      </w:pPr>
      <w:r>
        <w:rPr>
          <w:rFonts w:ascii="Arial" w:hAnsi="Arial" w:cs="Arial"/>
          <w:b/>
          <w:bCs/>
          <w:lang w:eastAsia="es-ES"/>
        </w:rPr>
        <w:t xml:space="preserve">Simplicidad: </w:t>
      </w:r>
      <w:r>
        <w:rPr>
          <w:rFonts w:ascii="Arial" w:hAnsi="Arial" w:cs="Arial"/>
          <w:lang w:eastAsia="es-ES"/>
        </w:rPr>
        <w:t>Cualidad por la que un sistema cumple con los requisitos de rendimiento que se le exigen con el menor número de elementos o componentes y con la menor personalización posible. De esta manera se reducen las averías y se facilita la reparación y el mantenimiento del edificio.</w:t>
      </w:r>
    </w:p>
    <w:p w:rsidR="00482668" w:rsidRDefault="00762B21">
      <w:pPr>
        <w:spacing w:after="220"/>
        <w:ind w:firstLine="0"/>
        <w:jc w:val="both"/>
      </w:pPr>
      <w:r>
        <w:rPr>
          <w:rFonts w:ascii="Arial" w:hAnsi="Arial" w:cs="Arial"/>
          <w:b/>
          <w:bCs/>
          <w:lang w:eastAsia="es-ES"/>
        </w:rPr>
        <w:t xml:space="preserve">Estandarización: </w:t>
      </w:r>
      <w:r>
        <w:rPr>
          <w:rFonts w:ascii="Arial" w:hAnsi="Arial" w:cs="Arial"/>
          <w:lang w:eastAsia="es-ES"/>
        </w:rPr>
        <w:t xml:space="preserve">La capacidad se desmontaje se mejora al considerar piezas normalizadas. La selección de material de tamaños estándar también facilita la reposición de piezas en el caso de ser necesario.  </w:t>
      </w:r>
    </w:p>
    <w:p w:rsidR="00482668" w:rsidRDefault="00762B21">
      <w:pPr>
        <w:spacing w:after="220"/>
        <w:ind w:firstLine="0"/>
        <w:jc w:val="both"/>
      </w:pPr>
      <w:r>
        <w:rPr>
          <w:rFonts w:ascii="Arial" w:hAnsi="Arial" w:cs="Arial"/>
          <w:b/>
          <w:bCs/>
          <w:lang w:eastAsia="es-ES"/>
        </w:rPr>
        <w:t xml:space="preserve">Facilidad de desmontaje: </w:t>
      </w:r>
      <w:r>
        <w:rPr>
          <w:rFonts w:ascii="Arial" w:hAnsi="Arial" w:cs="Arial"/>
          <w:lang w:eastAsia="es-ES"/>
        </w:rPr>
        <w:t xml:space="preserve">Para facilitar la circularidad, el edificio, además de ser fácil de desmontar, debe ser seguro. </w:t>
      </w:r>
    </w:p>
    <w:p w:rsidR="00482668" w:rsidRDefault="00762B21">
      <w:pPr>
        <w:spacing w:after="220"/>
        <w:ind w:firstLine="0"/>
        <w:rPr>
          <w:rFonts w:ascii="Arial" w:hAnsi="Arial" w:cs="Arial"/>
          <w:b/>
          <w:bCs/>
        </w:rPr>
      </w:pPr>
      <w:r>
        <w:rPr>
          <w:rFonts w:ascii="Arial" w:hAnsi="Arial" w:cs="Arial"/>
          <w:b/>
          <w:bCs/>
        </w:rPr>
        <w:t>PRINCIPIO DE ADAPTABILIDAD:</w:t>
      </w:r>
    </w:p>
    <w:p w:rsidR="00482668" w:rsidRDefault="00762B21">
      <w:pPr>
        <w:spacing w:after="220"/>
        <w:ind w:firstLine="0"/>
      </w:pPr>
      <w:r>
        <w:rPr>
          <w:rFonts w:ascii="Arial" w:hAnsi="Arial" w:cs="Arial"/>
          <w:b/>
          <w:bCs/>
          <w:lang w:eastAsia="es-ES"/>
        </w:rPr>
        <w:t xml:space="preserve">Versatilidad: </w:t>
      </w:r>
      <w:r>
        <w:rPr>
          <w:rFonts w:ascii="Arial" w:hAnsi="Arial" w:cs="Arial"/>
          <w:lang w:eastAsia="es-ES"/>
        </w:rPr>
        <w:t xml:space="preserve">La capacidad de que el edificio se adapte a varias funciones sin requerir obras importantes. </w:t>
      </w:r>
    </w:p>
    <w:p w:rsidR="00482668" w:rsidRDefault="00762B21">
      <w:pPr>
        <w:spacing w:after="220"/>
        <w:ind w:firstLine="0"/>
      </w:pPr>
      <w:r>
        <w:rPr>
          <w:rFonts w:ascii="Arial" w:hAnsi="Arial" w:cs="Arial"/>
          <w:b/>
          <w:bCs/>
          <w:lang w:eastAsia="es-ES"/>
        </w:rPr>
        <w:t xml:space="preserve">Convertibilidad: </w:t>
      </w:r>
      <w:r>
        <w:rPr>
          <w:rFonts w:ascii="Arial" w:hAnsi="Arial" w:cs="Arial"/>
          <w:lang w:eastAsia="es-ES"/>
        </w:rPr>
        <w:t xml:space="preserve">La convertibilidad es la capacidad de adaptarse a cambios sustanciales en las necesidades del usuario mediante modificaciones. </w:t>
      </w:r>
    </w:p>
    <w:p w:rsidR="00482668" w:rsidRDefault="00762B21">
      <w:pPr>
        <w:spacing w:after="220"/>
        <w:ind w:firstLine="0"/>
      </w:pPr>
      <w:r>
        <w:rPr>
          <w:rFonts w:ascii="Arial" w:hAnsi="Arial" w:cs="Arial"/>
          <w:b/>
          <w:bCs/>
          <w:lang w:eastAsia="es-ES"/>
        </w:rPr>
        <w:t xml:space="preserve">Capacidad de expansión: </w:t>
      </w:r>
      <w:r>
        <w:rPr>
          <w:rFonts w:ascii="Arial" w:hAnsi="Arial" w:cs="Arial"/>
          <w:lang w:eastAsia="es-ES"/>
        </w:rPr>
        <w:t xml:space="preserve">Capacidad del edificio para adaptarse a un cambio sustancial en las necesidades del usuario mediante la adición de nuevos espacios, características, posibilidades y capacidades.  En el caso de edificios, la capacidad de expansión implica diseñar pensando en la expansión vertical como horizontal. </w:t>
      </w:r>
    </w:p>
    <w:p w:rsidR="00482668" w:rsidRDefault="00762B21">
      <w:pPr>
        <w:keepNext/>
        <w:tabs>
          <w:tab w:val="left" w:pos="426"/>
        </w:tabs>
        <w:spacing w:after="220"/>
        <w:ind w:firstLine="0"/>
        <w:jc w:val="center"/>
        <w:rPr>
          <w:rFonts w:ascii="Arial" w:hAnsi="Arial" w:cs="Arial"/>
          <w:b/>
          <w:caps/>
          <w:kern w:val="2"/>
          <w:lang w:val="es-ES_tradnl" w:eastAsia="es-ES_tradnl"/>
        </w:rPr>
      </w:pPr>
      <w:bookmarkStart w:id="299" w:name="_Toc93400046"/>
      <w:r>
        <w:rPr>
          <w:rFonts w:ascii="Arial" w:hAnsi="Arial" w:cs="Arial"/>
          <w:b/>
          <w:caps/>
          <w:kern w:val="2"/>
          <w:lang w:val="es-ES_tradnl" w:eastAsia="es-ES_tradnl"/>
        </w:rPr>
        <w:t>ACCIONES PARA LA MEJORA DE LA CIRCULARIDAD Y PROPUESTA DE DOCUMENTACIÓN JUSTIFICATIVA</w:t>
      </w:r>
      <w:bookmarkEnd w:id="299"/>
    </w:p>
    <w:p w:rsidR="00482668" w:rsidRDefault="00762B21">
      <w:pPr>
        <w:spacing w:after="220"/>
        <w:ind w:firstLine="0"/>
        <w:jc w:val="both"/>
      </w:pPr>
      <w:r>
        <w:rPr>
          <w:rFonts w:ascii="Arial" w:hAnsi="Arial" w:cs="Arial"/>
          <w:lang w:val="es-ES_tradnl" w:eastAsia="es-ES"/>
        </w:rPr>
        <w:t>La ISO 20887 recomienda una serie de acciones según la fase de proyecto para mejorar la capacidad de adaptación y desmontaje de los activos construidos</w:t>
      </w:r>
      <w:r>
        <w:rPr>
          <w:rStyle w:val="Ancladenotaalpie"/>
          <w:rFonts w:ascii="Arial" w:hAnsi="Arial" w:cs="Arial"/>
          <w:lang w:val="es-ES_tradnl" w:eastAsia="es-ES"/>
        </w:rPr>
        <w:footnoteReference w:id="2"/>
      </w:r>
      <w:r>
        <w:rPr>
          <w:rFonts w:ascii="Arial" w:hAnsi="Arial" w:cs="Arial"/>
          <w:lang w:val="es-ES_tradnl" w:eastAsia="es-ES"/>
        </w:rPr>
        <w:t xml:space="preserve">. Seguir estas recomendaciones y realizar una correcta </w:t>
      </w:r>
      <w:r>
        <w:rPr>
          <w:rFonts w:ascii="Arial" w:hAnsi="Arial" w:cs="Arial"/>
        </w:rPr>
        <w:t xml:space="preserve">gestión de la documentación a lo largo de toda la vida útil del proyecto apoyan la circularidad de los proyectos. </w:t>
      </w:r>
    </w:p>
    <w:p w:rsidR="00482668" w:rsidRDefault="00762B21">
      <w:pPr>
        <w:spacing w:after="220"/>
        <w:ind w:firstLine="0"/>
        <w:jc w:val="both"/>
        <w:rPr>
          <w:rFonts w:ascii="Arial" w:hAnsi="Arial" w:cs="Arial"/>
        </w:rPr>
      </w:pPr>
      <w:r>
        <w:rPr>
          <w:rFonts w:ascii="Arial" w:hAnsi="Arial" w:cs="Arial"/>
        </w:rPr>
        <w:t xml:space="preserve">A continuación, se recoge una propuesta (no obligatoria) de documentación a aportar por los proyectos subvencionados que puede ayudar a avanzar en la implementación de la circularidad en los proyectos de construcción. </w:t>
      </w:r>
    </w:p>
    <w:p w:rsidR="00482668" w:rsidRDefault="00762B21">
      <w:pPr>
        <w:spacing w:after="240"/>
        <w:ind w:firstLine="0"/>
        <w:rPr>
          <w:rFonts w:cs="Calibri"/>
        </w:rPr>
      </w:pPr>
      <w:r>
        <w:br w:type="page"/>
      </w:r>
    </w:p>
    <w:p w:rsidR="00482668" w:rsidRDefault="00482668">
      <w:pPr>
        <w:ind w:firstLine="0"/>
        <w:rPr>
          <w:rFonts w:cs="Calibri"/>
          <w:lang w:val="es-ES_tradnl" w:eastAsia="es-ES"/>
        </w:rPr>
      </w:pPr>
    </w:p>
    <w:tbl>
      <w:tblPr>
        <w:tblW w:w="9507" w:type="dxa"/>
        <w:jc w:val="center"/>
        <w:tblLayout w:type="fixed"/>
        <w:tblLook w:val="0000"/>
      </w:tblPr>
      <w:tblGrid>
        <w:gridCol w:w="1523"/>
        <w:gridCol w:w="3636"/>
        <w:gridCol w:w="4348"/>
      </w:tblGrid>
      <w:tr w:rsidR="00482668">
        <w:trPr>
          <w:jc w:val="center"/>
        </w:trPr>
        <w:tc>
          <w:tcPr>
            <w:tcW w:w="9507" w:type="dxa"/>
            <w:gridSpan w:val="3"/>
            <w:tcBorders>
              <w:top w:val="single" w:sz="4" w:space="0" w:color="4BACC6"/>
              <w:left w:val="single" w:sz="4" w:space="0" w:color="4BACC6"/>
              <w:bottom w:val="single" w:sz="4" w:space="0" w:color="FFFFFF"/>
              <w:right w:val="single" w:sz="4" w:space="0" w:color="4BACC6"/>
            </w:tcBorders>
            <w:shd w:val="clear" w:color="auto" w:fill="4BACC6"/>
            <w:vAlign w:val="center"/>
          </w:tcPr>
          <w:p w:rsidR="00482668" w:rsidRDefault="00762B21">
            <w:pPr>
              <w:widowControl w:val="0"/>
              <w:tabs>
                <w:tab w:val="left" w:pos="1553"/>
              </w:tabs>
              <w:jc w:val="center"/>
              <w:rPr>
                <w:rFonts w:ascii="Arial" w:hAnsi="Arial" w:cs="Arial"/>
                <w:sz w:val="16"/>
                <w:szCs w:val="16"/>
                <w:lang w:eastAsia="es-ES"/>
              </w:rPr>
            </w:pPr>
            <w:r>
              <w:rPr>
                <w:rFonts w:ascii="Arial" w:hAnsi="Arial" w:cs="Arial"/>
                <w:sz w:val="16"/>
                <w:szCs w:val="16"/>
                <w:lang w:val="es-ES_tradnl" w:eastAsia="es-ES"/>
              </w:rPr>
              <w:t xml:space="preserve">POSIBLES </w:t>
            </w:r>
            <w:r>
              <w:rPr>
                <w:rFonts w:ascii="Arial" w:hAnsi="Arial" w:cs="Arial"/>
                <w:sz w:val="16"/>
                <w:szCs w:val="16"/>
                <w:lang w:eastAsia="es-ES"/>
              </w:rPr>
              <w:t>ACCIONES PARA LA MEJORA DE LA CIRCULARIDAD Y PROPUESTA DE DOCUMENTACIÓN JUSTIFICATIVA</w:t>
            </w:r>
          </w:p>
        </w:tc>
      </w:tr>
      <w:tr w:rsidR="00482668">
        <w:trPr>
          <w:jc w:val="center"/>
        </w:trPr>
        <w:tc>
          <w:tcPr>
            <w:tcW w:w="5159" w:type="dxa"/>
            <w:gridSpan w:val="2"/>
            <w:tcBorders>
              <w:top w:val="single" w:sz="4" w:space="0" w:color="FFFFFF"/>
              <w:left w:val="single" w:sz="4" w:space="0" w:color="4BACC6"/>
              <w:bottom w:val="single" w:sz="4" w:space="0" w:color="FFFFFF"/>
              <w:right w:val="single" w:sz="4" w:space="0" w:color="FFFFFF"/>
            </w:tcBorders>
            <w:shd w:val="clear" w:color="auto" w:fill="4BACC6"/>
            <w:vAlign w:val="center"/>
          </w:tcPr>
          <w:p w:rsidR="00482668" w:rsidRDefault="00762B21">
            <w:pPr>
              <w:widowControl w:val="0"/>
              <w:tabs>
                <w:tab w:val="left" w:pos="1553"/>
              </w:tabs>
              <w:jc w:val="center"/>
              <w:rPr>
                <w:rFonts w:ascii="Arial" w:hAnsi="Arial" w:cs="Arial"/>
                <w:sz w:val="16"/>
                <w:szCs w:val="16"/>
                <w:lang w:eastAsia="es-ES"/>
              </w:rPr>
            </w:pPr>
            <w:r>
              <w:rPr>
                <w:rFonts w:ascii="Arial" w:hAnsi="Arial" w:cs="Arial"/>
                <w:sz w:val="16"/>
                <w:szCs w:val="16"/>
                <w:lang w:eastAsia="es-ES"/>
              </w:rPr>
              <w:t>ISO 20887:2020</w:t>
            </w:r>
          </w:p>
        </w:tc>
        <w:tc>
          <w:tcPr>
            <w:tcW w:w="4348" w:type="dxa"/>
            <w:vMerge w:val="restart"/>
            <w:tcBorders>
              <w:top w:val="single" w:sz="4" w:space="0" w:color="FFFFFF"/>
              <w:left w:val="single" w:sz="4" w:space="0" w:color="FFFFFF"/>
              <w:bottom w:val="single" w:sz="4" w:space="0" w:color="4BACC6"/>
              <w:right w:val="single" w:sz="4" w:space="0" w:color="4BACC6"/>
            </w:tcBorders>
            <w:shd w:val="clear" w:color="auto" w:fill="4BACC6"/>
            <w:vAlign w:val="center"/>
          </w:tcPr>
          <w:p w:rsidR="00482668" w:rsidRDefault="00762B21">
            <w:pPr>
              <w:widowControl w:val="0"/>
              <w:tabs>
                <w:tab w:val="left" w:pos="1553"/>
              </w:tabs>
              <w:jc w:val="center"/>
              <w:rPr>
                <w:rFonts w:ascii="Arial" w:hAnsi="Arial" w:cs="Arial"/>
                <w:sz w:val="16"/>
                <w:szCs w:val="16"/>
                <w:lang w:eastAsia="es-ES"/>
              </w:rPr>
            </w:pPr>
            <w:r>
              <w:rPr>
                <w:rFonts w:ascii="Arial" w:hAnsi="Arial" w:cs="Arial"/>
                <w:sz w:val="16"/>
                <w:szCs w:val="16"/>
                <w:lang w:eastAsia="es-ES"/>
              </w:rPr>
              <w:t>Propuesta de documentación indicativa para justificar las acciones contempladas en cada fase</w:t>
            </w:r>
          </w:p>
        </w:tc>
      </w:tr>
      <w:tr w:rsidR="00482668">
        <w:trPr>
          <w:jc w:val="center"/>
        </w:trPr>
        <w:tc>
          <w:tcPr>
            <w:tcW w:w="1523" w:type="dxa"/>
            <w:tcBorders>
              <w:top w:val="single" w:sz="4" w:space="0" w:color="FFFFFF"/>
              <w:left w:val="single" w:sz="4" w:space="0" w:color="4BACC6"/>
              <w:bottom w:val="single" w:sz="4" w:space="0" w:color="4BACC6"/>
              <w:right w:val="single" w:sz="4" w:space="0" w:color="FFFFFF"/>
            </w:tcBorders>
            <w:shd w:val="clear" w:color="auto" w:fill="4BACC6"/>
          </w:tcPr>
          <w:p w:rsidR="00482668" w:rsidRDefault="00762B21">
            <w:pPr>
              <w:widowControl w:val="0"/>
              <w:tabs>
                <w:tab w:val="left" w:pos="1553"/>
              </w:tabs>
              <w:jc w:val="center"/>
              <w:rPr>
                <w:rFonts w:ascii="Arial" w:hAnsi="Arial" w:cs="Arial"/>
                <w:sz w:val="16"/>
                <w:szCs w:val="16"/>
                <w:lang w:eastAsia="es-ES"/>
              </w:rPr>
            </w:pPr>
            <w:r>
              <w:rPr>
                <w:rFonts w:ascii="Arial" w:hAnsi="Arial" w:cs="Arial"/>
                <w:sz w:val="16"/>
                <w:szCs w:val="16"/>
                <w:lang w:eastAsia="es-ES"/>
              </w:rPr>
              <w:t>FASE</w:t>
            </w:r>
          </w:p>
        </w:tc>
        <w:tc>
          <w:tcPr>
            <w:tcW w:w="3636" w:type="dxa"/>
            <w:tcBorders>
              <w:top w:val="single" w:sz="4" w:space="0" w:color="FFFFFF"/>
              <w:left w:val="single" w:sz="4" w:space="0" w:color="FFFFFF"/>
              <w:bottom w:val="single" w:sz="4" w:space="0" w:color="4BACC6"/>
              <w:right w:val="single" w:sz="4" w:space="0" w:color="FFFFFF"/>
            </w:tcBorders>
            <w:shd w:val="clear" w:color="auto" w:fill="4BACC6"/>
          </w:tcPr>
          <w:p w:rsidR="00482668" w:rsidRDefault="00762B21">
            <w:pPr>
              <w:widowControl w:val="0"/>
              <w:tabs>
                <w:tab w:val="left" w:pos="1553"/>
              </w:tabs>
              <w:jc w:val="center"/>
              <w:rPr>
                <w:rFonts w:ascii="Arial" w:hAnsi="Arial" w:cs="Arial"/>
                <w:sz w:val="16"/>
                <w:szCs w:val="16"/>
                <w:lang w:eastAsia="es-ES"/>
              </w:rPr>
            </w:pPr>
            <w:r>
              <w:rPr>
                <w:rFonts w:ascii="Arial" w:hAnsi="Arial" w:cs="Arial"/>
                <w:sz w:val="16"/>
                <w:szCs w:val="16"/>
                <w:lang w:eastAsia="es-ES"/>
              </w:rPr>
              <w:t>Acciones contempladas</w:t>
            </w:r>
          </w:p>
        </w:tc>
        <w:tc>
          <w:tcPr>
            <w:tcW w:w="4348" w:type="dxa"/>
            <w:vMerge/>
            <w:tcBorders>
              <w:top w:val="single" w:sz="4" w:space="0" w:color="FFFFFF"/>
              <w:left w:val="single" w:sz="4" w:space="0" w:color="FFFFFF"/>
              <w:bottom w:val="single" w:sz="4" w:space="0" w:color="4BACC6"/>
              <w:right w:val="single" w:sz="4" w:space="0" w:color="4BACC6"/>
            </w:tcBorders>
            <w:shd w:val="clear" w:color="auto" w:fill="4BACC6"/>
            <w:vAlign w:val="center"/>
          </w:tcPr>
          <w:p w:rsidR="00482668" w:rsidRDefault="00482668">
            <w:pPr>
              <w:widowControl w:val="0"/>
            </w:pPr>
          </w:p>
        </w:tc>
      </w:tr>
      <w:tr w:rsidR="00482668">
        <w:trPr>
          <w:trHeight w:val="1084"/>
          <w:jc w:val="center"/>
        </w:trPr>
        <w:tc>
          <w:tcPr>
            <w:tcW w:w="1523" w:type="dxa"/>
            <w:vMerge w:val="restart"/>
            <w:tcBorders>
              <w:top w:val="single" w:sz="4" w:space="0" w:color="4BACC6"/>
              <w:left w:val="single" w:sz="4" w:space="0" w:color="4BACC6"/>
              <w:bottom w:val="single" w:sz="4" w:space="0" w:color="4BACC6"/>
              <w:right w:val="single" w:sz="4" w:space="0" w:color="4BACC6"/>
            </w:tcBorders>
          </w:tcPr>
          <w:p w:rsidR="00482668" w:rsidRDefault="00762B21">
            <w:pPr>
              <w:widowControl w:val="0"/>
              <w:rPr>
                <w:rFonts w:ascii="Arial" w:hAnsi="Arial" w:cs="Arial"/>
                <w:b/>
                <w:bCs/>
                <w:sz w:val="16"/>
                <w:szCs w:val="16"/>
                <w:lang w:eastAsia="es-ES"/>
              </w:rPr>
            </w:pPr>
            <w:r>
              <w:rPr>
                <w:rFonts w:ascii="Arial" w:hAnsi="Arial" w:cs="Arial"/>
                <w:b/>
                <w:bCs/>
                <w:sz w:val="16"/>
                <w:szCs w:val="16"/>
                <w:lang w:eastAsia="es-ES"/>
              </w:rPr>
              <w:t>PROYECTO</w:t>
            </w:r>
          </w:p>
          <w:p w:rsidR="00482668" w:rsidRDefault="00482668">
            <w:pPr>
              <w:widowControl w:val="0"/>
              <w:tabs>
                <w:tab w:val="left" w:pos="1553"/>
              </w:tabs>
              <w:ind w:left="360"/>
              <w:contextualSpacing/>
              <w:rPr>
                <w:rFonts w:ascii="Arial" w:hAnsi="Arial" w:cs="Arial"/>
                <w:b/>
                <w:bCs/>
                <w:sz w:val="16"/>
                <w:szCs w:val="16"/>
                <w:lang w:eastAsia="es-ES" w:bidi="gu-IN"/>
              </w:rPr>
            </w:pPr>
          </w:p>
        </w:tc>
        <w:tc>
          <w:tcPr>
            <w:tcW w:w="3636" w:type="dxa"/>
            <w:tcBorders>
              <w:top w:val="single" w:sz="4" w:space="0" w:color="4BACC6"/>
              <w:left w:val="single" w:sz="4" w:space="0" w:color="4BACC6"/>
              <w:bottom w:val="single" w:sz="4" w:space="0" w:color="009CC4"/>
              <w:right w:val="single" w:sz="4" w:space="0" w:color="4BACC6"/>
            </w:tcBorders>
          </w:tcPr>
          <w:p w:rsidR="00482668" w:rsidRDefault="00762B21">
            <w:pPr>
              <w:widowControl w:val="0"/>
              <w:spacing w:after="120"/>
              <w:contextualSpacing/>
              <w:rPr>
                <w:rFonts w:ascii="Arial" w:hAnsi="Arial" w:cs="Arial"/>
                <w:sz w:val="16"/>
                <w:szCs w:val="16"/>
                <w:lang w:eastAsia="es-ES"/>
              </w:rPr>
            </w:pPr>
            <w:r>
              <w:rPr>
                <w:rFonts w:ascii="Arial" w:hAnsi="Arial" w:cs="Arial"/>
                <w:sz w:val="16"/>
                <w:szCs w:val="16"/>
                <w:lang w:eastAsia="es-ES"/>
              </w:rPr>
              <w:t>Cumplimiento de los indicadores en cuando a desmontaje.</w:t>
            </w:r>
          </w:p>
          <w:p w:rsidR="00482668" w:rsidRDefault="00482668">
            <w:pPr>
              <w:widowControl w:val="0"/>
              <w:spacing w:after="120"/>
              <w:ind w:left="720"/>
              <w:contextualSpacing/>
              <w:rPr>
                <w:rFonts w:ascii="Arial" w:hAnsi="Arial" w:cs="Arial"/>
                <w:sz w:val="16"/>
                <w:szCs w:val="16"/>
                <w:lang w:eastAsia="es-ES"/>
              </w:rPr>
            </w:pPr>
          </w:p>
        </w:tc>
        <w:tc>
          <w:tcPr>
            <w:tcW w:w="4348" w:type="dxa"/>
            <w:tcBorders>
              <w:top w:val="single" w:sz="4" w:space="0" w:color="4BACC6"/>
              <w:left w:val="single" w:sz="4" w:space="0" w:color="4BACC6"/>
              <w:bottom w:val="single" w:sz="4" w:space="0" w:color="009CC4"/>
              <w:right w:val="single" w:sz="4" w:space="0" w:color="4BACC6"/>
            </w:tcBorders>
          </w:tcPr>
          <w:p w:rsidR="00482668" w:rsidRDefault="00762B21">
            <w:pPr>
              <w:widowControl w:val="0"/>
              <w:numPr>
                <w:ilvl w:val="0"/>
                <w:numId w:val="22"/>
              </w:numPr>
              <w:tabs>
                <w:tab w:val="left" w:pos="183"/>
              </w:tabs>
              <w:spacing w:after="100"/>
              <w:ind w:left="41" w:firstLine="0"/>
              <w:contextualSpacing/>
              <w:rPr>
                <w:rFonts w:ascii="Arial" w:hAnsi="Arial" w:cs="Arial"/>
                <w:sz w:val="16"/>
                <w:szCs w:val="16"/>
                <w:lang w:eastAsia="es-ES"/>
              </w:rPr>
            </w:pPr>
            <w:r>
              <w:rPr>
                <w:rFonts w:ascii="Arial" w:hAnsi="Arial" w:cs="Arial"/>
                <w:sz w:val="16"/>
                <w:szCs w:val="16"/>
                <w:lang w:eastAsia="es-ES"/>
              </w:rPr>
              <w:t>Evaluación de los principios de la capacidad de desmontaje con indicadores de diseño DfD/A (Anexo C de la ISO 20887:2020)</w:t>
            </w:r>
          </w:p>
          <w:p w:rsidR="00482668" w:rsidRDefault="00762B21">
            <w:pPr>
              <w:widowControl w:val="0"/>
              <w:numPr>
                <w:ilvl w:val="0"/>
                <w:numId w:val="22"/>
              </w:numPr>
              <w:tabs>
                <w:tab w:val="left" w:pos="183"/>
              </w:tabs>
              <w:spacing w:after="100"/>
              <w:ind w:left="41" w:firstLine="0"/>
              <w:contextualSpacing/>
              <w:rPr>
                <w:rFonts w:ascii="Arial" w:hAnsi="Arial" w:cs="Arial"/>
                <w:sz w:val="16"/>
                <w:szCs w:val="16"/>
                <w:lang w:eastAsia="es-ES"/>
              </w:rPr>
            </w:pPr>
            <w:r>
              <w:rPr>
                <w:rFonts w:ascii="Arial" w:hAnsi="Arial" w:cs="Arial"/>
                <w:sz w:val="16"/>
                <w:szCs w:val="16"/>
                <w:lang w:eastAsia="es-ES"/>
              </w:rPr>
              <w:t>Proyecto ejecutivo con detalles técnicos y especificaciones.</w:t>
            </w:r>
          </w:p>
        </w:tc>
      </w:tr>
      <w:tr w:rsidR="00482668">
        <w:trPr>
          <w:trHeight w:val="421"/>
          <w:jc w:val="center"/>
        </w:trPr>
        <w:tc>
          <w:tcPr>
            <w:tcW w:w="1523" w:type="dxa"/>
            <w:vMerge/>
            <w:tcBorders>
              <w:top w:val="single" w:sz="4" w:space="0" w:color="4BACC6"/>
              <w:left w:val="single" w:sz="4" w:space="0" w:color="4BACC6"/>
              <w:bottom w:val="single" w:sz="4" w:space="0" w:color="4BACC6"/>
              <w:right w:val="single" w:sz="4" w:space="0" w:color="4BACC6"/>
            </w:tcBorders>
          </w:tcPr>
          <w:p w:rsidR="00482668" w:rsidRDefault="00482668">
            <w:pPr>
              <w:widowControl w:val="0"/>
            </w:pPr>
          </w:p>
        </w:tc>
        <w:tc>
          <w:tcPr>
            <w:tcW w:w="3636" w:type="dxa"/>
            <w:tcBorders>
              <w:top w:val="single" w:sz="4" w:space="0" w:color="009CC4"/>
              <w:left w:val="single" w:sz="4" w:space="0" w:color="4BACC6"/>
              <w:bottom w:val="single" w:sz="4" w:space="0" w:color="009CC4"/>
              <w:right w:val="single" w:sz="4" w:space="0" w:color="4BACC6"/>
            </w:tcBorders>
          </w:tcPr>
          <w:p w:rsidR="00482668" w:rsidRDefault="00762B21">
            <w:pPr>
              <w:widowControl w:val="0"/>
              <w:spacing w:after="120"/>
              <w:contextualSpacing/>
              <w:rPr>
                <w:rFonts w:ascii="Arial" w:hAnsi="Arial" w:cs="Arial"/>
                <w:sz w:val="16"/>
                <w:szCs w:val="16"/>
                <w:lang w:eastAsia="es-ES"/>
              </w:rPr>
            </w:pPr>
            <w:r>
              <w:rPr>
                <w:rFonts w:ascii="Arial" w:hAnsi="Arial" w:cs="Arial"/>
                <w:sz w:val="16"/>
                <w:szCs w:val="16"/>
                <w:lang w:eastAsia="es-ES"/>
              </w:rPr>
              <w:t>Diseño de estrategias de desmontaje.</w:t>
            </w:r>
          </w:p>
        </w:tc>
        <w:tc>
          <w:tcPr>
            <w:tcW w:w="4348" w:type="dxa"/>
            <w:tcBorders>
              <w:top w:val="single" w:sz="4" w:space="0" w:color="009CC4"/>
              <w:left w:val="single" w:sz="4" w:space="0" w:color="4BACC6"/>
              <w:bottom w:val="single" w:sz="4" w:space="0" w:color="009CC4"/>
              <w:right w:val="single" w:sz="4" w:space="0" w:color="4BACC6"/>
            </w:tcBorders>
          </w:tcPr>
          <w:p w:rsidR="00482668" w:rsidRDefault="00762B21">
            <w:pPr>
              <w:widowControl w:val="0"/>
              <w:numPr>
                <w:ilvl w:val="0"/>
                <w:numId w:val="22"/>
              </w:numPr>
              <w:tabs>
                <w:tab w:val="left" w:pos="183"/>
              </w:tabs>
              <w:spacing w:after="100"/>
              <w:ind w:left="41" w:firstLine="0"/>
              <w:contextualSpacing/>
              <w:rPr>
                <w:rFonts w:ascii="Arial" w:hAnsi="Arial" w:cs="Arial"/>
                <w:sz w:val="16"/>
                <w:szCs w:val="16"/>
                <w:lang w:eastAsia="es-ES"/>
              </w:rPr>
            </w:pPr>
            <w:r>
              <w:rPr>
                <w:rFonts w:ascii="Arial" w:hAnsi="Arial" w:cs="Arial"/>
                <w:sz w:val="16"/>
                <w:szCs w:val="16"/>
                <w:lang w:eastAsia="es-ES"/>
              </w:rPr>
              <w:t>Manual de desmontaje. Instrucciones de uso (Libro del Edificio).</w:t>
            </w:r>
          </w:p>
        </w:tc>
      </w:tr>
      <w:tr w:rsidR="00482668">
        <w:trPr>
          <w:trHeight w:val="1266"/>
          <w:jc w:val="center"/>
        </w:trPr>
        <w:tc>
          <w:tcPr>
            <w:tcW w:w="1523" w:type="dxa"/>
            <w:vMerge/>
            <w:tcBorders>
              <w:top w:val="single" w:sz="4" w:space="0" w:color="4BACC6"/>
              <w:left w:val="single" w:sz="4" w:space="0" w:color="4BACC6"/>
              <w:bottom w:val="single" w:sz="4" w:space="0" w:color="4BACC6"/>
              <w:right w:val="single" w:sz="4" w:space="0" w:color="4BACC6"/>
            </w:tcBorders>
          </w:tcPr>
          <w:p w:rsidR="00482668" w:rsidRDefault="00482668">
            <w:pPr>
              <w:widowControl w:val="0"/>
            </w:pPr>
          </w:p>
        </w:tc>
        <w:tc>
          <w:tcPr>
            <w:tcW w:w="3636" w:type="dxa"/>
            <w:tcBorders>
              <w:top w:val="single" w:sz="4" w:space="0" w:color="009CC4"/>
              <w:left w:val="single" w:sz="4" w:space="0" w:color="4BACC6"/>
              <w:bottom w:val="single" w:sz="4" w:space="0" w:color="009CC4"/>
              <w:right w:val="single" w:sz="4" w:space="0" w:color="4BACC6"/>
            </w:tcBorders>
          </w:tcPr>
          <w:p w:rsidR="00482668" w:rsidRDefault="00762B21">
            <w:pPr>
              <w:widowControl w:val="0"/>
              <w:spacing w:after="120"/>
              <w:contextualSpacing/>
              <w:rPr>
                <w:rFonts w:ascii="Arial" w:hAnsi="Arial" w:cs="Arial"/>
                <w:sz w:val="16"/>
                <w:szCs w:val="16"/>
                <w:lang w:eastAsia="es-ES"/>
              </w:rPr>
            </w:pPr>
            <w:r>
              <w:rPr>
                <w:rFonts w:ascii="Arial" w:hAnsi="Arial" w:cs="Arial"/>
                <w:sz w:val="16"/>
                <w:szCs w:val="16"/>
                <w:lang w:eastAsia="es-ES"/>
              </w:rPr>
              <w:t>Asegurar la trazabilidad de los materiales y elementos utilizados.</w:t>
            </w:r>
          </w:p>
          <w:p w:rsidR="00482668" w:rsidRDefault="00482668">
            <w:pPr>
              <w:widowControl w:val="0"/>
              <w:tabs>
                <w:tab w:val="left" w:pos="567"/>
              </w:tabs>
              <w:spacing w:after="100"/>
              <w:ind w:hanging="360"/>
              <w:contextualSpacing/>
              <w:rPr>
                <w:rFonts w:ascii="Arial" w:hAnsi="Arial" w:cs="Arial"/>
                <w:sz w:val="16"/>
                <w:szCs w:val="16"/>
                <w:lang w:eastAsia="es-ES"/>
              </w:rPr>
            </w:pPr>
          </w:p>
        </w:tc>
        <w:tc>
          <w:tcPr>
            <w:tcW w:w="4348" w:type="dxa"/>
            <w:tcBorders>
              <w:top w:val="single" w:sz="4" w:space="0" w:color="009CC4"/>
              <w:left w:val="single" w:sz="4" w:space="0" w:color="4BACC6"/>
              <w:bottom w:val="single" w:sz="4" w:space="0" w:color="009CC4"/>
              <w:right w:val="single" w:sz="4" w:space="0" w:color="4BACC6"/>
            </w:tcBorders>
          </w:tcPr>
          <w:p w:rsidR="00482668" w:rsidRDefault="00762B21">
            <w:pPr>
              <w:widowControl w:val="0"/>
              <w:numPr>
                <w:ilvl w:val="0"/>
                <w:numId w:val="22"/>
              </w:numPr>
              <w:tabs>
                <w:tab w:val="left" w:pos="183"/>
              </w:tabs>
              <w:spacing w:after="100"/>
              <w:ind w:left="41" w:firstLine="0"/>
              <w:contextualSpacing/>
              <w:rPr>
                <w:rFonts w:ascii="Arial" w:hAnsi="Arial" w:cs="Arial"/>
                <w:sz w:val="16"/>
                <w:szCs w:val="16"/>
                <w:lang w:eastAsia="es-ES"/>
              </w:rPr>
            </w:pPr>
            <w:r>
              <w:rPr>
                <w:rFonts w:ascii="Arial" w:hAnsi="Arial" w:cs="Arial"/>
                <w:sz w:val="16"/>
                <w:szCs w:val="16"/>
                <w:lang w:eastAsia="es-ES"/>
              </w:rPr>
              <w:t>Ficha o pasaporte del material con datos técnicos, proveedores, información sobre su origen, posibles usos y propuestas de valorización al final de la vida útil del activo.</w:t>
            </w:r>
          </w:p>
          <w:p w:rsidR="00482668" w:rsidRDefault="00762B21">
            <w:pPr>
              <w:widowControl w:val="0"/>
              <w:numPr>
                <w:ilvl w:val="0"/>
                <w:numId w:val="22"/>
              </w:numPr>
              <w:tabs>
                <w:tab w:val="left" w:pos="183"/>
              </w:tabs>
              <w:spacing w:after="100"/>
              <w:ind w:left="41" w:firstLine="0"/>
              <w:contextualSpacing/>
              <w:rPr>
                <w:rFonts w:ascii="Arial" w:hAnsi="Arial" w:cs="Arial"/>
                <w:sz w:val="16"/>
                <w:szCs w:val="16"/>
                <w:lang w:eastAsia="es-ES"/>
              </w:rPr>
            </w:pPr>
            <w:r>
              <w:rPr>
                <w:rFonts w:ascii="Arial" w:hAnsi="Arial" w:cs="Arial"/>
                <w:sz w:val="16"/>
                <w:szCs w:val="16"/>
                <w:lang w:eastAsia="es-ES"/>
              </w:rPr>
              <w:t>Inclusión de sistemas de identificación directos: códigos de barras, RFID o similar.</w:t>
            </w:r>
          </w:p>
        </w:tc>
      </w:tr>
      <w:tr w:rsidR="00482668">
        <w:trPr>
          <w:trHeight w:val="210"/>
          <w:jc w:val="center"/>
        </w:trPr>
        <w:tc>
          <w:tcPr>
            <w:tcW w:w="1523" w:type="dxa"/>
            <w:vMerge/>
            <w:tcBorders>
              <w:top w:val="single" w:sz="4" w:space="0" w:color="4BACC6"/>
              <w:left w:val="single" w:sz="4" w:space="0" w:color="4BACC6"/>
              <w:bottom w:val="single" w:sz="4" w:space="0" w:color="4BACC6"/>
              <w:right w:val="single" w:sz="4" w:space="0" w:color="4BACC6"/>
            </w:tcBorders>
          </w:tcPr>
          <w:p w:rsidR="00482668" w:rsidRDefault="00482668">
            <w:pPr>
              <w:widowControl w:val="0"/>
            </w:pPr>
          </w:p>
        </w:tc>
        <w:tc>
          <w:tcPr>
            <w:tcW w:w="3636" w:type="dxa"/>
            <w:tcBorders>
              <w:top w:val="single" w:sz="4" w:space="0" w:color="009CC4"/>
              <w:left w:val="single" w:sz="4" w:space="0" w:color="4BACC6"/>
              <w:bottom w:val="single" w:sz="4" w:space="0" w:color="009CC4"/>
              <w:right w:val="single" w:sz="4" w:space="0" w:color="4BACC6"/>
            </w:tcBorders>
          </w:tcPr>
          <w:p w:rsidR="00482668" w:rsidRDefault="00762B21">
            <w:pPr>
              <w:widowControl w:val="0"/>
              <w:spacing w:after="120"/>
              <w:contextualSpacing/>
              <w:rPr>
                <w:rFonts w:ascii="Arial" w:hAnsi="Arial" w:cs="Arial"/>
                <w:sz w:val="16"/>
                <w:szCs w:val="16"/>
                <w:lang w:eastAsia="es-ES"/>
              </w:rPr>
            </w:pPr>
            <w:r>
              <w:rPr>
                <w:rFonts w:ascii="Arial" w:hAnsi="Arial" w:cs="Arial"/>
                <w:sz w:val="16"/>
                <w:szCs w:val="16"/>
                <w:lang w:eastAsia="es-ES"/>
              </w:rPr>
              <w:t>Describir el correcto mantenimiento del edificio.</w:t>
            </w:r>
          </w:p>
        </w:tc>
        <w:tc>
          <w:tcPr>
            <w:tcW w:w="4348" w:type="dxa"/>
            <w:tcBorders>
              <w:top w:val="single" w:sz="4" w:space="0" w:color="009CC4"/>
              <w:left w:val="single" w:sz="4" w:space="0" w:color="4BACC6"/>
              <w:bottom w:val="single" w:sz="4" w:space="0" w:color="009CC4"/>
              <w:right w:val="single" w:sz="4" w:space="0" w:color="4BACC6"/>
            </w:tcBorders>
          </w:tcPr>
          <w:p w:rsidR="00482668" w:rsidRDefault="00762B21">
            <w:pPr>
              <w:widowControl w:val="0"/>
              <w:numPr>
                <w:ilvl w:val="0"/>
                <w:numId w:val="22"/>
              </w:numPr>
              <w:tabs>
                <w:tab w:val="left" w:pos="183"/>
              </w:tabs>
              <w:spacing w:after="100"/>
              <w:ind w:left="41" w:firstLine="0"/>
              <w:contextualSpacing/>
              <w:rPr>
                <w:rFonts w:ascii="Arial" w:hAnsi="Arial" w:cs="Arial"/>
                <w:sz w:val="16"/>
                <w:szCs w:val="16"/>
                <w:lang w:eastAsia="es-ES"/>
              </w:rPr>
            </w:pPr>
            <w:r>
              <w:rPr>
                <w:rFonts w:ascii="Arial" w:hAnsi="Arial" w:cs="Arial"/>
                <w:sz w:val="16"/>
                <w:szCs w:val="16"/>
                <w:lang w:eastAsia="es-ES"/>
              </w:rPr>
              <w:t>Plan de mantenimiento en el Libro del Edificio.</w:t>
            </w:r>
          </w:p>
        </w:tc>
      </w:tr>
      <w:tr w:rsidR="00482668">
        <w:trPr>
          <w:trHeight w:val="710"/>
          <w:jc w:val="center"/>
        </w:trPr>
        <w:tc>
          <w:tcPr>
            <w:tcW w:w="1523" w:type="dxa"/>
            <w:vMerge/>
            <w:tcBorders>
              <w:top w:val="single" w:sz="4" w:space="0" w:color="4BACC6"/>
              <w:left w:val="single" w:sz="4" w:space="0" w:color="4BACC6"/>
              <w:bottom w:val="single" w:sz="4" w:space="0" w:color="4BACC6"/>
              <w:right w:val="single" w:sz="4" w:space="0" w:color="4BACC6"/>
            </w:tcBorders>
          </w:tcPr>
          <w:p w:rsidR="00482668" w:rsidRDefault="00482668">
            <w:pPr>
              <w:widowControl w:val="0"/>
            </w:pPr>
          </w:p>
        </w:tc>
        <w:tc>
          <w:tcPr>
            <w:tcW w:w="3636" w:type="dxa"/>
            <w:tcBorders>
              <w:top w:val="single" w:sz="4" w:space="0" w:color="009CC4"/>
              <w:left w:val="single" w:sz="4" w:space="0" w:color="4BACC6"/>
              <w:bottom w:val="single" w:sz="4" w:space="0" w:color="4BACC6"/>
              <w:right w:val="single" w:sz="4" w:space="0" w:color="4BACC6"/>
            </w:tcBorders>
          </w:tcPr>
          <w:p w:rsidR="00482668" w:rsidRDefault="00762B21">
            <w:pPr>
              <w:widowControl w:val="0"/>
              <w:spacing w:after="120"/>
              <w:contextualSpacing/>
              <w:rPr>
                <w:rFonts w:ascii="Arial" w:hAnsi="Arial" w:cs="Arial"/>
                <w:sz w:val="16"/>
                <w:szCs w:val="16"/>
                <w:lang w:eastAsia="es-ES"/>
              </w:rPr>
            </w:pPr>
            <w:r>
              <w:rPr>
                <w:rFonts w:ascii="Arial" w:hAnsi="Arial" w:cs="Arial"/>
                <w:sz w:val="16"/>
                <w:szCs w:val="16"/>
                <w:lang w:eastAsia="es-ES"/>
              </w:rPr>
              <w:t>Asegurar la correcta gestión de la información y su traspaso normalizado a los agentes de la construcción.</w:t>
            </w:r>
          </w:p>
        </w:tc>
        <w:tc>
          <w:tcPr>
            <w:tcW w:w="4348" w:type="dxa"/>
            <w:tcBorders>
              <w:top w:val="single" w:sz="4" w:space="0" w:color="009CC4"/>
              <w:left w:val="single" w:sz="4" w:space="0" w:color="4BACC6"/>
              <w:bottom w:val="single" w:sz="4" w:space="0" w:color="4BACC6"/>
              <w:right w:val="single" w:sz="4" w:space="0" w:color="4BACC6"/>
            </w:tcBorders>
          </w:tcPr>
          <w:p w:rsidR="00482668" w:rsidRDefault="00762B21">
            <w:pPr>
              <w:widowControl w:val="0"/>
              <w:numPr>
                <w:ilvl w:val="0"/>
                <w:numId w:val="22"/>
              </w:numPr>
              <w:tabs>
                <w:tab w:val="left" w:pos="183"/>
              </w:tabs>
              <w:spacing w:after="100"/>
              <w:ind w:left="41" w:firstLine="0"/>
              <w:contextualSpacing/>
              <w:rPr>
                <w:rFonts w:ascii="Arial" w:hAnsi="Arial" w:cs="Arial"/>
                <w:sz w:val="16"/>
                <w:szCs w:val="16"/>
                <w:lang w:eastAsia="es-ES"/>
              </w:rPr>
            </w:pPr>
            <w:r>
              <w:rPr>
                <w:rFonts w:ascii="Arial" w:hAnsi="Arial" w:cs="Arial"/>
                <w:sz w:val="16"/>
                <w:szCs w:val="16"/>
                <w:lang w:eastAsia="es-ES"/>
              </w:rPr>
              <w:t>Procedimiento de gestión de la información a lo largo de la vida útil del edificio.</w:t>
            </w:r>
          </w:p>
          <w:p w:rsidR="00482668" w:rsidRDefault="00762B21">
            <w:pPr>
              <w:widowControl w:val="0"/>
              <w:numPr>
                <w:ilvl w:val="0"/>
                <w:numId w:val="22"/>
              </w:numPr>
              <w:tabs>
                <w:tab w:val="left" w:pos="183"/>
              </w:tabs>
              <w:spacing w:after="100"/>
              <w:ind w:left="41" w:firstLine="0"/>
              <w:contextualSpacing/>
              <w:rPr>
                <w:rFonts w:ascii="Arial" w:hAnsi="Arial" w:cs="Arial"/>
                <w:sz w:val="16"/>
                <w:szCs w:val="16"/>
                <w:lang w:eastAsia="es-ES"/>
              </w:rPr>
            </w:pPr>
            <w:r>
              <w:rPr>
                <w:rFonts w:ascii="Arial" w:hAnsi="Arial" w:cs="Arial"/>
                <w:sz w:val="16"/>
                <w:szCs w:val="16"/>
                <w:lang w:eastAsia="es-ES"/>
              </w:rPr>
              <w:t>Modelo BIM con la información requerida</w:t>
            </w:r>
          </w:p>
        </w:tc>
      </w:tr>
      <w:tr w:rsidR="00482668">
        <w:trPr>
          <w:trHeight w:val="486"/>
          <w:jc w:val="center"/>
        </w:trPr>
        <w:tc>
          <w:tcPr>
            <w:tcW w:w="1523" w:type="dxa"/>
            <w:vMerge w:val="restart"/>
            <w:tcBorders>
              <w:top w:val="single" w:sz="4" w:space="0" w:color="4BACC6"/>
              <w:left w:val="single" w:sz="4" w:space="0" w:color="4BACC6"/>
              <w:bottom w:val="single" w:sz="4" w:space="0" w:color="4BACC6"/>
              <w:right w:val="single" w:sz="4" w:space="0" w:color="4BACC6"/>
            </w:tcBorders>
          </w:tcPr>
          <w:p w:rsidR="00482668" w:rsidRDefault="00762B21">
            <w:pPr>
              <w:widowControl w:val="0"/>
              <w:rPr>
                <w:rFonts w:ascii="Arial" w:hAnsi="Arial" w:cs="Arial"/>
                <w:b/>
                <w:bCs/>
                <w:sz w:val="16"/>
                <w:szCs w:val="16"/>
                <w:lang w:eastAsia="es-ES"/>
              </w:rPr>
            </w:pPr>
            <w:r>
              <w:rPr>
                <w:rFonts w:ascii="Arial" w:hAnsi="Arial" w:cs="Arial"/>
                <w:b/>
                <w:bCs/>
                <w:sz w:val="16"/>
                <w:szCs w:val="16"/>
                <w:lang w:eastAsia="es-ES"/>
              </w:rPr>
              <w:t>CONSTRUCCIÓN</w:t>
            </w:r>
          </w:p>
        </w:tc>
        <w:tc>
          <w:tcPr>
            <w:tcW w:w="3636" w:type="dxa"/>
            <w:tcBorders>
              <w:top w:val="single" w:sz="4" w:space="0" w:color="4BACC6"/>
              <w:left w:val="single" w:sz="4" w:space="0" w:color="4BACC6"/>
              <w:bottom w:val="single" w:sz="4" w:space="0" w:color="009CC4"/>
              <w:right w:val="single" w:sz="4" w:space="0" w:color="4BACC6"/>
            </w:tcBorders>
          </w:tcPr>
          <w:p w:rsidR="00482668" w:rsidRDefault="00762B21">
            <w:pPr>
              <w:widowControl w:val="0"/>
              <w:spacing w:after="120"/>
              <w:contextualSpacing/>
              <w:rPr>
                <w:rFonts w:ascii="Arial" w:hAnsi="Arial" w:cs="Arial"/>
                <w:sz w:val="16"/>
                <w:szCs w:val="16"/>
                <w:lang w:eastAsia="es-ES"/>
              </w:rPr>
            </w:pPr>
            <w:r>
              <w:rPr>
                <w:rFonts w:ascii="Arial" w:hAnsi="Arial" w:cs="Arial"/>
                <w:sz w:val="16"/>
                <w:szCs w:val="16"/>
                <w:lang w:eastAsia="es-ES"/>
              </w:rPr>
              <w:t>Gestión de las ordenes de cambio que favorezcan los objetivos de la circularidad.</w:t>
            </w:r>
          </w:p>
        </w:tc>
        <w:tc>
          <w:tcPr>
            <w:tcW w:w="4348" w:type="dxa"/>
            <w:tcBorders>
              <w:top w:val="single" w:sz="4" w:space="0" w:color="4BACC6"/>
              <w:left w:val="single" w:sz="4" w:space="0" w:color="4BACC6"/>
              <w:bottom w:val="single" w:sz="4" w:space="0" w:color="009CC4"/>
              <w:right w:val="single" w:sz="4" w:space="0" w:color="4BACC6"/>
            </w:tcBorders>
          </w:tcPr>
          <w:p w:rsidR="00482668" w:rsidRDefault="00762B21">
            <w:pPr>
              <w:widowControl w:val="0"/>
              <w:numPr>
                <w:ilvl w:val="0"/>
                <w:numId w:val="22"/>
              </w:numPr>
              <w:tabs>
                <w:tab w:val="left" w:pos="183"/>
              </w:tabs>
              <w:spacing w:after="100"/>
              <w:ind w:left="41" w:firstLine="0"/>
              <w:contextualSpacing/>
              <w:rPr>
                <w:rFonts w:ascii="Arial" w:hAnsi="Arial" w:cs="Arial"/>
                <w:sz w:val="16"/>
                <w:szCs w:val="16"/>
                <w:lang w:val="en-US" w:eastAsia="es-ES"/>
              </w:rPr>
            </w:pPr>
            <w:r>
              <w:rPr>
                <w:rFonts w:ascii="Arial" w:hAnsi="Arial" w:cs="Arial"/>
                <w:sz w:val="16"/>
                <w:szCs w:val="16"/>
                <w:lang w:val="en-US" w:eastAsia="es-ES"/>
              </w:rPr>
              <w:t>Libro de órdenes.</w:t>
            </w:r>
          </w:p>
        </w:tc>
      </w:tr>
      <w:tr w:rsidR="00482668">
        <w:trPr>
          <w:trHeight w:val="331"/>
          <w:jc w:val="center"/>
        </w:trPr>
        <w:tc>
          <w:tcPr>
            <w:tcW w:w="1523" w:type="dxa"/>
            <w:vMerge/>
            <w:tcBorders>
              <w:top w:val="single" w:sz="4" w:space="0" w:color="4BACC6"/>
              <w:left w:val="single" w:sz="4" w:space="0" w:color="4BACC6"/>
              <w:bottom w:val="single" w:sz="4" w:space="0" w:color="4BACC6"/>
              <w:right w:val="single" w:sz="4" w:space="0" w:color="4BACC6"/>
            </w:tcBorders>
          </w:tcPr>
          <w:p w:rsidR="00482668" w:rsidRDefault="00482668">
            <w:pPr>
              <w:widowControl w:val="0"/>
            </w:pPr>
          </w:p>
        </w:tc>
        <w:tc>
          <w:tcPr>
            <w:tcW w:w="3636" w:type="dxa"/>
            <w:tcBorders>
              <w:top w:val="single" w:sz="4" w:space="0" w:color="009CC4"/>
              <w:left w:val="single" w:sz="4" w:space="0" w:color="4BACC6"/>
              <w:bottom w:val="single" w:sz="4" w:space="0" w:color="4BACC6"/>
              <w:right w:val="single" w:sz="4" w:space="0" w:color="4BACC6"/>
            </w:tcBorders>
          </w:tcPr>
          <w:p w:rsidR="00482668" w:rsidRDefault="00762B21">
            <w:pPr>
              <w:widowControl w:val="0"/>
              <w:spacing w:after="120"/>
              <w:contextualSpacing/>
              <w:rPr>
                <w:rFonts w:ascii="Arial" w:hAnsi="Arial" w:cs="Arial"/>
                <w:sz w:val="16"/>
                <w:szCs w:val="16"/>
                <w:lang w:eastAsia="es-ES"/>
              </w:rPr>
            </w:pPr>
            <w:r>
              <w:rPr>
                <w:rFonts w:ascii="Arial" w:hAnsi="Arial" w:cs="Arial"/>
                <w:sz w:val="16"/>
                <w:szCs w:val="16"/>
                <w:lang w:eastAsia="es-ES"/>
              </w:rPr>
              <w:t>Correcta gestión de la información</w:t>
            </w:r>
          </w:p>
        </w:tc>
        <w:tc>
          <w:tcPr>
            <w:tcW w:w="4348" w:type="dxa"/>
            <w:tcBorders>
              <w:top w:val="single" w:sz="4" w:space="0" w:color="009CC4"/>
              <w:left w:val="single" w:sz="4" w:space="0" w:color="4BACC6"/>
              <w:bottom w:val="single" w:sz="4" w:space="0" w:color="4BACC6"/>
              <w:right w:val="single" w:sz="4" w:space="0" w:color="4BACC6"/>
            </w:tcBorders>
          </w:tcPr>
          <w:p w:rsidR="00482668" w:rsidRDefault="00762B21">
            <w:pPr>
              <w:widowControl w:val="0"/>
              <w:numPr>
                <w:ilvl w:val="0"/>
                <w:numId w:val="22"/>
              </w:numPr>
              <w:tabs>
                <w:tab w:val="left" w:pos="183"/>
              </w:tabs>
              <w:spacing w:after="100"/>
              <w:ind w:left="41" w:firstLine="0"/>
              <w:contextualSpacing/>
              <w:rPr>
                <w:rFonts w:ascii="Arial" w:hAnsi="Arial" w:cs="Arial"/>
                <w:sz w:val="16"/>
                <w:szCs w:val="16"/>
                <w:lang w:eastAsia="es-ES"/>
              </w:rPr>
            </w:pPr>
            <w:r>
              <w:rPr>
                <w:rFonts w:ascii="Arial" w:hAnsi="Arial" w:cs="Arial"/>
                <w:sz w:val="16"/>
                <w:szCs w:val="16"/>
                <w:lang w:eastAsia="es-ES"/>
              </w:rPr>
              <w:t>As-built (Libro del Edificio)</w:t>
            </w:r>
          </w:p>
          <w:p w:rsidR="00482668" w:rsidRDefault="00762B21">
            <w:pPr>
              <w:widowControl w:val="0"/>
              <w:numPr>
                <w:ilvl w:val="0"/>
                <w:numId w:val="22"/>
              </w:numPr>
              <w:tabs>
                <w:tab w:val="left" w:pos="183"/>
              </w:tabs>
              <w:spacing w:after="100"/>
              <w:ind w:left="41" w:firstLine="0"/>
              <w:contextualSpacing/>
              <w:rPr>
                <w:rFonts w:ascii="Arial" w:hAnsi="Arial" w:cs="Arial"/>
                <w:sz w:val="16"/>
                <w:szCs w:val="16"/>
                <w:lang w:eastAsia="es-ES"/>
              </w:rPr>
            </w:pPr>
            <w:r>
              <w:rPr>
                <w:rFonts w:ascii="Arial" w:hAnsi="Arial" w:cs="Arial"/>
                <w:sz w:val="16"/>
                <w:szCs w:val="16"/>
                <w:lang w:eastAsia="es-ES"/>
              </w:rPr>
              <w:t>Modelo BIM actualizado (Modelo as-built)</w:t>
            </w:r>
          </w:p>
        </w:tc>
      </w:tr>
      <w:tr w:rsidR="00482668">
        <w:trPr>
          <w:trHeight w:val="785"/>
          <w:jc w:val="center"/>
        </w:trPr>
        <w:tc>
          <w:tcPr>
            <w:tcW w:w="1523" w:type="dxa"/>
            <w:vMerge w:val="restart"/>
            <w:tcBorders>
              <w:top w:val="single" w:sz="4" w:space="0" w:color="4BACC6"/>
              <w:left w:val="single" w:sz="4" w:space="0" w:color="4BACC6"/>
              <w:bottom w:val="single" w:sz="4" w:space="0" w:color="4BACC6"/>
              <w:right w:val="single" w:sz="4" w:space="0" w:color="4BACC6"/>
            </w:tcBorders>
          </w:tcPr>
          <w:p w:rsidR="00482668" w:rsidRDefault="00762B21">
            <w:pPr>
              <w:widowControl w:val="0"/>
              <w:rPr>
                <w:rFonts w:ascii="Arial" w:hAnsi="Arial" w:cs="Arial"/>
                <w:b/>
                <w:bCs/>
                <w:sz w:val="16"/>
                <w:szCs w:val="16"/>
                <w:lang w:eastAsia="es-ES"/>
              </w:rPr>
            </w:pPr>
            <w:r>
              <w:rPr>
                <w:rFonts w:ascii="Arial" w:hAnsi="Arial" w:cs="Arial"/>
                <w:b/>
                <w:bCs/>
                <w:sz w:val="16"/>
                <w:szCs w:val="16"/>
                <w:lang w:eastAsia="es-ES"/>
              </w:rPr>
              <w:t>USO</w:t>
            </w:r>
          </w:p>
        </w:tc>
        <w:tc>
          <w:tcPr>
            <w:tcW w:w="3636" w:type="dxa"/>
            <w:tcBorders>
              <w:top w:val="single" w:sz="4" w:space="0" w:color="4BACC6"/>
              <w:left w:val="single" w:sz="4" w:space="0" w:color="4BACC6"/>
              <w:bottom w:val="single" w:sz="4" w:space="0" w:color="4BACC6"/>
              <w:right w:val="single" w:sz="4" w:space="0" w:color="4BACC6"/>
            </w:tcBorders>
          </w:tcPr>
          <w:p w:rsidR="00482668" w:rsidRDefault="00762B21">
            <w:pPr>
              <w:widowControl w:val="0"/>
              <w:spacing w:after="120"/>
              <w:contextualSpacing/>
              <w:rPr>
                <w:rFonts w:ascii="Arial" w:hAnsi="Arial" w:cs="Arial"/>
                <w:sz w:val="16"/>
                <w:szCs w:val="16"/>
                <w:lang w:eastAsia="es-ES"/>
              </w:rPr>
            </w:pPr>
            <w:r>
              <w:rPr>
                <w:rFonts w:ascii="Arial" w:hAnsi="Arial" w:cs="Arial"/>
                <w:sz w:val="16"/>
                <w:szCs w:val="16"/>
                <w:lang w:eastAsia="es-ES"/>
              </w:rPr>
              <w:t>Cumplir con los procedimientos de mantenimiento.</w:t>
            </w:r>
          </w:p>
        </w:tc>
        <w:tc>
          <w:tcPr>
            <w:tcW w:w="4348" w:type="dxa"/>
            <w:tcBorders>
              <w:top w:val="single" w:sz="4" w:space="0" w:color="4BACC6"/>
              <w:left w:val="single" w:sz="4" w:space="0" w:color="4BACC6"/>
              <w:bottom w:val="single" w:sz="4" w:space="0" w:color="4BACC6"/>
              <w:right w:val="single" w:sz="4" w:space="0" w:color="4BACC6"/>
            </w:tcBorders>
          </w:tcPr>
          <w:p w:rsidR="00482668" w:rsidRDefault="00762B21">
            <w:pPr>
              <w:widowControl w:val="0"/>
              <w:numPr>
                <w:ilvl w:val="0"/>
                <w:numId w:val="22"/>
              </w:numPr>
              <w:tabs>
                <w:tab w:val="left" w:pos="183"/>
              </w:tabs>
              <w:spacing w:after="100"/>
              <w:ind w:left="41" w:firstLine="0"/>
              <w:contextualSpacing/>
              <w:rPr>
                <w:rFonts w:ascii="Arial" w:hAnsi="Arial" w:cs="Arial"/>
                <w:sz w:val="16"/>
                <w:szCs w:val="16"/>
                <w:lang w:eastAsia="es-ES"/>
              </w:rPr>
            </w:pPr>
            <w:r>
              <w:rPr>
                <w:rFonts w:ascii="Arial" w:hAnsi="Arial" w:cs="Arial"/>
                <w:sz w:val="16"/>
                <w:szCs w:val="16"/>
                <w:lang w:eastAsia="es-ES"/>
              </w:rPr>
              <w:t>Documentación sobre todas las intervenciones de reparación, reforma o rehabilitación realizadas sobre el edificio a lo largo de su vida útil (Libro del Edificio).</w:t>
            </w:r>
          </w:p>
        </w:tc>
      </w:tr>
      <w:tr w:rsidR="00482668">
        <w:trPr>
          <w:trHeight w:val="393"/>
          <w:jc w:val="center"/>
        </w:trPr>
        <w:tc>
          <w:tcPr>
            <w:tcW w:w="1523" w:type="dxa"/>
            <w:vMerge/>
            <w:tcBorders>
              <w:top w:val="single" w:sz="4" w:space="0" w:color="4BACC6"/>
              <w:left w:val="single" w:sz="4" w:space="0" w:color="4BACC6"/>
              <w:bottom w:val="single" w:sz="4" w:space="0" w:color="4BACC6"/>
              <w:right w:val="single" w:sz="4" w:space="0" w:color="4BACC6"/>
            </w:tcBorders>
          </w:tcPr>
          <w:p w:rsidR="00482668" w:rsidRDefault="00482668">
            <w:pPr>
              <w:widowControl w:val="0"/>
            </w:pPr>
          </w:p>
        </w:tc>
        <w:tc>
          <w:tcPr>
            <w:tcW w:w="3636" w:type="dxa"/>
            <w:tcBorders>
              <w:top w:val="single" w:sz="4" w:space="0" w:color="4BACC6"/>
              <w:left w:val="single" w:sz="4" w:space="0" w:color="4BACC6"/>
              <w:bottom w:val="single" w:sz="4" w:space="0" w:color="4BACC6"/>
              <w:right w:val="single" w:sz="4" w:space="0" w:color="4BACC6"/>
            </w:tcBorders>
          </w:tcPr>
          <w:p w:rsidR="00482668" w:rsidRDefault="00762B21">
            <w:pPr>
              <w:widowControl w:val="0"/>
              <w:spacing w:after="120"/>
              <w:contextualSpacing/>
              <w:rPr>
                <w:rFonts w:ascii="Arial" w:hAnsi="Arial" w:cs="Arial"/>
                <w:sz w:val="16"/>
                <w:szCs w:val="16"/>
                <w:lang w:eastAsia="es-ES"/>
              </w:rPr>
            </w:pPr>
            <w:r>
              <w:rPr>
                <w:rFonts w:ascii="Arial" w:hAnsi="Arial" w:cs="Arial"/>
                <w:sz w:val="16"/>
                <w:szCs w:val="16"/>
                <w:lang w:eastAsia="es-ES"/>
              </w:rPr>
              <w:t>Correcta gestión de la información.</w:t>
            </w:r>
          </w:p>
        </w:tc>
        <w:tc>
          <w:tcPr>
            <w:tcW w:w="4348" w:type="dxa"/>
            <w:tcBorders>
              <w:top w:val="single" w:sz="4" w:space="0" w:color="4BACC6"/>
              <w:left w:val="single" w:sz="4" w:space="0" w:color="4BACC6"/>
              <w:bottom w:val="single" w:sz="4" w:space="0" w:color="4BACC6"/>
              <w:right w:val="single" w:sz="4" w:space="0" w:color="4BACC6"/>
            </w:tcBorders>
          </w:tcPr>
          <w:p w:rsidR="00482668" w:rsidRDefault="00762B21">
            <w:pPr>
              <w:widowControl w:val="0"/>
              <w:numPr>
                <w:ilvl w:val="0"/>
                <w:numId w:val="22"/>
              </w:numPr>
              <w:tabs>
                <w:tab w:val="left" w:pos="183"/>
              </w:tabs>
              <w:spacing w:after="100"/>
              <w:ind w:left="41" w:firstLine="0"/>
              <w:contextualSpacing/>
              <w:rPr>
                <w:rFonts w:ascii="Arial" w:hAnsi="Arial" w:cs="Arial"/>
                <w:sz w:val="16"/>
                <w:szCs w:val="16"/>
                <w:lang w:eastAsia="es-ES"/>
              </w:rPr>
            </w:pPr>
            <w:r>
              <w:rPr>
                <w:rFonts w:ascii="Arial" w:hAnsi="Arial" w:cs="Arial"/>
                <w:sz w:val="16"/>
                <w:szCs w:val="16"/>
                <w:lang w:eastAsia="es-ES"/>
              </w:rPr>
              <w:t>Modelo BIM actualizado con las posibles modificaciones.</w:t>
            </w:r>
          </w:p>
        </w:tc>
      </w:tr>
      <w:tr w:rsidR="00482668">
        <w:trPr>
          <w:trHeight w:val="528"/>
          <w:jc w:val="center"/>
        </w:trPr>
        <w:tc>
          <w:tcPr>
            <w:tcW w:w="1523" w:type="dxa"/>
            <w:vMerge w:val="restart"/>
            <w:tcBorders>
              <w:top w:val="single" w:sz="4" w:space="0" w:color="4BACC6"/>
              <w:left w:val="single" w:sz="4" w:space="0" w:color="4BACC6"/>
              <w:bottom w:val="single" w:sz="4" w:space="0" w:color="4BACC6"/>
              <w:right w:val="single" w:sz="4" w:space="0" w:color="4BACC6"/>
            </w:tcBorders>
          </w:tcPr>
          <w:p w:rsidR="00482668" w:rsidRDefault="00762B21">
            <w:pPr>
              <w:widowControl w:val="0"/>
              <w:rPr>
                <w:rFonts w:ascii="Arial" w:hAnsi="Arial" w:cs="Arial"/>
                <w:b/>
                <w:bCs/>
                <w:sz w:val="16"/>
                <w:szCs w:val="16"/>
                <w:lang w:eastAsia="es-ES"/>
              </w:rPr>
            </w:pPr>
            <w:r>
              <w:rPr>
                <w:rFonts w:ascii="Arial" w:hAnsi="Arial" w:cs="Arial"/>
                <w:b/>
                <w:bCs/>
                <w:sz w:val="16"/>
                <w:szCs w:val="16"/>
                <w:lang w:eastAsia="es-ES"/>
              </w:rPr>
              <w:t>FIN DE LA VIDA ÚTIL</w:t>
            </w:r>
          </w:p>
        </w:tc>
        <w:tc>
          <w:tcPr>
            <w:tcW w:w="3636" w:type="dxa"/>
            <w:tcBorders>
              <w:top w:val="single" w:sz="4" w:space="0" w:color="4BACC6"/>
              <w:left w:val="single" w:sz="4" w:space="0" w:color="4BACC6"/>
              <w:bottom w:val="single" w:sz="4" w:space="0" w:color="4BACC6"/>
              <w:right w:val="single" w:sz="4" w:space="0" w:color="4BACC6"/>
            </w:tcBorders>
          </w:tcPr>
          <w:p w:rsidR="00482668" w:rsidRDefault="00762B21">
            <w:pPr>
              <w:widowControl w:val="0"/>
              <w:spacing w:after="120"/>
              <w:contextualSpacing/>
              <w:rPr>
                <w:rFonts w:ascii="Arial" w:hAnsi="Arial" w:cs="Arial"/>
                <w:sz w:val="16"/>
                <w:szCs w:val="16"/>
                <w:lang w:eastAsia="es-ES"/>
              </w:rPr>
            </w:pPr>
            <w:r>
              <w:rPr>
                <w:rFonts w:ascii="Arial" w:hAnsi="Arial" w:cs="Arial"/>
                <w:sz w:val="16"/>
                <w:szCs w:val="16"/>
                <w:lang w:eastAsia="es-ES"/>
              </w:rPr>
              <w:t>Formación de los agentes para llevar a cabo una correcta demolición/desmontaje.</w:t>
            </w:r>
          </w:p>
        </w:tc>
        <w:tc>
          <w:tcPr>
            <w:tcW w:w="4348" w:type="dxa"/>
            <w:tcBorders>
              <w:top w:val="single" w:sz="4" w:space="0" w:color="4BACC6"/>
              <w:left w:val="single" w:sz="4" w:space="0" w:color="4BACC6"/>
              <w:bottom w:val="single" w:sz="4" w:space="0" w:color="4BACC6"/>
              <w:right w:val="single" w:sz="4" w:space="0" w:color="4BACC6"/>
            </w:tcBorders>
          </w:tcPr>
          <w:p w:rsidR="00482668" w:rsidRDefault="00482668">
            <w:pPr>
              <w:widowControl w:val="0"/>
              <w:tabs>
                <w:tab w:val="left" w:pos="183"/>
              </w:tabs>
              <w:spacing w:after="120"/>
              <w:ind w:left="41"/>
              <w:contextualSpacing/>
              <w:rPr>
                <w:rFonts w:ascii="Arial" w:hAnsi="Arial" w:cs="Arial"/>
                <w:sz w:val="16"/>
                <w:szCs w:val="16"/>
                <w:lang w:eastAsia="es-ES"/>
              </w:rPr>
            </w:pPr>
          </w:p>
        </w:tc>
      </w:tr>
      <w:tr w:rsidR="00482668">
        <w:trPr>
          <w:trHeight w:val="619"/>
          <w:jc w:val="center"/>
        </w:trPr>
        <w:tc>
          <w:tcPr>
            <w:tcW w:w="1523" w:type="dxa"/>
            <w:vMerge/>
            <w:tcBorders>
              <w:top w:val="single" w:sz="4" w:space="0" w:color="4BACC6"/>
              <w:left w:val="single" w:sz="4" w:space="0" w:color="4BACC6"/>
              <w:bottom w:val="single" w:sz="4" w:space="0" w:color="4BACC6"/>
              <w:right w:val="single" w:sz="4" w:space="0" w:color="4BACC6"/>
            </w:tcBorders>
          </w:tcPr>
          <w:p w:rsidR="00482668" w:rsidRDefault="00482668">
            <w:pPr>
              <w:widowControl w:val="0"/>
            </w:pPr>
          </w:p>
        </w:tc>
        <w:tc>
          <w:tcPr>
            <w:tcW w:w="3636" w:type="dxa"/>
            <w:tcBorders>
              <w:top w:val="single" w:sz="4" w:space="0" w:color="4BACC6"/>
              <w:left w:val="single" w:sz="4" w:space="0" w:color="4BACC6"/>
              <w:bottom w:val="single" w:sz="4" w:space="0" w:color="4BACC6"/>
              <w:right w:val="single" w:sz="4" w:space="0" w:color="4BACC6"/>
            </w:tcBorders>
          </w:tcPr>
          <w:p w:rsidR="00482668" w:rsidRDefault="00762B21">
            <w:pPr>
              <w:widowControl w:val="0"/>
              <w:spacing w:after="120"/>
              <w:contextualSpacing/>
              <w:rPr>
                <w:rFonts w:ascii="Arial" w:hAnsi="Arial" w:cs="Arial"/>
                <w:sz w:val="16"/>
                <w:szCs w:val="16"/>
                <w:lang w:eastAsia="es-ES"/>
              </w:rPr>
            </w:pPr>
            <w:r>
              <w:rPr>
                <w:rFonts w:ascii="Arial" w:hAnsi="Arial" w:cs="Arial"/>
                <w:sz w:val="16"/>
                <w:szCs w:val="16"/>
                <w:lang w:eastAsia="es-ES"/>
              </w:rPr>
              <w:t>Desarrollo de escenarios posibles para la gestión de residuos teniendo en cuenta las consideraciones sobre el contexto específico donde se ubica el edificio.</w:t>
            </w:r>
          </w:p>
        </w:tc>
        <w:tc>
          <w:tcPr>
            <w:tcW w:w="4348" w:type="dxa"/>
            <w:tcBorders>
              <w:top w:val="single" w:sz="4" w:space="0" w:color="4BACC6"/>
              <w:left w:val="single" w:sz="4" w:space="0" w:color="4BACC6"/>
              <w:bottom w:val="single" w:sz="4" w:space="0" w:color="4BACC6"/>
              <w:right w:val="single" w:sz="4" w:space="0" w:color="4BACC6"/>
            </w:tcBorders>
          </w:tcPr>
          <w:p w:rsidR="00482668" w:rsidRDefault="00762B21">
            <w:pPr>
              <w:widowControl w:val="0"/>
              <w:numPr>
                <w:ilvl w:val="0"/>
                <w:numId w:val="22"/>
              </w:numPr>
              <w:tabs>
                <w:tab w:val="left" w:pos="183"/>
              </w:tabs>
              <w:spacing w:after="100"/>
              <w:ind w:left="41" w:firstLine="0"/>
              <w:contextualSpacing/>
              <w:rPr>
                <w:rFonts w:ascii="Arial" w:hAnsi="Arial" w:cs="Arial"/>
                <w:sz w:val="16"/>
                <w:szCs w:val="16"/>
                <w:lang w:eastAsia="es-ES"/>
              </w:rPr>
            </w:pPr>
            <w:r>
              <w:rPr>
                <w:rFonts w:ascii="Arial" w:hAnsi="Arial" w:cs="Arial"/>
                <w:sz w:val="16"/>
                <w:szCs w:val="16"/>
                <w:lang w:eastAsia="es-ES"/>
              </w:rPr>
              <w:t>Estudio de gestión de los residuos construcción según el RD 105/2008.</w:t>
            </w:r>
          </w:p>
          <w:p w:rsidR="00482668" w:rsidRDefault="00762B21">
            <w:pPr>
              <w:widowControl w:val="0"/>
              <w:numPr>
                <w:ilvl w:val="0"/>
                <w:numId w:val="22"/>
              </w:numPr>
              <w:tabs>
                <w:tab w:val="left" w:pos="183"/>
              </w:tabs>
              <w:spacing w:after="100"/>
              <w:ind w:left="41" w:firstLine="0"/>
              <w:contextualSpacing/>
              <w:rPr>
                <w:rFonts w:ascii="Arial" w:hAnsi="Arial" w:cs="Arial"/>
                <w:sz w:val="16"/>
                <w:szCs w:val="16"/>
                <w:lang w:eastAsia="es-ES"/>
              </w:rPr>
            </w:pPr>
            <w:r>
              <w:rPr>
                <w:rFonts w:ascii="Arial" w:hAnsi="Arial" w:cs="Arial"/>
                <w:sz w:val="16"/>
                <w:szCs w:val="16"/>
                <w:lang w:eastAsia="es-ES"/>
              </w:rPr>
              <w:t>Albaranes con el registro del flujo de los materiales.</w:t>
            </w:r>
          </w:p>
          <w:p w:rsidR="00482668" w:rsidRDefault="00762B21">
            <w:pPr>
              <w:widowControl w:val="0"/>
              <w:numPr>
                <w:ilvl w:val="0"/>
                <w:numId w:val="22"/>
              </w:numPr>
              <w:tabs>
                <w:tab w:val="left" w:pos="183"/>
              </w:tabs>
              <w:spacing w:after="100"/>
              <w:ind w:left="41" w:firstLine="0"/>
              <w:contextualSpacing/>
              <w:rPr>
                <w:rFonts w:ascii="Arial" w:hAnsi="Arial" w:cs="Arial"/>
                <w:sz w:val="16"/>
                <w:szCs w:val="16"/>
                <w:lang w:eastAsia="es-ES"/>
              </w:rPr>
            </w:pPr>
            <w:r>
              <w:rPr>
                <w:rFonts w:ascii="Arial" w:hAnsi="Arial" w:cs="Arial"/>
                <w:sz w:val="16"/>
                <w:szCs w:val="16"/>
                <w:lang w:eastAsia="es-ES"/>
              </w:rPr>
              <w:t>Informe final de la trazabilidad o certificado de valorización.</w:t>
            </w:r>
          </w:p>
        </w:tc>
      </w:tr>
      <w:tr w:rsidR="00482668">
        <w:trPr>
          <w:trHeight w:val="709"/>
          <w:jc w:val="center"/>
        </w:trPr>
        <w:tc>
          <w:tcPr>
            <w:tcW w:w="1523" w:type="dxa"/>
            <w:tcBorders>
              <w:top w:val="single" w:sz="4" w:space="0" w:color="4BACC6"/>
              <w:left w:val="single" w:sz="4" w:space="0" w:color="4BACC6"/>
              <w:bottom w:val="single" w:sz="4" w:space="0" w:color="4BACC6"/>
              <w:right w:val="single" w:sz="4" w:space="0" w:color="4BACC6"/>
            </w:tcBorders>
          </w:tcPr>
          <w:p w:rsidR="00482668" w:rsidRDefault="00762B21">
            <w:pPr>
              <w:widowControl w:val="0"/>
              <w:rPr>
                <w:rFonts w:ascii="Arial" w:hAnsi="Arial" w:cs="Arial"/>
                <w:b/>
                <w:bCs/>
                <w:sz w:val="16"/>
                <w:szCs w:val="16"/>
                <w:lang w:eastAsia="es-ES"/>
              </w:rPr>
            </w:pPr>
            <w:r>
              <w:rPr>
                <w:rFonts w:ascii="Arial" w:hAnsi="Arial" w:cs="Arial"/>
                <w:b/>
                <w:bCs/>
                <w:sz w:val="16"/>
                <w:szCs w:val="16"/>
                <w:lang w:eastAsia="es-ES"/>
              </w:rPr>
              <w:t>DIVULGACIÓN</w:t>
            </w:r>
          </w:p>
        </w:tc>
        <w:tc>
          <w:tcPr>
            <w:tcW w:w="3636" w:type="dxa"/>
            <w:tcBorders>
              <w:top w:val="single" w:sz="4" w:space="0" w:color="4BACC6"/>
              <w:left w:val="single" w:sz="4" w:space="0" w:color="4BACC6"/>
              <w:bottom w:val="single" w:sz="4" w:space="0" w:color="4BACC6"/>
              <w:right w:val="single" w:sz="4" w:space="0" w:color="4BACC6"/>
            </w:tcBorders>
          </w:tcPr>
          <w:p w:rsidR="00482668" w:rsidRDefault="00762B21">
            <w:pPr>
              <w:widowControl w:val="0"/>
              <w:spacing w:after="120"/>
              <w:contextualSpacing/>
              <w:rPr>
                <w:rFonts w:ascii="Arial" w:hAnsi="Arial" w:cs="Arial"/>
                <w:sz w:val="16"/>
                <w:szCs w:val="16"/>
                <w:lang w:eastAsia="es-ES"/>
              </w:rPr>
            </w:pPr>
            <w:r>
              <w:rPr>
                <w:rFonts w:ascii="Arial" w:hAnsi="Arial" w:cs="Arial"/>
                <w:sz w:val="16"/>
                <w:szCs w:val="16"/>
                <w:lang w:eastAsia="es-ES"/>
              </w:rPr>
              <w:t>Difusión de los resultados del diseño circular y los posibles desafíos encontrados a lo largo de las etapas de su vida útil del edificio.</w:t>
            </w:r>
          </w:p>
        </w:tc>
        <w:tc>
          <w:tcPr>
            <w:tcW w:w="4348" w:type="dxa"/>
            <w:tcBorders>
              <w:top w:val="single" w:sz="4" w:space="0" w:color="4BACC6"/>
              <w:left w:val="single" w:sz="4" w:space="0" w:color="4BACC6"/>
              <w:bottom w:val="single" w:sz="4" w:space="0" w:color="4BACC6"/>
              <w:right w:val="single" w:sz="4" w:space="0" w:color="4BACC6"/>
            </w:tcBorders>
          </w:tcPr>
          <w:p w:rsidR="00482668" w:rsidRDefault="00762B21">
            <w:pPr>
              <w:widowControl w:val="0"/>
              <w:numPr>
                <w:ilvl w:val="0"/>
                <w:numId w:val="22"/>
              </w:numPr>
              <w:tabs>
                <w:tab w:val="left" w:pos="183"/>
              </w:tabs>
              <w:spacing w:after="100"/>
              <w:ind w:left="41" w:firstLine="0"/>
              <w:contextualSpacing/>
              <w:rPr>
                <w:rFonts w:ascii="Arial" w:hAnsi="Arial" w:cs="Arial"/>
                <w:sz w:val="16"/>
                <w:szCs w:val="16"/>
                <w:lang w:eastAsia="es-ES"/>
              </w:rPr>
            </w:pPr>
            <w:r>
              <w:rPr>
                <w:rFonts w:ascii="Arial" w:hAnsi="Arial" w:cs="Arial"/>
                <w:sz w:val="16"/>
                <w:szCs w:val="16"/>
                <w:lang w:eastAsia="es-ES"/>
              </w:rPr>
              <w:t>Publicaciones que aporten información cualitativa y cuantitativa sobre el proyecto circular.</w:t>
            </w:r>
          </w:p>
        </w:tc>
      </w:tr>
    </w:tbl>
    <w:p w:rsidR="00482668" w:rsidRDefault="00482668">
      <w:pPr>
        <w:ind w:firstLine="0"/>
        <w:rPr>
          <w:rFonts w:cs="Calibri"/>
        </w:rPr>
      </w:pPr>
    </w:p>
    <w:p w:rsidR="00482668" w:rsidRDefault="00482668">
      <w:pPr>
        <w:spacing w:before="120" w:after="120"/>
        <w:ind w:firstLine="0"/>
        <w:jc w:val="both"/>
        <w:rPr>
          <w:rFonts w:cs="Arial"/>
          <w:szCs w:val="20"/>
          <w:lang w:eastAsia="es-ES"/>
        </w:rPr>
      </w:pPr>
    </w:p>
    <w:p w:rsidR="00482668" w:rsidRDefault="00482668"/>
    <w:sectPr w:rsidR="00482668" w:rsidSect="00BD5851">
      <w:headerReference w:type="default" r:id="rId14"/>
      <w:footerReference w:type="default" r:id="rId15"/>
      <w:pgSz w:w="11906" w:h="16838"/>
      <w:pgMar w:top="1956" w:right="1417" w:bottom="1417" w:left="1417" w:header="0" w:footer="708" w:gutter="0"/>
      <w:cols w:space="720"/>
      <w:formProt w:val="0"/>
      <w:docGrid w:linePitch="360"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1028" w:rsidRDefault="00071028" w:rsidP="00482668">
      <w:r>
        <w:separator/>
      </w:r>
    </w:p>
  </w:endnote>
  <w:endnote w:type="continuationSeparator" w:id="0">
    <w:p w:rsidR="00071028" w:rsidRDefault="00071028" w:rsidP="0048266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Lucida Sans">
    <w:altName w:val="Lucida Sans Unicode"/>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useo 700">
    <w:altName w:val="Times New Roman"/>
    <w:panose1 w:val="02000000000000000000"/>
    <w:charset w:val="00"/>
    <w:family w:val="auto"/>
    <w:pitch w:val="variable"/>
    <w:sig w:usb0="A00000AF" w:usb1="4000004A"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65EB" w:rsidRDefault="00A74AAC">
    <w:pPr>
      <w:pStyle w:val="Footer"/>
      <w:jc w:val="center"/>
    </w:pPr>
    <w:r>
      <w:rPr>
        <w:noProof/>
        <w:lang w:eastAsia="es-ES"/>
      </w:rPr>
      <w:drawing>
        <wp:anchor distT="0" distB="0" distL="114300" distR="114300" simplePos="0" relativeHeight="251657216" behindDoc="1" locked="0" layoutInCell="0" allowOverlap="1">
          <wp:simplePos x="0" y="0"/>
          <wp:positionH relativeFrom="column">
            <wp:posOffset>3281680</wp:posOffset>
          </wp:positionH>
          <wp:positionV relativeFrom="paragraph">
            <wp:posOffset>137795</wp:posOffset>
          </wp:positionV>
          <wp:extent cx="1171575" cy="342900"/>
          <wp:effectExtent l="19050" t="0" r="9525" b="0"/>
          <wp:wrapTopAndBottom/>
          <wp:docPr id="9" name="Imagen 9" descr="F:\Documents\19 MINISTERIO\10 NEXT GENERATION\COMUNICACION\nextgenerationeu_es\JPEG\ES Financiado por la Unión Europea_P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F:\Documents\19 MINISTERIO\10 NEXT GENERATION\COMUNICACION\nextgenerationeu_es\JPEG\ES Financiado por la Unión Europea_POS.jpg"/>
                  <pic:cNvPicPr>
                    <a:picLocks noChangeAspect="1" noChangeArrowheads="1"/>
                  </pic:cNvPicPr>
                </pic:nvPicPr>
                <pic:blipFill>
                  <a:blip r:embed="rId1"/>
                  <a:stretch>
                    <a:fillRect/>
                  </a:stretch>
                </pic:blipFill>
                <pic:spPr bwMode="auto">
                  <a:xfrm>
                    <a:off x="0" y="0"/>
                    <a:ext cx="1171575" cy="342900"/>
                  </a:xfrm>
                  <a:prstGeom prst="rect">
                    <a:avLst/>
                  </a:prstGeom>
                </pic:spPr>
              </pic:pic>
            </a:graphicData>
          </a:graphic>
        </wp:anchor>
      </w:drawing>
    </w:r>
    <w:r w:rsidR="003A65EB">
      <w:rPr>
        <w:noProof/>
        <w:lang w:eastAsia="es-ES"/>
      </w:rPr>
      <w:drawing>
        <wp:anchor distT="0" distB="0" distL="114300" distR="114300" simplePos="0" relativeHeight="251655168" behindDoc="1" locked="0" layoutInCell="0" allowOverlap="1">
          <wp:simplePos x="0" y="0"/>
          <wp:positionH relativeFrom="column">
            <wp:posOffset>-287655</wp:posOffset>
          </wp:positionH>
          <wp:positionV relativeFrom="paragraph">
            <wp:posOffset>107950</wp:posOffset>
          </wp:positionV>
          <wp:extent cx="1296035" cy="346710"/>
          <wp:effectExtent l="0" t="0" r="0" b="0"/>
          <wp:wrapTopAndBottom/>
          <wp:docPr id="7" name="Imagen 1" descr="F:\Documents\19 MINISTERIO\10 NEXT GENERATION\COMUNICACION\logo ministerio-de-transportes-movilidad-y-agenda-urbana-mitma.gob_-2021-05-17_14-35-12_0682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1" descr="F:\Documents\19 MINISTERIO\10 NEXT GENERATION\COMUNICACION\logo ministerio-de-transportes-movilidad-y-agenda-urbana-mitma.gob_-2021-05-17_14-35-12_068296.jpg"/>
                  <pic:cNvPicPr>
                    <a:picLocks noChangeAspect="1" noChangeArrowheads="1"/>
                  </pic:cNvPicPr>
                </pic:nvPicPr>
                <pic:blipFill>
                  <a:blip r:embed="rId2"/>
                  <a:stretch>
                    <a:fillRect/>
                  </a:stretch>
                </pic:blipFill>
                <pic:spPr bwMode="auto">
                  <a:xfrm>
                    <a:off x="0" y="0"/>
                    <a:ext cx="1296035" cy="346710"/>
                  </a:xfrm>
                  <a:prstGeom prst="rect">
                    <a:avLst/>
                  </a:prstGeom>
                </pic:spPr>
              </pic:pic>
            </a:graphicData>
          </a:graphic>
        </wp:anchor>
      </w:drawing>
    </w:r>
    <w:r w:rsidR="003A65EB">
      <w:rPr>
        <w:noProof/>
        <w:lang w:eastAsia="es-ES"/>
      </w:rPr>
      <w:drawing>
        <wp:anchor distT="0" distB="0" distL="114300" distR="114300" simplePos="0" relativeHeight="251656192" behindDoc="1" locked="0" layoutInCell="0" allowOverlap="1">
          <wp:simplePos x="0" y="0"/>
          <wp:positionH relativeFrom="column">
            <wp:posOffset>1548130</wp:posOffset>
          </wp:positionH>
          <wp:positionV relativeFrom="paragraph">
            <wp:posOffset>69215</wp:posOffset>
          </wp:positionV>
          <wp:extent cx="1037590" cy="405765"/>
          <wp:effectExtent l="0" t="0" r="0" b="0"/>
          <wp:wrapTopAndBottom/>
          <wp:docPr id="8" name="Imagen 2" descr="F:\Documents\19 MINISTERIO\10 NEXT GENERATION\COMUNICACION\logoplanderecuperacionEUS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2" descr="F:\Documents\19 MINISTERIO\10 NEXT GENERATION\COMUNICACION\logoplanderecuperacionEUSK.JPG"/>
                  <pic:cNvPicPr>
                    <a:picLocks noChangeAspect="1" noChangeArrowheads="1"/>
                  </pic:cNvPicPr>
                </pic:nvPicPr>
                <pic:blipFill>
                  <a:blip r:embed="rId3"/>
                  <a:stretch>
                    <a:fillRect/>
                  </a:stretch>
                </pic:blipFill>
                <pic:spPr bwMode="auto">
                  <a:xfrm>
                    <a:off x="0" y="0"/>
                    <a:ext cx="1037590" cy="405765"/>
                  </a:xfrm>
                  <a:prstGeom prst="rect">
                    <a:avLst/>
                  </a:prstGeom>
                </pic:spPr>
              </pic:pic>
            </a:graphicData>
          </a:graphic>
        </wp:anchor>
      </w:drawing>
    </w:r>
    <w:r w:rsidR="003A65EB">
      <w:rPr>
        <w:noProof/>
        <w:lang w:eastAsia="es-ES"/>
      </w:rPr>
      <w:drawing>
        <wp:anchor distT="0" distB="0" distL="114300" distR="114300" simplePos="0" relativeHeight="251658240" behindDoc="1" locked="0" layoutInCell="0" allowOverlap="1">
          <wp:simplePos x="0" y="0"/>
          <wp:positionH relativeFrom="column">
            <wp:posOffset>4920615</wp:posOffset>
          </wp:positionH>
          <wp:positionV relativeFrom="paragraph">
            <wp:posOffset>165735</wp:posOffset>
          </wp:positionV>
          <wp:extent cx="1359535" cy="379730"/>
          <wp:effectExtent l="0" t="0" r="0" b="0"/>
          <wp:wrapTopAndBottom/>
          <wp:docPr id="10" name="Imagen 11" descr="F:\Documents\00 DIRECCION\07 PLANTILLAS\logos XII legislatura 2020-2024\ej_lurralde_plangintza_planificacion_territorial_ho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1" descr="F:\Documents\00 DIRECCION\07 PLANTILLAS\logos XII legislatura 2020-2024\ej_lurralde_plangintza_planificacion_territorial_hori.jpg"/>
                  <pic:cNvPicPr>
                    <a:picLocks noChangeAspect="1" noChangeArrowheads="1"/>
                  </pic:cNvPicPr>
                </pic:nvPicPr>
                <pic:blipFill>
                  <a:blip r:embed="rId4"/>
                  <a:stretch>
                    <a:fillRect/>
                  </a:stretch>
                </pic:blipFill>
                <pic:spPr bwMode="auto">
                  <a:xfrm>
                    <a:off x="0" y="0"/>
                    <a:ext cx="1359535" cy="379730"/>
                  </a:xfrm>
                  <a:prstGeom prst="rect">
                    <a:avLst/>
                  </a:prstGeom>
                </pic:spPr>
              </pic:pic>
            </a:graphicData>
          </a:graphic>
        </wp:anchor>
      </w:drawing>
    </w:r>
  </w:p>
  <w:p w:rsidR="003A65EB" w:rsidRDefault="00BD5851" w:rsidP="00E9237A">
    <w:pPr>
      <w:pStyle w:val="Footer"/>
      <w:tabs>
        <w:tab w:val="left" w:pos="3045"/>
        <w:tab w:val="left" w:pos="3180"/>
        <w:tab w:val="center" w:pos="4716"/>
      </w:tabs>
    </w:pPr>
    <w:r>
      <w:tab/>
    </w:r>
    <w:r w:rsidR="00E9237A">
      <w:tab/>
    </w:r>
    <w:r>
      <w:tab/>
    </w:r>
    <w:r>
      <w:tab/>
    </w:r>
    <w:fldSimple w:instr="PAGE">
      <w:r w:rsidR="00904A83">
        <w:rPr>
          <w:noProof/>
        </w:rPr>
        <w:t>49</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1028" w:rsidRDefault="00071028">
      <w:pPr>
        <w:rPr>
          <w:sz w:val="12"/>
        </w:rPr>
      </w:pPr>
      <w:r>
        <w:separator/>
      </w:r>
    </w:p>
  </w:footnote>
  <w:footnote w:type="continuationSeparator" w:id="0">
    <w:p w:rsidR="00071028" w:rsidRDefault="00071028">
      <w:pPr>
        <w:rPr>
          <w:sz w:val="12"/>
        </w:rPr>
      </w:pPr>
      <w:r>
        <w:continuationSeparator/>
      </w:r>
    </w:p>
  </w:footnote>
  <w:footnote w:id="1">
    <w:p w:rsidR="003A65EB" w:rsidRPr="00D5045C" w:rsidRDefault="003A65EB">
      <w:pPr>
        <w:pStyle w:val="FootnoteText"/>
        <w:rPr>
          <w:lang w:val="en-US"/>
        </w:rPr>
      </w:pPr>
      <w:r w:rsidRPr="006F472F">
        <w:rPr>
          <w:rStyle w:val="Caracteresdenotaalpie"/>
          <w:sz w:val="18"/>
          <w:szCs w:val="18"/>
        </w:rPr>
        <w:footnoteRef/>
      </w:r>
      <w:r w:rsidRPr="006F472F">
        <w:rPr>
          <w:sz w:val="18"/>
          <w:szCs w:val="18"/>
          <w:lang w:val="en-US"/>
        </w:rPr>
        <w:t xml:space="preserve"> ISO 20887:2020 Sustainability in buildings and civil engineering works — Design for disassembly and adaptability — Principles, requirements and guidance</w:t>
      </w:r>
      <w:r>
        <w:rPr>
          <w:lang w:val="en-US"/>
        </w:rPr>
        <w:t xml:space="preserve"> </w:t>
      </w:r>
      <w:r>
        <w:rPr>
          <w:i/>
          <w:iCs/>
          <w:color w:val="1F497D"/>
          <w:sz w:val="18"/>
          <w:szCs w:val="18"/>
          <w:lang w:val="en-US"/>
        </w:rPr>
        <w:t>https://www.une.org/encuentra-tu-norma/busca-tu-norma/iso?c=069370</w:t>
      </w:r>
    </w:p>
  </w:footnote>
  <w:footnote w:id="2">
    <w:p w:rsidR="003A65EB" w:rsidRPr="006F472F" w:rsidRDefault="003A65EB">
      <w:pPr>
        <w:pStyle w:val="FootnoteText"/>
        <w:rPr>
          <w:sz w:val="18"/>
          <w:szCs w:val="18"/>
        </w:rPr>
      </w:pPr>
      <w:r w:rsidRPr="006F472F">
        <w:rPr>
          <w:rStyle w:val="Caracteresdenotaalpie"/>
          <w:sz w:val="18"/>
          <w:szCs w:val="18"/>
        </w:rPr>
        <w:footnoteRef/>
      </w:r>
      <w:r w:rsidRPr="006F472F">
        <w:rPr>
          <w:rStyle w:val="Caracteresdenotaalpie"/>
          <w:sz w:val="18"/>
          <w:szCs w:val="18"/>
        </w:rPr>
        <w:t xml:space="preserve"> Capítulo 6 “Documentación e Información” de la ISO 20887.</w:t>
      </w:r>
      <w:r w:rsidRPr="006F472F">
        <w:rPr>
          <w:i/>
          <w:iCs/>
          <w:color w:val="1F497D"/>
          <w:sz w:val="18"/>
          <w:szCs w:val="18"/>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851" w:rsidRDefault="000723F6">
    <w:pPr>
      <w:pStyle w:val="Goiburua"/>
    </w:pPr>
    <w:r>
      <w:rPr>
        <w:noProof/>
        <w:lang w:eastAsia="es-ES"/>
      </w:rPr>
      <w:pict>
        <v:shapetype id="_x0000_t202" coordsize="21600,21600" o:spt="202" path="m,l,21600r21600,l21600,xe">
          <v:stroke joinstyle="miter"/>
          <v:path gradientshapeok="t" o:connecttype="rect"/>
        </v:shapetype>
        <v:shape id="_x0000_s2049" type="#_x0000_t202" style="position:absolute;left:0;text-align:left;margin-left:21.85pt;margin-top:41.4pt;width:162pt;height:45pt;z-index:-251656192" filled="f" stroked="f" strokeweight="0">
          <v:textbox style="mso-next-textbox:#_x0000_s2049">
            <w:txbxContent>
              <w:p w:rsidR="00BD5851" w:rsidRPr="00067EC1" w:rsidRDefault="00BD5851" w:rsidP="00BD5851">
                <w:pPr>
                  <w:pStyle w:val="Goiburua"/>
                  <w:rPr>
                    <w:rFonts w:ascii="Museo 700" w:hAnsi="Museo 700"/>
                    <w:noProof/>
                    <w:sz w:val="32"/>
                    <w:szCs w:val="32"/>
                    <w:lang w:val="es-ES_tradnl"/>
                  </w:rPr>
                </w:pPr>
                <w:r>
                  <w:rPr>
                    <w:rFonts w:ascii="Museo 700" w:hAnsi="Museo 700"/>
                    <w:noProof/>
                    <w:sz w:val="32"/>
                    <w:szCs w:val="32"/>
                    <w:lang w:val="es-ES_tradnl"/>
                  </w:rPr>
                  <w:t>LASARTE-ORIA</w:t>
                </w:r>
              </w:p>
              <w:p w:rsidR="00BD5851" w:rsidRPr="00067EC1" w:rsidRDefault="00BD5851" w:rsidP="00BD5851">
                <w:pPr>
                  <w:pStyle w:val="Goiburua"/>
                  <w:rPr>
                    <w:noProof/>
                    <w:sz w:val="16"/>
                    <w:szCs w:val="16"/>
                    <w:lang w:val="es-ES_tradnl"/>
                  </w:rPr>
                </w:pPr>
                <w:r w:rsidRPr="00067EC1">
                  <w:rPr>
                    <w:noProof/>
                    <w:sz w:val="16"/>
                    <w:szCs w:val="16"/>
                    <w:lang w:val="es-ES_tradnl"/>
                  </w:rPr>
                  <w:t>UDALA-AYUNTAMIENTO</w:t>
                </w:r>
              </w:p>
            </w:txbxContent>
          </v:textbox>
        </v:shape>
      </w:pict>
    </w:r>
    <w:r w:rsidR="00BD5851" w:rsidRPr="00BD5851">
      <w:rPr>
        <w:noProof/>
        <w:lang w:eastAsia="es-ES"/>
      </w:rPr>
      <w:drawing>
        <wp:anchor distT="0" distB="0" distL="114300" distR="114300" simplePos="0" relativeHeight="251659264" behindDoc="1" locked="0" layoutInCell="1" allowOverlap="1">
          <wp:simplePos x="0" y="0"/>
          <wp:positionH relativeFrom="column">
            <wp:posOffset>-290195</wp:posOffset>
          </wp:positionH>
          <wp:positionV relativeFrom="paragraph">
            <wp:posOffset>409575</wp:posOffset>
          </wp:positionV>
          <wp:extent cx="584200" cy="666750"/>
          <wp:effectExtent l="19050" t="0" r="6350" b="0"/>
          <wp:wrapNone/>
          <wp:docPr id="11" name="Imagen 10" descr="Irudi korporatibo tint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rudi korporatibo tinta1"/>
                  <pic:cNvPicPr>
                    <a:picLocks noChangeAspect="1" noChangeArrowheads="1"/>
                  </pic:cNvPicPr>
                </pic:nvPicPr>
                <pic:blipFill>
                  <a:blip r:embed="rId1"/>
                  <a:srcRect/>
                  <a:stretch>
                    <a:fillRect/>
                  </a:stretch>
                </pic:blipFill>
                <pic:spPr bwMode="auto">
                  <a:xfrm>
                    <a:off x="0" y="0"/>
                    <a:ext cx="584200" cy="66675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C785C"/>
    <w:multiLevelType w:val="multilevel"/>
    <w:tmpl w:val="4620C51E"/>
    <w:lvl w:ilvl="0">
      <w:start w:val="1"/>
      <w:numFmt w:val="bullet"/>
      <w:lvlText w:val=""/>
      <w:lvlJc w:val="left"/>
      <w:pPr>
        <w:tabs>
          <w:tab w:val="num" w:pos="0"/>
        </w:tabs>
        <w:ind w:left="1077" w:hanging="360"/>
      </w:pPr>
      <w:rPr>
        <w:rFonts w:ascii="Symbol" w:hAnsi="Symbol" w:cs="Symbol" w:hint="default"/>
      </w:rPr>
    </w:lvl>
    <w:lvl w:ilvl="1">
      <w:start w:val="1"/>
      <w:numFmt w:val="bullet"/>
      <w:lvlText w:val="o"/>
      <w:lvlJc w:val="left"/>
      <w:pPr>
        <w:tabs>
          <w:tab w:val="num" w:pos="0"/>
        </w:tabs>
        <w:ind w:left="1797" w:hanging="360"/>
      </w:pPr>
      <w:rPr>
        <w:rFonts w:ascii="Courier New" w:hAnsi="Courier New" w:cs="Courier New" w:hint="default"/>
      </w:rPr>
    </w:lvl>
    <w:lvl w:ilvl="2">
      <w:start w:val="1"/>
      <w:numFmt w:val="bullet"/>
      <w:lvlText w:val=""/>
      <w:lvlJc w:val="left"/>
      <w:pPr>
        <w:tabs>
          <w:tab w:val="num" w:pos="0"/>
        </w:tabs>
        <w:ind w:left="2517" w:hanging="360"/>
      </w:pPr>
      <w:rPr>
        <w:rFonts w:ascii="Wingdings" w:hAnsi="Wingdings" w:cs="Wingdings" w:hint="default"/>
      </w:rPr>
    </w:lvl>
    <w:lvl w:ilvl="3">
      <w:start w:val="1"/>
      <w:numFmt w:val="bullet"/>
      <w:lvlText w:val=""/>
      <w:lvlJc w:val="left"/>
      <w:pPr>
        <w:tabs>
          <w:tab w:val="num" w:pos="0"/>
        </w:tabs>
        <w:ind w:left="3237" w:hanging="360"/>
      </w:pPr>
      <w:rPr>
        <w:rFonts w:ascii="Symbol" w:hAnsi="Symbol" w:cs="Symbol" w:hint="default"/>
      </w:rPr>
    </w:lvl>
    <w:lvl w:ilvl="4">
      <w:start w:val="1"/>
      <w:numFmt w:val="bullet"/>
      <w:lvlText w:val="o"/>
      <w:lvlJc w:val="left"/>
      <w:pPr>
        <w:tabs>
          <w:tab w:val="num" w:pos="0"/>
        </w:tabs>
        <w:ind w:left="3957" w:hanging="360"/>
      </w:pPr>
      <w:rPr>
        <w:rFonts w:ascii="Courier New" w:hAnsi="Courier New" w:cs="Courier New" w:hint="default"/>
      </w:rPr>
    </w:lvl>
    <w:lvl w:ilvl="5">
      <w:start w:val="1"/>
      <w:numFmt w:val="bullet"/>
      <w:lvlText w:val=""/>
      <w:lvlJc w:val="left"/>
      <w:pPr>
        <w:tabs>
          <w:tab w:val="num" w:pos="0"/>
        </w:tabs>
        <w:ind w:left="4677" w:hanging="360"/>
      </w:pPr>
      <w:rPr>
        <w:rFonts w:ascii="Wingdings" w:hAnsi="Wingdings" w:cs="Wingdings" w:hint="default"/>
      </w:rPr>
    </w:lvl>
    <w:lvl w:ilvl="6">
      <w:start w:val="1"/>
      <w:numFmt w:val="bullet"/>
      <w:lvlText w:val=""/>
      <w:lvlJc w:val="left"/>
      <w:pPr>
        <w:tabs>
          <w:tab w:val="num" w:pos="0"/>
        </w:tabs>
        <w:ind w:left="5397" w:hanging="360"/>
      </w:pPr>
      <w:rPr>
        <w:rFonts w:ascii="Symbol" w:hAnsi="Symbol" w:cs="Symbol" w:hint="default"/>
      </w:rPr>
    </w:lvl>
    <w:lvl w:ilvl="7">
      <w:start w:val="1"/>
      <w:numFmt w:val="bullet"/>
      <w:lvlText w:val="o"/>
      <w:lvlJc w:val="left"/>
      <w:pPr>
        <w:tabs>
          <w:tab w:val="num" w:pos="0"/>
        </w:tabs>
        <w:ind w:left="6117" w:hanging="360"/>
      </w:pPr>
      <w:rPr>
        <w:rFonts w:ascii="Courier New" w:hAnsi="Courier New" w:cs="Courier New" w:hint="default"/>
      </w:rPr>
    </w:lvl>
    <w:lvl w:ilvl="8">
      <w:start w:val="1"/>
      <w:numFmt w:val="bullet"/>
      <w:lvlText w:val=""/>
      <w:lvlJc w:val="left"/>
      <w:pPr>
        <w:tabs>
          <w:tab w:val="num" w:pos="0"/>
        </w:tabs>
        <w:ind w:left="6837" w:hanging="360"/>
      </w:pPr>
      <w:rPr>
        <w:rFonts w:ascii="Wingdings" w:hAnsi="Wingdings" w:cs="Wingdings" w:hint="default"/>
      </w:rPr>
    </w:lvl>
  </w:abstractNum>
  <w:abstractNum w:abstractNumId="1">
    <w:nsid w:val="0D297F12"/>
    <w:multiLevelType w:val="multilevel"/>
    <w:tmpl w:val="42E4989C"/>
    <w:lvl w:ilvl="0">
      <w:start w:val="1"/>
      <w:numFmt w:val="decimal"/>
      <w:lvlText w:val="%1"/>
      <w:lvlJc w:val="left"/>
      <w:pPr>
        <w:tabs>
          <w:tab w:val="num" w:pos="0"/>
        </w:tabs>
        <w:ind w:left="3218" w:hanging="360"/>
      </w:pPr>
    </w:lvl>
    <w:lvl w:ilvl="1">
      <w:start w:val="1"/>
      <w:numFmt w:val="lowerLetter"/>
      <w:lvlText w:val="%1.%2"/>
      <w:lvlJc w:val="left"/>
      <w:pPr>
        <w:tabs>
          <w:tab w:val="num" w:pos="0"/>
        </w:tabs>
        <w:ind w:left="3938" w:hanging="360"/>
      </w:pPr>
    </w:lvl>
    <w:lvl w:ilvl="2">
      <w:start w:val="1"/>
      <w:numFmt w:val="lowerRoman"/>
      <w:lvlText w:val="%2.%3"/>
      <w:lvlJc w:val="right"/>
      <w:pPr>
        <w:tabs>
          <w:tab w:val="num" w:pos="0"/>
        </w:tabs>
        <w:ind w:left="4658" w:hanging="180"/>
      </w:pPr>
    </w:lvl>
    <w:lvl w:ilvl="3">
      <w:start w:val="1"/>
      <w:numFmt w:val="decimal"/>
      <w:lvlText w:val="%3.%4"/>
      <w:lvlJc w:val="left"/>
      <w:pPr>
        <w:tabs>
          <w:tab w:val="num" w:pos="0"/>
        </w:tabs>
        <w:ind w:left="5378" w:hanging="360"/>
      </w:pPr>
    </w:lvl>
    <w:lvl w:ilvl="4">
      <w:start w:val="1"/>
      <w:numFmt w:val="lowerLetter"/>
      <w:lvlText w:val="%4.%5"/>
      <w:lvlJc w:val="left"/>
      <w:pPr>
        <w:tabs>
          <w:tab w:val="num" w:pos="0"/>
        </w:tabs>
        <w:ind w:left="6098" w:hanging="360"/>
      </w:pPr>
    </w:lvl>
    <w:lvl w:ilvl="5">
      <w:start w:val="1"/>
      <w:numFmt w:val="lowerRoman"/>
      <w:lvlText w:val="%5.%6"/>
      <w:lvlJc w:val="right"/>
      <w:pPr>
        <w:tabs>
          <w:tab w:val="num" w:pos="0"/>
        </w:tabs>
        <w:ind w:left="6818" w:hanging="180"/>
      </w:pPr>
    </w:lvl>
    <w:lvl w:ilvl="6">
      <w:start w:val="1"/>
      <w:numFmt w:val="decimal"/>
      <w:lvlText w:val="%6.%7"/>
      <w:lvlJc w:val="left"/>
      <w:pPr>
        <w:tabs>
          <w:tab w:val="num" w:pos="0"/>
        </w:tabs>
        <w:ind w:left="7538" w:hanging="360"/>
      </w:pPr>
    </w:lvl>
    <w:lvl w:ilvl="7">
      <w:start w:val="1"/>
      <w:numFmt w:val="lowerLetter"/>
      <w:lvlText w:val="%7.%8"/>
      <w:lvlJc w:val="left"/>
      <w:pPr>
        <w:tabs>
          <w:tab w:val="num" w:pos="0"/>
        </w:tabs>
        <w:ind w:left="8258" w:hanging="360"/>
      </w:pPr>
    </w:lvl>
    <w:lvl w:ilvl="8">
      <w:start w:val="1"/>
      <w:numFmt w:val="lowerRoman"/>
      <w:lvlText w:val="%8.%9"/>
      <w:lvlJc w:val="right"/>
      <w:pPr>
        <w:tabs>
          <w:tab w:val="num" w:pos="0"/>
        </w:tabs>
        <w:ind w:left="8978" w:hanging="180"/>
      </w:pPr>
    </w:lvl>
  </w:abstractNum>
  <w:abstractNum w:abstractNumId="2">
    <w:nsid w:val="139C05EA"/>
    <w:multiLevelType w:val="multilevel"/>
    <w:tmpl w:val="2786A3C6"/>
    <w:lvl w:ilvl="0">
      <w:start w:val="1"/>
      <w:numFmt w:val="bullet"/>
      <w:lvlText w:val="o"/>
      <w:lvlJc w:val="left"/>
      <w:pPr>
        <w:tabs>
          <w:tab w:val="num" w:pos="0"/>
        </w:tabs>
        <w:ind w:left="1800" w:hanging="360"/>
      </w:pPr>
      <w:rPr>
        <w:rFonts w:ascii="Courier New" w:hAnsi="Courier New" w:cs="Courier New" w:hint="default"/>
      </w:rPr>
    </w:lvl>
    <w:lvl w:ilvl="1">
      <w:start w:val="1"/>
      <w:numFmt w:val="bullet"/>
      <w:lvlText w:val="o"/>
      <w:lvlJc w:val="left"/>
      <w:pPr>
        <w:tabs>
          <w:tab w:val="num" w:pos="0"/>
        </w:tabs>
        <w:ind w:left="2520" w:hanging="360"/>
      </w:pPr>
      <w:rPr>
        <w:rFonts w:ascii="Courier New" w:hAnsi="Courier New" w:cs="Courier New" w:hint="default"/>
      </w:rPr>
    </w:lvl>
    <w:lvl w:ilvl="2">
      <w:start w:val="1"/>
      <w:numFmt w:val="bullet"/>
      <w:lvlText w:val=""/>
      <w:lvlJc w:val="left"/>
      <w:pPr>
        <w:tabs>
          <w:tab w:val="num" w:pos="0"/>
        </w:tabs>
        <w:ind w:left="3240" w:hanging="360"/>
      </w:pPr>
      <w:rPr>
        <w:rFonts w:ascii="Wingdings" w:hAnsi="Wingdings" w:cs="Wingdings" w:hint="default"/>
      </w:rPr>
    </w:lvl>
    <w:lvl w:ilvl="3">
      <w:start w:val="1"/>
      <w:numFmt w:val="bullet"/>
      <w:lvlText w:val=""/>
      <w:lvlJc w:val="left"/>
      <w:pPr>
        <w:tabs>
          <w:tab w:val="num" w:pos="0"/>
        </w:tabs>
        <w:ind w:left="3960" w:hanging="360"/>
      </w:pPr>
      <w:rPr>
        <w:rFonts w:ascii="Symbol" w:hAnsi="Symbol" w:cs="Symbol" w:hint="default"/>
      </w:rPr>
    </w:lvl>
    <w:lvl w:ilvl="4">
      <w:start w:val="1"/>
      <w:numFmt w:val="bullet"/>
      <w:lvlText w:val="o"/>
      <w:lvlJc w:val="left"/>
      <w:pPr>
        <w:tabs>
          <w:tab w:val="num" w:pos="0"/>
        </w:tabs>
        <w:ind w:left="4680" w:hanging="360"/>
      </w:pPr>
      <w:rPr>
        <w:rFonts w:ascii="Courier New" w:hAnsi="Courier New" w:cs="Courier New" w:hint="default"/>
      </w:rPr>
    </w:lvl>
    <w:lvl w:ilvl="5">
      <w:start w:val="1"/>
      <w:numFmt w:val="bullet"/>
      <w:lvlText w:val=""/>
      <w:lvlJc w:val="left"/>
      <w:pPr>
        <w:tabs>
          <w:tab w:val="num" w:pos="0"/>
        </w:tabs>
        <w:ind w:left="5400" w:hanging="360"/>
      </w:pPr>
      <w:rPr>
        <w:rFonts w:ascii="Wingdings" w:hAnsi="Wingdings" w:cs="Wingdings" w:hint="default"/>
      </w:rPr>
    </w:lvl>
    <w:lvl w:ilvl="6">
      <w:start w:val="1"/>
      <w:numFmt w:val="bullet"/>
      <w:lvlText w:val=""/>
      <w:lvlJc w:val="left"/>
      <w:pPr>
        <w:tabs>
          <w:tab w:val="num" w:pos="0"/>
        </w:tabs>
        <w:ind w:left="6120" w:hanging="360"/>
      </w:pPr>
      <w:rPr>
        <w:rFonts w:ascii="Symbol" w:hAnsi="Symbol" w:cs="Symbol" w:hint="default"/>
      </w:rPr>
    </w:lvl>
    <w:lvl w:ilvl="7">
      <w:start w:val="1"/>
      <w:numFmt w:val="bullet"/>
      <w:lvlText w:val="o"/>
      <w:lvlJc w:val="left"/>
      <w:pPr>
        <w:tabs>
          <w:tab w:val="num" w:pos="0"/>
        </w:tabs>
        <w:ind w:left="6840" w:hanging="360"/>
      </w:pPr>
      <w:rPr>
        <w:rFonts w:ascii="Courier New" w:hAnsi="Courier New" w:cs="Courier New" w:hint="default"/>
      </w:rPr>
    </w:lvl>
    <w:lvl w:ilvl="8">
      <w:start w:val="1"/>
      <w:numFmt w:val="bullet"/>
      <w:lvlText w:val=""/>
      <w:lvlJc w:val="left"/>
      <w:pPr>
        <w:tabs>
          <w:tab w:val="num" w:pos="0"/>
        </w:tabs>
        <w:ind w:left="7560" w:hanging="360"/>
      </w:pPr>
      <w:rPr>
        <w:rFonts w:ascii="Wingdings" w:hAnsi="Wingdings" w:cs="Wingdings" w:hint="default"/>
      </w:rPr>
    </w:lvl>
  </w:abstractNum>
  <w:abstractNum w:abstractNumId="3">
    <w:nsid w:val="172A4A07"/>
    <w:multiLevelType w:val="multilevel"/>
    <w:tmpl w:val="6330A2F0"/>
    <w:lvl w:ilvl="0">
      <w:start w:val="1"/>
      <w:numFmt w:val="lowerLetter"/>
      <w:lvlText w:val="%1"/>
      <w:lvlJc w:val="left"/>
      <w:pPr>
        <w:tabs>
          <w:tab w:val="num" w:pos="0"/>
        </w:tabs>
        <w:ind w:left="2136" w:hanging="360"/>
      </w:pPr>
    </w:lvl>
    <w:lvl w:ilvl="1">
      <w:start w:val="1"/>
      <w:numFmt w:val="lowerLetter"/>
      <w:lvlText w:val="%1.%2"/>
      <w:lvlJc w:val="left"/>
      <w:pPr>
        <w:tabs>
          <w:tab w:val="num" w:pos="0"/>
        </w:tabs>
        <w:ind w:left="2856" w:hanging="360"/>
      </w:pPr>
    </w:lvl>
    <w:lvl w:ilvl="2">
      <w:start w:val="1"/>
      <w:numFmt w:val="lowerRoman"/>
      <w:lvlText w:val="%2.%3"/>
      <w:lvlJc w:val="right"/>
      <w:pPr>
        <w:tabs>
          <w:tab w:val="num" w:pos="0"/>
        </w:tabs>
        <w:ind w:left="3576" w:hanging="180"/>
      </w:pPr>
    </w:lvl>
    <w:lvl w:ilvl="3">
      <w:start w:val="1"/>
      <w:numFmt w:val="decimal"/>
      <w:lvlText w:val="%3.%4"/>
      <w:lvlJc w:val="left"/>
      <w:pPr>
        <w:tabs>
          <w:tab w:val="num" w:pos="0"/>
        </w:tabs>
        <w:ind w:left="4296" w:hanging="360"/>
      </w:pPr>
    </w:lvl>
    <w:lvl w:ilvl="4">
      <w:start w:val="1"/>
      <w:numFmt w:val="lowerLetter"/>
      <w:lvlText w:val="%4.%5"/>
      <w:lvlJc w:val="left"/>
      <w:pPr>
        <w:tabs>
          <w:tab w:val="num" w:pos="0"/>
        </w:tabs>
        <w:ind w:left="5016" w:hanging="360"/>
      </w:pPr>
    </w:lvl>
    <w:lvl w:ilvl="5">
      <w:start w:val="1"/>
      <w:numFmt w:val="lowerRoman"/>
      <w:lvlText w:val="%5.%6"/>
      <w:lvlJc w:val="right"/>
      <w:pPr>
        <w:tabs>
          <w:tab w:val="num" w:pos="0"/>
        </w:tabs>
        <w:ind w:left="5736" w:hanging="180"/>
      </w:pPr>
    </w:lvl>
    <w:lvl w:ilvl="6">
      <w:start w:val="1"/>
      <w:numFmt w:val="decimal"/>
      <w:lvlText w:val="%6.%7"/>
      <w:lvlJc w:val="left"/>
      <w:pPr>
        <w:tabs>
          <w:tab w:val="num" w:pos="0"/>
        </w:tabs>
        <w:ind w:left="6456" w:hanging="360"/>
      </w:pPr>
    </w:lvl>
    <w:lvl w:ilvl="7">
      <w:start w:val="1"/>
      <w:numFmt w:val="lowerLetter"/>
      <w:lvlText w:val="%7.%8"/>
      <w:lvlJc w:val="left"/>
      <w:pPr>
        <w:tabs>
          <w:tab w:val="num" w:pos="0"/>
        </w:tabs>
        <w:ind w:left="7176" w:hanging="360"/>
      </w:pPr>
    </w:lvl>
    <w:lvl w:ilvl="8">
      <w:start w:val="1"/>
      <w:numFmt w:val="lowerRoman"/>
      <w:lvlText w:val="%8.%9"/>
      <w:lvlJc w:val="right"/>
      <w:pPr>
        <w:tabs>
          <w:tab w:val="num" w:pos="0"/>
        </w:tabs>
        <w:ind w:left="7896" w:hanging="180"/>
      </w:pPr>
    </w:lvl>
  </w:abstractNum>
  <w:abstractNum w:abstractNumId="4">
    <w:nsid w:val="1CEA79BD"/>
    <w:multiLevelType w:val="multilevel"/>
    <w:tmpl w:val="11BCD1B6"/>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5">
    <w:nsid w:val="1DDB0D9D"/>
    <w:multiLevelType w:val="multilevel"/>
    <w:tmpl w:val="CCEC1828"/>
    <w:lvl w:ilvl="0">
      <w:start w:val="1"/>
      <w:numFmt w:val="decimal"/>
      <w:lvlText w:val="%1"/>
      <w:lvlJc w:val="left"/>
      <w:pPr>
        <w:tabs>
          <w:tab w:val="num" w:pos="0"/>
        </w:tabs>
        <w:ind w:left="1429" w:hanging="360"/>
      </w:pPr>
    </w:lvl>
    <w:lvl w:ilvl="1">
      <w:start w:val="1"/>
      <w:numFmt w:val="lowerLetter"/>
      <w:lvlText w:val="%1.%2"/>
      <w:lvlJc w:val="left"/>
      <w:pPr>
        <w:tabs>
          <w:tab w:val="num" w:pos="0"/>
        </w:tabs>
        <w:ind w:left="2149" w:hanging="360"/>
      </w:pPr>
    </w:lvl>
    <w:lvl w:ilvl="2">
      <w:start w:val="1"/>
      <w:numFmt w:val="lowerRoman"/>
      <w:lvlText w:val="%2.%3"/>
      <w:lvlJc w:val="right"/>
      <w:pPr>
        <w:tabs>
          <w:tab w:val="num" w:pos="0"/>
        </w:tabs>
        <w:ind w:left="2869" w:hanging="180"/>
      </w:pPr>
    </w:lvl>
    <w:lvl w:ilvl="3">
      <w:start w:val="1"/>
      <w:numFmt w:val="decimal"/>
      <w:lvlText w:val="%3.%4"/>
      <w:lvlJc w:val="left"/>
      <w:pPr>
        <w:tabs>
          <w:tab w:val="num" w:pos="0"/>
        </w:tabs>
        <w:ind w:left="3589" w:hanging="360"/>
      </w:pPr>
    </w:lvl>
    <w:lvl w:ilvl="4">
      <w:start w:val="1"/>
      <w:numFmt w:val="lowerLetter"/>
      <w:lvlText w:val="%4.%5"/>
      <w:lvlJc w:val="left"/>
      <w:pPr>
        <w:tabs>
          <w:tab w:val="num" w:pos="0"/>
        </w:tabs>
        <w:ind w:left="4309" w:hanging="360"/>
      </w:pPr>
    </w:lvl>
    <w:lvl w:ilvl="5">
      <w:start w:val="1"/>
      <w:numFmt w:val="lowerRoman"/>
      <w:lvlText w:val="%5.%6"/>
      <w:lvlJc w:val="right"/>
      <w:pPr>
        <w:tabs>
          <w:tab w:val="num" w:pos="0"/>
        </w:tabs>
        <w:ind w:left="5029" w:hanging="180"/>
      </w:pPr>
    </w:lvl>
    <w:lvl w:ilvl="6">
      <w:start w:val="1"/>
      <w:numFmt w:val="decimal"/>
      <w:lvlText w:val="%6.%7"/>
      <w:lvlJc w:val="left"/>
      <w:pPr>
        <w:tabs>
          <w:tab w:val="num" w:pos="0"/>
        </w:tabs>
        <w:ind w:left="5749" w:hanging="360"/>
      </w:pPr>
    </w:lvl>
    <w:lvl w:ilvl="7">
      <w:start w:val="1"/>
      <w:numFmt w:val="lowerLetter"/>
      <w:lvlText w:val="%7.%8"/>
      <w:lvlJc w:val="left"/>
      <w:pPr>
        <w:tabs>
          <w:tab w:val="num" w:pos="0"/>
        </w:tabs>
        <w:ind w:left="6469" w:hanging="360"/>
      </w:pPr>
    </w:lvl>
    <w:lvl w:ilvl="8">
      <w:start w:val="1"/>
      <w:numFmt w:val="lowerRoman"/>
      <w:lvlText w:val="%8.%9"/>
      <w:lvlJc w:val="right"/>
      <w:pPr>
        <w:tabs>
          <w:tab w:val="num" w:pos="0"/>
        </w:tabs>
        <w:ind w:left="7189" w:hanging="180"/>
      </w:pPr>
    </w:lvl>
  </w:abstractNum>
  <w:abstractNum w:abstractNumId="6">
    <w:nsid w:val="22F542B0"/>
    <w:multiLevelType w:val="multilevel"/>
    <w:tmpl w:val="29C2419E"/>
    <w:lvl w:ilvl="0">
      <w:start w:val="1"/>
      <w:numFmt w:val="decimal"/>
      <w:lvlText w:val="%1"/>
      <w:lvlJc w:val="left"/>
      <w:pPr>
        <w:tabs>
          <w:tab w:val="num" w:pos="720"/>
        </w:tabs>
        <w:ind w:left="720" w:hanging="360"/>
      </w:pPr>
    </w:lvl>
    <w:lvl w:ilvl="1">
      <w:start w:val="1"/>
      <w:numFmt w:val="lowerLetter"/>
      <w:lvlText w:val="%1.%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3.%4"/>
      <w:lvlJc w:val="left"/>
      <w:pPr>
        <w:tabs>
          <w:tab w:val="num" w:pos="2880"/>
        </w:tabs>
        <w:ind w:left="2880" w:hanging="360"/>
      </w:pPr>
    </w:lvl>
    <w:lvl w:ilvl="4">
      <w:start w:val="1"/>
      <w:numFmt w:val="decimal"/>
      <w:lvlText w:val="%4.%5"/>
      <w:lvlJc w:val="left"/>
      <w:pPr>
        <w:tabs>
          <w:tab w:val="num" w:pos="3600"/>
        </w:tabs>
        <w:ind w:left="3600" w:hanging="360"/>
      </w:pPr>
    </w:lvl>
    <w:lvl w:ilvl="5">
      <w:start w:val="1"/>
      <w:numFmt w:val="decimal"/>
      <w:lvlText w:val="%5.%6"/>
      <w:lvlJc w:val="left"/>
      <w:pPr>
        <w:tabs>
          <w:tab w:val="num" w:pos="4320"/>
        </w:tabs>
        <w:ind w:left="4320" w:hanging="360"/>
      </w:pPr>
    </w:lvl>
    <w:lvl w:ilvl="6">
      <w:start w:val="1"/>
      <w:numFmt w:val="decimal"/>
      <w:lvlText w:val="%6.%7"/>
      <w:lvlJc w:val="left"/>
      <w:pPr>
        <w:tabs>
          <w:tab w:val="num" w:pos="5040"/>
        </w:tabs>
        <w:ind w:left="5040" w:hanging="360"/>
      </w:pPr>
    </w:lvl>
    <w:lvl w:ilvl="7">
      <w:start w:val="1"/>
      <w:numFmt w:val="decimal"/>
      <w:lvlText w:val="%7.%8"/>
      <w:lvlJc w:val="left"/>
      <w:pPr>
        <w:tabs>
          <w:tab w:val="num" w:pos="5760"/>
        </w:tabs>
        <w:ind w:left="5760" w:hanging="360"/>
      </w:pPr>
    </w:lvl>
    <w:lvl w:ilvl="8">
      <w:start w:val="1"/>
      <w:numFmt w:val="decimal"/>
      <w:lvlText w:val="%8.%9"/>
      <w:lvlJc w:val="left"/>
      <w:pPr>
        <w:tabs>
          <w:tab w:val="num" w:pos="6480"/>
        </w:tabs>
        <w:ind w:left="6480" w:hanging="360"/>
      </w:pPr>
    </w:lvl>
  </w:abstractNum>
  <w:abstractNum w:abstractNumId="7">
    <w:nsid w:val="2359486D"/>
    <w:multiLevelType w:val="multilevel"/>
    <w:tmpl w:val="70421EF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nsid w:val="23DF5652"/>
    <w:multiLevelType w:val="multilevel"/>
    <w:tmpl w:val="A8A2EC98"/>
    <w:lvl w:ilvl="0">
      <w:start w:val="1"/>
      <w:numFmt w:val="lowerLetter"/>
      <w:lvlText w:val="%1"/>
      <w:lvlJc w:val="left"/>
      <w:pPr>
        <w:tabs>
          <w:tab w:val="num" w:pos="0"/>
        </w:tabs>
        <w:ind w:left="1146" w:hanging="360"/>
      </w:pPr>
    </w:lvl>
    <w:lvl w:ilvl="1">
      <w:start w:val="1"/>
      <w:numFmt w:val="lowerLetter"/>
      <w:lvlText w:val="%1.%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3.%4"/>
      <w:lvlJc w:val="left"/>
      <w:pPr>
        <w:tabs>
          <w:tab w:val="num" w:pos="0"/>
        </w:tabs>
        <w:ind w:left="3306" w:hanging="360"/>
      </w:pPr>
    </w:lvl>
    <w:lvl w:ilvl="4">
      <w:start w:val="1"/>
      <w:numFmt w:val="lowerLetter"/>
      <w:lvlText w:val="%4.%5"/>
      <w:lvlJc w:val="left"/>
      <w:pPr>
        <w:tabs>
          <w:tab w:val="num" w:pos="0"/>
        </w:tabs>
        <w:ind w:left="4026" w:hanging="360"/>
      </w:pPr>
    </w:lvl>
    <w:lvl w:ilvl="5">
      <w:start w:val="1"/>
      <w:numFmt w:val="lowerRoman"/>
      <w:lvlText w:val="%5.%6"/>
      <w:lvlJc w:val="right"/>
      <w:pPr>
        <w:tabs>
          <w:tab w:val="num" w:pos="0"/>
        </w:tabs>
        <w:ind w:left="4746" w:hanging="180"/>
      </w:pPr>
    </w:lvl>
    <w:lvl w:ilvl="6">
      <w:start w:val="1"/>
      <w:numFmt w:val="decimal"/>
      <w:lvlText w:val="%6.%7"/>
      <w:lvlJc w:val="left"/>
      <w:pPr>
        <w:tabs>
          <w:tab w:val="num" w:pos="0"/>
        </w:tabs>
        <w:ind w:left="5466" w:hanging="360"/>
      </w:pPr>
    </w:lvl>
    <w:lvl w:ilvl="7">
      <w:start w:val="1"/>
      <w:numFmt w:val="lowerLetter"/>
      <w:lvlText w:val="%7.%8"/>
      <w:lvlJc w:val="left"/>
      <w:pPr>
        <w:tabs>
          <w:tab w:val="num" w:pos="0"/>
        </w:tabs>
        <w:ind w:left="6186" w:hanging="360"/>
      </w:pPr>
    </w:lvl>
    <w:lvl w:ilvl="8">
      <w:start w:val="1"/>
      <w:numFmt w:val="lowerRoman"/>
      <w:lvlText w:val="%8.%9"/>
      <w:lvlJc w:val="right"/>
      <w:pPr>
        <w:tabs>
          <w:tab w:val="num" w:pos="0"/>
        </w:tabs>
        <w:ind w:left="6906" w:hanging="180"/>
      </w:pPr>
    </w:lvl>
  </w:abstractNum>
  <w:abstractNum w:abstractNumId="9">
    <w:nsid w:val="267F1812"/>
    <w:multiLevelType w:val="multilevel"/>
    <w:tmpl w:val="38C2D2D4"/>
    <w:lvl w:ilvl="0">
      <w:start w:val="1"/>
      <w:numFmt w:val="lowerLetter"/>
      <w:lvlText w:val="%1"/>
      <w:lvlJc w:val="left"/>
      <w:pPr>
        <w:tabs>
          <w:tab w:val="num" w:pos="0"/>
        </w:tabs>
        <w:ind w:left="2136" w:hanging="360"/>
      </w:pPr>
    </w:lvl>
    <w:lvl w:ilvl="1">
      <w:start w:val="1"/>
      <w:numFmt w:val="lowerLetter"/>
      <w:lvlText w:val="%1.%2"/>
      <w:lvlJc w:val="left"/>
      <w:pPr>
        <w:tabs>
          <w:tab w:val="num" w:pos="0"/>
        </w:tabs>
        <w:ind w:left="2856" w:hanging="360"/>
      </w:pPr>
    </w:lvl>
    <w:lvl w:ilvl="2">
      <w:start w:val="1"/>
      <w:numFmt w:val="lowerRoman"/>
      <w:lvlText w:val="%2.%3"/>
      <w:lvlJc w:val="right"/>
      <w:pPr>
        <w:tabs>
          <w:tab w:val="num" w:pos="0"/>
        </w:tabs>
        <w:ind w:left="3576" w:hanging="180"/>
      </w:pPr>
    </w:lvl>
    <w:lvl w:ilvl="3">
      <w:start w:val="1"/>
      <w:numFmt w:val="decimal"/>
      <w:lvlText w:val="%3.%4"/>
      <w:lvlJc w:val="left"/>
      <w:pPr>
        <w:tabs>
          <w:tab w:val="num" w:pos="0"/>
        </w:tabs>
        <w:ind w:left="4296" w:hanging="360"/>
      </w:pPr>
    </w:lvl>
    <w:lvl w:ilvl="4">
      <w:start w:val="1"/>
      <w:numFmt w:val="lowerLetter"/>
      <w:lvlText w:val="%4.%5"/>
      <w:lvlJc w:val="left"/>
      <w:pPr>
        <w:tabs>
          <w:tab w:val="num" w:pos="0"/>
        </w:tabs>
        <w:ind w:left="5016" w:hanging="360"/>
      </w:pPr>
    </w:lvl>
    <w:lvl w:ilvl="5">
      <w:start w:val="1"/>
      <w:numFmt w:val="lowerRoman"/>
      <w:lvlText w:val="%5.%6"/>
      <w:lvlJc w:val="right"/>
      <w:pPr>
        <w:tabs>
          <w:tab w:val="num" w:pos="0"/>
        </w:tabs>
        <w:ind w:left="5736" w:hanging="180"/>
      </w:pPr>
    </w:lvl>
    <w:lvl w:ilvl="6">
      <w:start w:val="1"/>
      <w:numFmt w:val="decimal"/>
      <w:lvlText w:val="%6.%7"/>
      <w:lvlJc w:val="left"/>
      <w:pPr>
        <w:tabs>
          <w:tab w:val="num" w:pos="0"/>
        </w:tabs>
        <w:ind w:left="6456" w:hanging="360"/>
      </w:pPr>
    </w:lvl>
    <w:lvl w:ilvl="7">
      <w:start w:val="1"/>
      <w:numFmt w:val="lowerLetter"/>
      <w:lvlText w:val="%7.%8"/>
      <w:lvlJc w:val="left"/>
      <w:pPr>
        <w:tabs>
          <w:tab w:val="num" w:pos="0"/>
        </w:tabs>
        <w:ind w:left="7176" w:hanging="360"/>
      </w:pPr>
    </w:lvl>
    <w:lvl w:ilvl="8">
      <w:start w:val="1"/>
      <w:numFmt w:val="lowerRoman"/>
      <w:lvlText w:val="%8.%9"/>
      <w:lvlJc w:val="right"/>
      <w:pPr>
        <w:tabs>
          <w:tab w:val="num" w:pos="0"/>
        </w:tabs>
        <w:ind w:left="7896" w:hanging="180"/>
      </w:pPr>
    </w:lvl>
  </w:abstractNum>
  <w:abstractNum w:abstractNumId="10">
    <w:nsid w:val="2A460237"/>
    <w:multiLevelType w:val="multilevel"/>
    <w:tmpl w:val="3F900A9C"/>
    <w:lvl w:ilvl="0">
      <w:start w:val="1"/>
      <w:numFmt w:val="decimal"/>
      <w:lvlText w:val="%1"/>
      <w:lvlJc w:val="left"/>
      <w:pPr>
        <w:tabs>
          <w:tab w:val="num" w:pos="0"/>
        </w:tabs>
        <w:ind w:left="1440" w:hanging="360"/>
      </w:pPr>
    </w:lvl>
    <w:lvl w:ilvl="1">
      <w:start w:val="1"/>
      <w:numFmt w:val="lowerLetter"/>
      <w:lvlText w:val="%1.%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3.%4"/>
      <w:lvlJc w:val="left"/>
      <w:pPr>
        <w:tabs>
          <w:tab w:val="num" w:pos="0"/>
        </w:tabs>
        <w:ind w:left="3600" w:hanging="360"/>
      </w:pPr>
    </w:lvl>
    <w:lvl w:ilvl="4">
      <w:start w:val="1"/>
      <w:numFmt w:val="lowerLetter"/>
      <w:lvlText w:val="%4.%5"/>
      <w:lvlJc w:val="left"/>
      <w:pPr>
        <w:tabs>
          <w:tab w:val="num" w:pos="0"/>
        </w:tabs>
        <w:ind w:left="4320" w:hanging="360"/>
      </w:pPr>
    </w:lvl>
    <w:lvl w:ilvl="5">
      <w:start w:val="1"/>
      <w:numFmt w:val="lowerRoman"/>
      <w:lvlText w:val="%5.%6"/>
      <w:lvlJc w:val="right"/>
      <w:pPr>
        <w:tabs>
          <w:tab w:val="num" w:pos="0"/>
        </w:tabs>
        <w:ind w:left="5040" w:hanging="180"/>
      </w:pPr>
    </w:lvl>
    <w:lvl w:ilvl="6">
      <w:start w:val="1"/>
      <w:numFmt w:val="decimal"/>
      <w:lvlText w:val="%6.%7"/>
      <w:lvlJc w:val="left"/>
      <w:pPr>
        <w:tabs>
          <w:tab w:val="num" w:pos="0"/>
        </w:tabs>
        <w:ind w:left="5760" w:hanging="360"/>
      </w:pPr>
    </w:lvl>
    <w:lvl w:ilvl="7">
      <w:start w:val="1"/>
      <w:numFmt w:val="lowerLetter"/>
      <w:lvlText w:val="%7.%8"/>
      <w:lvlJc w:val="left"/>
      <w:pPr>
        <w:tabs>
          <w:tab w:val="num" w:pos="0"/>
        </w:tabs>
        <w:ind w:left="6480" w:hanging="360"/>
      </w:pPr>
    </w:lvl>
    <w:lvl w:ilvl="8">
      <w:start w:val="1"/>
      <w:numFmt w:val="lowerRoman"/>
      <w:lvlText w:val="%8.%9"/>
      <w:lvlJc w:val="right"/>
      <w:pPr>
        <w:tabs>
          <w:tab w:val="num" w:pos="0"/>
        </w:tabs>
        <w:ind w:left="7200" w:hanging="180"/>
      </w:pPr>
    </w:lvl>
  </w:abstractNum>
  <w:abstractNum w:abstractNumId="11">
    <w:nsid w:val="2B7F6A8F"/>
    <w:multiLevelType w:val="multilevel"/>
    <w:tmpl w:val="9BA80DC6"/>
    <w:lvl w:ilvl="0">
      <w:start w:val="1"/>
      <w:numFmt w:val="lowerLetter"/>
      <w:lvlText w:val="%1"/>
      <w:lvlJc w:val="left"/>
      <w:pPr>
        <w:tabs>
          <w:tab w:val="num" w:pos="0"/>
        </w:tabs>
        <w:ind w:left="1003" w:hanging="360"/>
      </w:pPr>
    </w:lvl>
    <w:lvl w:ilvl="1">
      <w:start w:val="1"/>
      <w:numFmt w:val="lowerLetter"/>
      <w:lvlText w:val="%1.%2"/>
      <w:lvlJc w:val="left"/>
      <w:pPr>
        <w:tabs>
          <w:tab w:val="num" w:pos="0"/>
        </w:tabs>
        <w:ind w:left="1723" w:hanging="360"/>
      </w:pPr>
    </w:lvl>
    <w:lvl w:ilvl="2">
      <w:start w:val="1"/>
      <w:numFmt w:val="lowerRoman"/>
      <w:lvlText w:val="%2.%3"/>
      <w:lvlJc w:val="right"/>
      <w:pPr>
        <w:tabs>
          <w:tab w:val="num" w:pos="0"/>
        </w:tabs>
        <w:ind w:left="2443" w:hanging="180"/>
      </w:pPr>
    </w:lvl>
    <w:lvl w:ilvl="3">
      <w:start w:val="1"/>
      <w:numFmt w:val="decimal"/>
      <w:lvlText w:val="%3.%4"/>
      <w:lvlJc w:val="left"/>
      <w:pPr>
        <w:tabs>
          <w:tab w:val="num" w:pos="0"/>
        </w:tabs>
        <w:ind w:left="3163" w:hanging="360"/>
      </w:pPr>
    </w:lvl>
    <w:lvl w:ilvl="4">
      <w:start w:val="1"/>
      <w:numFmt w:val="lowerLetter"/>
      <w:lvlText w:val="%4.%5"/>
      <w:lvlJc w:val="left"/>
      <w:pPr>
        <w:tabs>
          <w:tab w:val="num" w:pos="0"/>
        </w:tabs>
        <w:ind w:left="3883" w:hanging="360"/>
      </w:pPr>
    </w:lvl>
    <w:lvl w:ilvl="5">
      <w:start w:val="1"/>
      <w:numFmt w:val="lowerRoman"/>
      <w:lvlText w:val="%5.%6"/>
      <w:lvlJc w:val="right"/>
      <w:pPr>
        <w:tabs>
          <w:tab w:val="num" w:pos="0"/>
        </w:tabs>
        <w:ind w:left="4603" w:hanging="180"/>
      </w:pPr>
    </w:lvl>
    <w:lvl w:ilvl="6">
      <w:start w:val="1"/>
      <w:numFmt w:val="decimal"/>
      <w:lvlText w:val="%6.%7"/>
      <w:lvlJc w:val="left"/>
      <w:pPr>
        <w:tabs>
          <w:tab w:val="num" w:pos="0"/>
        </w:tabs>
        <w:ind w:left="5323" w:hanging="360"/>
      </w:pPr>
    </w:lvl>
    <w:lvl w:ilvl="7">
      <w:start w:val="1"/>
      <w:numFmt w:val="lowerLetter"/>
      <w:lvlText w:val="%7.%8"/>
      <w:lvlJc w:val="left"/>
      <w:pPr>
        <w:tabs>
          <w:tab w:val="num" w:pos="0"/>
        </w:tabs>
        <w:ind w:left="6043" w:hanging="360"/>
      </w:pPr>
    </w:lvl>
    <w:lvl w:ilvl="8">
      <w:start w:val="1"/>
      <w:numFmt w:val="lowerRoman"/>
      <w:lvlText w:val="%8.%9"/>
      <w:lvlJc w:val="right"/>
      <w:pPr>
        <w:tabs>
          <w:tab w:val="num" w:pos="0"/>
        </w:tabs>
        <w:ind w:left="6763" w:hanging="180"/>
      </w:pPr>
    </w:lvl>
  </w:abstractNum>
  <w:abstractNum w:abstractNumId="12">
    <w:nsid w:val="2C2674D9"/>
    <w:multiLevelType w:val="multilevel"/>
    <w:tmpl w:val="E838581C"/>
    <w:lvl w:ilvl="0">
      <w:start w:val="1"/>
      <w:numFmt w:val="lowerLetter"/>
      <w:lvlText w:val="%1"/>
      <w:lvlJc w:val="left"/>
      <w:pPr>
        <w:tabs>
          <w:tab w:val="num" w:pos="0"/>
        </w:tabs>
        <w:ind w:left="108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3">
    <w:nsid w:val="2CD1016F"/>
    <w:multiLevelType w:val="multilevel"/>
    <w:tmpl w:val="6FAA68F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nsid w:val="2D10675F"/>
    <w:multiLevelType w:val="multilevel"/>
    <w:tmpl w:val="0B1EBC30"/>
    <w:lvl w:ilvl="0">
      <w:start w:val="1"/>
      <w:numFmt w:val="decimal"/>
      <w:lvlText w:val="%1"/>
      <w:lvlJc w:val="left"/>
      <w:pPr>
        <w:tabs>
          <w:tab w:val="num" w:pos="0"/>
        </w:tabs>
        <w:ind w:left="770" w:hanging="360"/>
      </w:pPr>
    </w:lvl>
    <w:lvl w:ilvl="1">
      <w:start w:val="1"/>
      <w:numFmt w:val="lowerLetter"/>
      <w:lvlText w:val="%1.%2"/>
      <w:lvlJc w:val="left"/>
      <w:pPr>
        <w:tabs>
          <w:tab w:val="num" w:pos="0"/>
        </w:tabs>
        <w:ind w:left="1490" w:hanging="360"/>
      </w:pPr>
    </w:lvl>
    <w:lvl w:ilvl="2">
      <w:start w:val="1"/>
      <w:numFmt w:val="lowerRoman"/>
      <w:lvlText w:val="%2.%3"/>
      <w:lvlJc w:val="right"/>
      <w:pPr>
        <w:tabs>
          <w:tab w:val="num" w:pos="0"/>
        </w:tabs>
        <w:ind w:left="2210" w:hanging="180"/>
      </w:pPr>
    </w:lvl>
    <w:lvl w:ilvl="3">
      <w:start w:val="1"/>
      <w:numFmt w:val="decimal"/>
      <w:lvlText w:val="%3.%4"/>
      <w:lvlJc w:val="left"/>
      <w:pPr>
        <w:tabs>
          <w:tab w:val="num" w:pos="0"/>
        </w:tabs>
        <w:ind w:left="2930" w:hanging="360"/>
      </w:pPr>
    </w:lvl>
    <w:lvl w:ilvl="4">
      <w:start w:val="1"/>
      <w:numFmt w:val="lowerLetter"/>
      <w:lvlText w:val="%4.%5"/>
      <w:lvlJc w:val="left"/>
      <w:pPr>
        <w:tabs>
          <w:tab w:val="num" w:pos="0"/>
        </w:tabs>
        <w:ind w:left="3650" w:hanging="360"/>
      </w:pPr>
    </w:lvl>
    <w:lvl w:ilvl="5">
      <w:start w:val="1"/>
      <w:numFmt w:val="lowerRoman"/>
      <w:lvlText w:val="%5.%6"/>
      <w:lvlJc w:val="right"/>
      <w:pPr>
        <w:tabs>
          <w:tab w:val="num" w:pos="0"/>
        </w:tabs>
        <w:ind w:left="4370" w:hanging="180"/>
      </w:pPr>
    </w:lvl>
    <w:lvl w:ilvl="6">
      <w:start w:val="1"/>
      <w:numFmt w:val="decimal"/>
      <w:lvlText w:val="%6.%7"/>
      <w:lvlJc w:val="left"/>
      <w:pPr>
        <w:tabs>
          <w:tab w:val="num" w:pos="0"/>
        </w:tabs>
        <w:ind w:left="5090" w:hanging="360"/>
      </w:pPr>
    </w:lvl>
    <w:lvl w:ilvl="7">
      <w:start w:val="1"/>
      <w:numFmt w:val="lowerLetter"/>
      <w:lvlText w:val="%7.%8"/>
      <w:lvlJc w:val="left"/>
      <w:pPr>
        <w:tabs>
          <w:tab w:val="num" w:pos="0"/>
        </w:tabs>
        <w:ind w:left="5810" w:hanging="360"/>
      </w:pPr>
    </w:lvl>
    <w:lvl w:ilvl="8">
      <w:start w:val="1"/>
      <w:numFmt w:val="lowerRoman"/>
      <w:lvlText w:val="%8.%9"/>
      <w:lvlJc w:val="right"/>
      <w:pPr>
        <w:tabs>
          <w:tab w:val="num" w:pos="0"/>
        </w:tabs>
        <w:ind w:left="6530" w:hanging="180"/>
      </w:pPr>
    </w:lvl>
  </w:abstractNum>
  <w:abstractNum w:abstractNumId="15">
    <w:nsid w:val="2E8C5FF3"/>
    <w:multiLevelType w:val="multilevel"/>
    <w:tmpl w:val="61B2543A"/>
    <w:lvl w:ilvl="0">
      <w:start w:val="1"/>
      <w:numFmt w:val="lowerLetter"/>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6">
    <w:nsid w:val="2FCE3E26"/>
    <w:multiLevelType w:val="multilevel"/>
    <w:tmpl w:val="11FC6BB4"/>
    <w:lvl w:ilvl="0">
      <w:start w:val="1"/>
      <w:numFmt w:val="bullet"/>
      <w:lvlText w:val=""/>
      <w:lvlJc w:val="left"/>
      <w:pPr>
        <w:tabs>
          <w:tab w:val="num" w:pos="0"/>
        </w:tabs>
        <w:ind w:left="1146" w:hanging="360"/>
      </w:pPr>
      <w:rPr>
        <w:rFonts w:ascii="Symbol" w:hAnsi="Symbol" w:cs="Symbol" w:hint="default"/>
      </w:r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17">
    <w:nsid w:val="31DC7690"/>
    <w:multiLevelType w:val="multilevel"/>
    <w:tmpl w:val="A2F6432E"/>
    <w:lvl w:ilvl="0">
      <w:start w:val="1"/>
      <w:numFmt w:val="lowerLetter"/>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8">
    <w:nsid w:val="3429341A"/>
    <w:multiLevelType w:val="multilevel"/>
    <w:tmpl w:val="11C8A924"/>
    <w:lvl w:ilvl="0">
      <w:start w:val="1"/>
      <w:numFmt w:val="lowerLetter"/>
      <w:lvlText w:val="%1"/>
      <w:lvlJc w:val="left"/>
      <w:pPr>
        <w:tabs>
          <w:tab w:val="num" w:pos="0"/>
        </w:tabs>
        <w:ind w:left="786" w:hanging="360"/>
      </w:pPr>
    </w:lvl>
    <w:lvl w:ilvl="1">
      <w:start w:val="1"/>
      <w:numFmt w:val="lowerLetter"/>
      <w:lvlText w:val="%1.%2"/>
      <w:lvlJc w:val="left"/>
      <w:pPr>
        <w:tabs>
          <w:tab w:val="num" w:pos="0"/>
        </w:tabs>
        <w:ind w:left="1506" w:hanging="360"/>
      </w:pPr>
    </w:lvl>
    <w:lvl w:ilvl="2">
      <w:start w:val="1"/>
      <w:numFmt w:val="lowerRoman"/>
      <w:lvlText w:val="%2.%3"/>
      <w:lvlJc w:val="right"/>
      <w:pPr>
        <w:tabs>
          <w:tab w:val="num" w:pos="0"/>
        </w:tabs>
        <w:ind w:left="2226" w:hanging="180"/>
      </w:pPr>
    </w:lvl>
    <w:lvl w:ilvl="3">
      <w:start w:val="1"/>
      <w:numFmt w:val="decimal"/>
      <w:lvlText w:val="%3.%4"/>
      <w:lvlJc w:val="left"/>
      <w:pPr>
        <w:tabs>
          <w:tab w:val="num" w:pos="0"/>
        </w:tabs>
        <w:ind w:left="2946" w:hanging="360"/>
      </w:pPr>
    </w:lvl>
    <w:lvl w:ilvl="4">
      <w:start w:val="1"/>
      <w:numFmt w:val="lowerLetter"/>
      <w:lvlText w:val="%4.%5"/>
      <w:lvlJc w:val="left"/>
      <w:pPr>
        <w:tabs>
          <w:tab w:val="num" w:pos="0"/>
        </w:tabs>
        <w:ind w:left="3666" w:hanging="360"/>
      </w:pPr>
    </w:lvl>
    <w:lvl w:ilvl="5">
      <w:start w:val="1"/>
      <w:numFmt w:val="lowerRoman"/>
      <w:lvlText w:val="%5.%6"/>
      <w:lvlJc w:val="right"/>
      <w:pPr>
        <w:tabs>
          <w:tab w:val="num" w:pos="0"/>
        </w:tabs>
        <w:ind w:left="4386" w:hanging="180"/>
      </w:pPr>
    </w:lvl>
    <w:lvl w:ilvl="6">
      <w:start w:val="1"/>
      <w:numFmt w:val="decimal"/>
      <w:lvlText w:val="%6.%7"/>
      <w:lvlJc w:val="left"/>
      <w:pPr>
        <w:tabs>
          <w:tab w:val="num" w:pos="0"/>
        </w:tabs>
        <w:ind w:left="5106" w:hanging="360"/>
      </w:pPr>
    </w:lvl>
    <w:lvl w:ilvl="7">
      <w:start w:val="1"/>
      <w:numFmt w:val="lowerLetter"/>
      <w:lvlText w:val="%7.%8"/>
      <w:lvlJc w:val="left"/>
      <w:pPr>
        <w:tabs>
          <w:tab w:val="num" w:pos="0"/>
        </w:tabs>
        <w:ind w:left="5826" w:hanging="360"/>
      </w:pPr>
    </w:lvl>
    <w:lvl w:ilvl="8">
      <w:start w:val="1"/>
      <w:numFmt w:val="lowerRoman"/>
      <w:lvlText w:val="%8.%9"/>
      <w:lvlJc w:val="right"/>
      <w:pPr>
        <w:tabs>
          <w:tab w:val="num" w:pos="0"/>
        </w:tabs>
        <w:ind w:left="6546" w:hanging="180"/>
      </w:pPr>
    </w:lvl>
  </w:abstractNum>
  <w:abstractNum w:abstractNumId="19">
    <w:nsid w:val="37557508"/>
    <w:multiLevelType w:val="multilevel"/>
    <w:tmpl w:val="232A45E0"/>
    <w:lvl w:ilvl="0">
      <w:start w:val="1"/>
      <w:numFmt w:val="bullet"/>
      <w:lvlText w:val=""/>
      <w:lvlJc w:val="left"/>
      <w:pPr>
        <w:tabs>
          <w:tab w:val="num" w:pos="0"/>
        </w:tabs>
        <w:ind w:left="1800" w:hanging="360"/>
      </w:pPr>
      <w:rPr>
        <w:rFonts w:ascii="Symbol" w:hAnsi="Symbol" w:cs="Symbol" w:hint="default"/>
      </w:rPr>
    </w:lvl>
    <w:lvl w:ilvl="1">
      <w:start w:val="1"/>
      <w:numFmt w:val="bullet"/>
      <w:lvlText w:val="o"/>
      <w:lvlJc w:val="left"/>
      <w:pPr>
        <w:tabs>
          <w:tab w:val="num" w:pos="0"/>
        </w:tabs>
        <w:ind w:left="2520" w:hanging="360"/>
      </w:pPr>
      <w:rPr>
        <w:rFonts w:ascii="Courier New" w:hAnsi="Courier New" w:cs="Courier New" w:hint="default"/>
      </w:rPr>
    </w:lvl>
    <w:lvl w:ilvl="2">
      <w:start w:val="1"/>
      <w:numFmt w:val="bullet"/>
      <w:lvlText w:val=""/>
      <w:lvlJc w:val="left"/>
      <w:pPr>
        <w:tabs>
          <w:tab w:val="num" w:pos="0"/>
        </w:tabs>
        <w:ind w:left="3240" w:hanging="360"/>
      </w:pPr>
      <w:rPr>
        <w:rFonts w:ascii="Wingdings" w:hAnsi="Wingdings" w:cs="Wingdings" w:hint="default"/>
      </w:rPr>
    </w:lvl>
    <w:lvl w:ilvl="3">
      <w:start w:val="1"/>
      <w:numFmt w:val="bullet"/>
      <w:lvlText w:val=""/>
      <w:lvlJc w:val="left"/>
      <w:pPr>
        <w:tabs>
          <w:tab w:val="num" w:pos="0"/>
        </w:tabs>
        <w:ind w:left="3960" w:hanging="360"/>
      </w:pPr>
      <w:rPr>
        <w:rFonts w:ascii="Symbol" w:hAnsi="Symbol" w:cs="Symbol" w:hint="default"/>
      </w:rPr>
    </w:lvl>
    <w:lvl w:ilvl="4">
      <w:start w:val="1"/>
      <w:numFmt w:val="bullet"/>
      <w:lvlText w:val="o"/>
      <w:lvlJc w:val="left"/>
      <w:pPr>
        <w:tabs>
          <w:tab w:val="num" w:pos="0"/>
        </w:tabs>
        <w:ind w:left="4680" w:hanging="360"/>
      </w:pPr>
      <w:rPr>
        <w:rFonts w:ascii="Courier New" w:hAnsi="Courier New" w:cs="Courier New" w:hint="default"/>
      </w:rPr>
    </w:lvl>
    <w:lvl w:ilvl="5">
      <w:start w:val="1"/>
      <w:numFmt w:val="bullet"/>
      <w:lvlText w:val=""/>
      <w:lvlJc w:val="left"/>
      <w:pPr>
        <w:tabs>
          <w:tab w:val="num" w:pos="0"/>
        </w:tabs>
        <w:ind w:left="5400" w:hanging="360"/>
      </w:pPr>
      <w:rPr>
        <w:rFonts w:ascii="Wingdings" w:hAnsi="Wingdings" w:cs="Wingdings" w:hint="default"/>
      </w:rPr>
    </w:lvl>
    <w:lvl w:ilvl="6">
      <w:start w:val="1"/>
      <w:numFmt w:val="bullet"/>
      <w:lvlText w:val=""/>
      <w:lvlJc w:val="left"/>
      <w:pPr>
        <w:tabs>
          <w:tab w:val="num" w:pos="0"/>
        </w:tabs>
        <w:ind w:left="6120" w:hanging="360"/>
      </w:pPr>
      <w:rPr>
        <w:rFonts w:ascii="Symbol" w:hAnsi="Symbol" w:cs="Symbol" w:hint="default"/>
      </w:rPr>
    </w:lvl>
    <w:lvl w:ilvl="7">
      <w:start w:val="1"/>
      <w:numFmt w:val="bullet"/>
      <w:lvlText w:val="o"/>
      <w:lvlJc w:val="left"/>
      <w:pPr>
        <w:tabs>
          <w:tab w:val="num" w:pos="0"/>
        </w:tabs>
        <w:ind w:left="6840" w:hanging="360"/>
      </w:pPr>
      <w:rPr>
        <w:rFonts w:ascii="Courier New" w:hAnsi="Courier New" w:cs="Courier New" w:hint="default"/>
      </w:rPr>
    </w:lvl>
    <w:lvl w:ilvl="8">
      <w:start w:val="1"/>
      <w:numFmt w:val="bullet"/>
      <w:lvlText w:val=""/>
      <w:lvlJc w:val="left"/>
      <w:pPr>
        <w:tabs>
          <w:tab w:val="num" w:pos="0"/>
        </w:tabs>
        <w:ind w:left="7560" w:hanging="360"/>
      </w:pPr>
      <w:rPr>
        <w:rFonts w:ascii="Wingdings" w:hAnsi="Wingdings" w:cs="Wingdings" w:hint="default"/>
      </w:rPr>
    </w:lvl>
  </w:abstractNum>
  <w:abstractNum w:abstractNumId="20">
    <w:nsid w:val="3B4040F9"/>
    <w:multiLevelType w:val="multilevel"/>
    <w:tmpl w:val="B748CDE4"/>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1">
    <w:nsid w:val="3B9D3E82"/>
    <w:multiLevelType w:val="multilevel"/>
    <w:tmpl w:val="5EFE9C4A"/>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22">
    <w:nsid w:val="3EC6741E"/>
    <w:multiLevelType w:val="multilevel"/>
    <w:tmpl w:val="F7C632F0"/>
    <w:lvl w:ilvl="0">
      <w:start w:val="1"/>
      <w:numFmt w:val="lowerLetter"/>
      <w:lvlText w:val="%1"/>
      <w:lvlJc w:val="left"/>
      <w:pPr>
        <w:tabs>
          <w:tab w:val="num" w:pos="0"/>
        </w:tabs>
        <w:ind w:left="1146" w:hanging="360"/>
      </w:p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23">
    <w:nsid w:val="419A70D4"/>
    <w:multiLevelType w:val="multilevel"/>
    <w:tmpl w:val="78BE7D90"/>
    <w:lvl w:ilvl="0">
      <w:start w:val="1"/>
      <w:numFmt w:val="lowerLetter"/>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4">
    <w:nsid w:val="46EB77A0"/>
    <w:multiLevelType w:val="multilevel"/>
    <w:tmpl w:val="0548FD7C"/>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5">
    <w:nsid w:val="471E18C3"/>
    <w:multiLevelType w:val="multilevel"/>
    <w:tmpl w:val="5746A196"/>
    <w:lvl w:ilvl="0">
      <w:start w:val="1"/>
      <w:numFmt w:val="lowerLetter"/>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6">
    <w:nsid w:val="48664674"/>
    <w:multiLevelType w:val="multilevel"/>
    <w:tmpl w:val="14EE38CC"/>
    <w:lvl w:ilvl="0">
      <w:start w:val="1"/>
      <w:numFmt w:val="decimal"/>
      <w:lvlText w:val="%1"/>
      <w:lvlJc w:val="left"/>
      <w:pPr>
        <w:tabs>
          <w:tab w:val="num" w:pos="0"/>
        </w:tabs>
        <w:ind w:left="360" w:hanging="360"/>
      </w:pPr>
      <w:rPr>
        <w:b/>
        <w:bCs/>
        <w:color w:val="auto"/>
      </w:rPr>
    </w:lvl>
    <w:lvl w:ilvl="1">
      <w:start w:val="1"/>
      <w:numFmt w:val="lowerLetter"/>
      <w:lvlText w:val="%1.%2"/>
      <w:lvlJc w:val="left"/>
      <w:pPr>
        <w:tabs>
          <w:tab w:val="num" w:pos="0"/>
        </w:tabs>
        <w:ind w:left="1130" w:hanging="360"/>
      </w:pPr>
    </w:lvl>
    <w:lvl w:ilvl="2">
      <w:start w:val="1"/>
      <w:numFmt w:val="lowerRoman"/>
      <w:lvlText w:val="%2.%3"/>
      <w:lvlJc w:val="right"/>
      <w:pPr>
        <w:tabs>
          <w:tab w:val="num" w:pos="0"/>
        </w:tabs>
        <w:ind w:left="1850" w:hanging="180"/>
      </w:pPr>
    </w:lvl>
    <w:lvl w:ilvl="3">
      <w:start w:val="1"/>
      <w:numFmt w:val="decimal"/>
      <w:lvlText w:val="%3.%4"/>
      <w:lvlJc w:val="left"/>
      <w:pPr>
        <w:tabs>
          <w:tab w:val="num" w:pos="0"/>
        </w:tabs>
        <w:ind w:left="2570" w:hanging="360"/>
      </w:pPr>
    </w:lvl>
    <w:lvl w:ilvl="4">
      <w:start w:val="1"/>
      <w:numFmt w:val="lowerLetter"/>
      <w:lvlText w:val="%4.%5"/>
      <w:lvlJc w:val="left"/>
      <w:pPr>
        <w:tabs>
          <w:tab w:val="num" w:pos="0"/>
        </w:tabs>
        <w:ind w:left="3290" w:hanging="360"/>
      </w:pPr>
    </w:lvl>
    <w:lvl w:ilvl="5">
      <w:start w:val="1"/>
      <w:numFmt w:val="lowerRoman"/>
      <w:lvlText w:val="%5.%6"/>
      <w:lvlJc w:val="right"/>
      <w:pPr>
        <w:tabs>
          <w:tab w:val="num" w:pos="0"/>
        </w:tabs>
        <w:ind w:left="4010" w:hanging="180"/>
      </w:pPr>
    </w:lvl>
    <w:lvl w:ilvl="6">
      <w:start w:val="1"/>
      <w:numFmt w:val="decimal"/>
      <w:lvlText w:val="%6.%7"/>
      <w:lvlJc w:val="left"/>
      <w:pPr>
        <w:tabs>
          <w:tab w:val="num" w:pos="0"/>
        </w:tabs>
        <w:ind w:left="4730" w:hanging="360"/>
      </w:pPr>
    </w:lvl>
    <w:lvl w:ilvl="7">
      <w:start w:val="1"/>
      <w:numFmt w:val="lowerLetter"/>
      <w:lvlText w:val="%7.%8"/>
      <w:lvlJc w:val="left"/>
      <w:pPr>
        <w:tabs>
          <w:tab w:val="num" w:pos="0"/>
        </w:tabs>
        <w:ind w:left="5450" w:hanging="360"/>
      </w:pPr>
    </w:lvl>
    <w:lvl w:ilvl="8">
      <w:start w:val="1"/>
      <w:numFmt w:val="lowerRoman"/>
      <w:lvlText w:val="%8.%9"/>
      <w:lvlJc w:val="right"/>
      <w:pPr>
        <w:tabs>
          <w:tab w:val="num" w:pos="0"/>
        </w:tabs>
        <w:ind w:left="6170" w:hanging="180"/>
      </w:pPr>
    </w:lvl>
  </w:abstractNum>
  <w:abstractNum w:abstractNumId="27">
    <w:nsid w:val="4A450374"/>
    <w:multiLevelType w:val="multilevel"/>
    <w:tmpl w:val="3634D3F8"/>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28">
    <w:nsid w:val="4A9C77B3"/>
    <w:multiLevelType w:val="multilevel"/>
    <w:tmpl w:val="B878652A"/>
    <w:lvl w:ilvl="0">
      <w:start w:val="1"/>
      <w:numFmt w:val="bullet"/>
      <w:lvlText w:val=""/>
      <w:lvlJc w:val="left"/>
      <w:pPr>
        <w:tabs>
          <w:tab w:val="num" w:pos="0"/>
        </w:tabs>
        <w:ind w:left="360" w:hanging="360"/>
      </w:pPr>
      <w:rPr>
        <w:rFonts w:ascii="Wingdings" w:hAnsi="Wingdings" w:cs="Wingdings"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9">
    <w:nsid w:val="4ADF0B81"/>
    <w:multiLevelType w:val="multilevel"/>
    <w:tmpl w:val="17E4EA0A"/>
    <w:lvl w:ilvl="0">
      <w:start w:val="1"/>
      <w:numFmt w:val="decimal"/>
      <w:lvlText w:val="%1"/>
      <w:lvlJc w:val="left"/>
      <w:pPr>
        <w:tabs>
          <w:tab w:val="num" w:pos="720"/>
        </w:tabs>
        <w:ind w:left="720" w:hanging="360"/>
      </w:pPr>
    </w:lvl>
    <w:lvl w:ilvl="1">
      <w:start w:val="1"/>
      <w:numFmt w:val="decimal"/>
      <w:lvlText w:val="%1.%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3.%4"/>
      <w:lvlJc w:val="left"/>
      <w:pPr>
        <w:tabs>
          <w:tab w:val="num" w:pos="2880"/>
        </w:tabs>
        <w:ind w:left="2880" w:hanging="360"/>
      </w:pPr>
    </w:lvl>
    <w:lvl w:ilvl="4">
      <w:start w:val="1"/>
      <w:numFmt w:val="decimal"/>
      <w:lvlText w:val="%4.%5"/>
      <w:lvlJc w:val="left"/>
      <w:pPr>
        <w:tabs>
          <w:tab w:val="num" w:pos="3600"/>
        </w:tabs>
        <w:ind w:left="3600" w:hanging="360"/>
      </w:pPr>
    </w:lvl>
    <w:lvl w:ilvl="5">
      <w:start w:val="1"/>
      <w:numFmt w:val="decimal"/>
      <w:lvlText w:val="%5.%6"/>
      <w:lvlJc w:val="left"/>
      <w:pPr>
        <w:tabs>
          <w:tab w:val="num" w:pos="4320"/>
        </w:tabs>
        <w:ind w:left="4320" w:hanging="360"/>
      </w:pPr>
    </w:lvl>
    <w:lvl w:ilvl="6">
      <w:start w:val="1"/>
      <w:numFmt w:val="decimal"/>
      <w:lvlText w:val="%6.%7"/>
      <w:lvlJc w:val="left"/>
      <w:pPr>
        <w:tabs>
          <w:tab w:val="num" w:pos="5040"/>
        </w:tabs>
        <w:ind w:left="5040" w:hanging="360"/>
      </w:pPr>
    </w:lvl>
    <w:lvl w:ilvl="7">
      <w:start w:val="1"/>
      <w:numFmt w:val="decimal"/>
      <w:lvlText w:val="%7.%8"/>
      <w:lvlJc w:val="left"/>
      <w:pPr>
        <w:tabs>
          <w:tab w:val="num" w:pos="5760"/>
        </w:tabs>
        <w:ind w:left="5760" w:hanging="360"/>
      </w:pPr>
    </w:lvl>
    <w:lvl w:ilvl="8">
      <w:start w:val="1"/>
      <w:numFmt w:val="decimal"/>
      <w:lvlText w:val="%8.%9"/>
      <w:lvlJc w:val="left"/>
      <w:pPr>
        <w:tabs>
          <w:tab w:val="num" w:pos="6480"/>
        </w:tabs>
        <w:ind w:left="6480" w:hanging="360"/>
      </w:pPr>
    </w:lvl>
  </w:abstractNum>
  <w:abstractNum w:abstractNumId="30">
    <w:nsid w:val="4B0070B6"/>
    <w:multiLevelType w:val="multilevel"/>
    <w:tmpl w:val="86FCD5AA"/>
    <w:lvl w:ilvl="0">
      <w:start w:val="1"/>
      <w:numFmt w:val="bullet"/>
      <w:lvlText w:val=""/>
      <w:lvlJc w:val="left"/>
      <w:pPr>
        <w:tabs>
          <w:tab w:val="num" w:pos="0"/>
        </w:tabs>
        <w:ind w:left="1146" w:hanging="360"/>
      </w:pPr>
      <w:rPr>
        <w:rFonts w:ascii="Symbol" w:hAnsi="Symbol" w:cs="Symbol" w:hint="default"/>
      </w:r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31">
    <w:nsid w:val="4B1779DB"/>
    <w:multiLevelType w:val="multilevel"/>
    <w:tmpl w:val="45A8B530"/>
    <w:lvl w:ilvl="0">
      <w:start w:val="1"/>
      <w:numFmt w:val="lowerLetter"/>
      <w:lvlText w:val="%1"/>
      <w:lvlJc w:val="left"/>
      <w:pPr>
        <w:tabs>
          <w:tab w:val="num" w:pos="0"/>
        </w:tabs>
        <w:ind w:left="108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32">
    <w:nsid w:val="4C9953E7"/>
    <w:multiLevelType w:val="multilevel"/>
    <w:tmpl w:val="0BDC4104"/>
    <w:lvl w:ilvl="0">
      <w:start w:val="1"/>
      <w:numFmt w:val="lowerLetter"/>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33">
    <w:nsid w:val="4CFB77CF"/>
    <w:multiLevelType w:val="multilevel"/>
    <w:tmpl w:val="3C5E4EE0"/>
    <w:lvl w:ilvl="0">
      <w:start w:val="1"/>
      <w:numFmt w:val="lowerLetter"/>
      <w:lvlText w:val="%1"/>
      <w:lvlJc w:val="left"/>
      <w:pPr>
        <w:tabs>
          <w:tab w:val="num" w:pos="0"/>
        </w:tabs>
        <w:ind w:left="1080" w:hanging="360"/>
      </w:pPr>
    </w:lvl>
    <w:lvl w:ilvl="1">
      <w:start w:val="1"/>
      <w:numFmt w:val="lowerLetter"/>
      <w:lvlText w:val="%1.%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3.%4"/>
      <w:lvlJc w:val="left"/>
      <w:pPr>
        <w:tabs>
          <w:tab w:val="num" w:pos="0"/>
        </w:tabs>
        <w:ind w:left="3240" w:hanging="360"/>
      </w:pPr>
    </w:lvl>
    <w:lvl w:ilvl="4">
      <w:start w:val="1"/>
      <w:numFmt w:val="lowerLetter"/>
      <w:lvlText w:val="%4.%5"/>
      <w:lvlJc w:val="left"/>
      <w:pPr>
        <w:tabs>
          <w:tab w:val="num" w:pos="0"/>
        </w:tabs>
        <w:ind w:left="3960" w:hanging="360"/>
      </w:pPr>
    </w:lvl>
    <w:lvl w:ilvl="5">
      <w:start w:val="1"/>
      <w:numFmt w:val="lowerRoman"/>
      <w:lvlText w:val="%5.%6"/>
      <w:lvlJc w:val="right"/>
      <w:pPr>
        <w:tabs>
          <w:tab w:val="num" w:pos="0"/>
        </w:tabs>
        <w:ind w:left="4680" w:hanging="180"/>
      </w:pPr>
    </w:lvl>
    <w:lvl w:ilvl="6">
      <w:start w:val="1"/>
      <w:numFmt w:val="decimal"/>
      <w:lvlText w:val="%6.%7"/>
      <w:lvlJc w:val="left"/>
      <w:pPr>
        <w:tabs>
          <w:tab w:val="num" w:pos="0"/>
        </w:tabs>
        <w:ind w:left="5400" w:hanging="360"/>
      </w:pPr>
    </w:lvl>
    <w:lvl w:ilvl="7">
      <w:start w:val="1"/>
      <w:numFmt w:val="lowerLetter"/>
      <w:lvlText w:val="%7.%8"/>
      <w:lvlJc w:val="left"/>
      <w:pPr>
        <w:tabs>
          <w:tab w:val="num" w:pos="0"/>
        </w:tabs>
        <w:ind w:left="6120" w:hanging="360"/>
      </w:pPr>
    </w:lvl>
    <w:lvl w:ilvl="8">
      <w:start w:val="1"/>
      <w:numFmt w:val="lowerRoman"/>
      <w:lvlText w:val="%8.%9"/>
      <w:lvlJc w:val="right"/>
      <w:pPr>
        <w:tabs>
          <w:tab w:val="num" w:pos="0"/>
        </w:tabs>
        <w:ind w:left="6840" w:hanging="180"/>
      </w:pPr>
    </w:lvl>
  </w:abstractNum>
  <w:abstractNum w:abstractNumId="34">
    <w:nsid w:val="50C42F9E"/>
    <w:multiLevelType w:val="multilevel"/>
    <w:tmpl w:val="D9FEA5B2"/>
    <w:lvl w:ilvl="0">
      <w:start w:val="1"/>
      <w:numFmt w:val="decimal"/>
      <w:lvlText w:val="%1"/>
      <w:lvlJc w:val="left"/>
      <w:pPr>
        <w:tabs>
          <w:tab w:val="num" w:pos="0"/>
        </w:tabs>
        <w:ind w:left="1440" w:hanging="360"/>
      </w:pPr>
    </w:lvl>
    <w:lvl w:ilvl="1">
      <w:start w:val="1"/>
      <w:numFmt w:val="lowerLetter"/>
      <w:lvlText w:val="%1.%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3.%4"/>
      <w:lvlJc w:val="left"/>
      <w:pPr>
        <w:tabs>
          <w:tab w:val="num" w:pos="0"/>
        </w:tabs>
        <w:ind w:left="3600" w:hanging="360"/>
      </w:pPr>
    </w:lvl>
    <w:lvl w:ilvl="4">
      <w:start w:val="1"/>
      <w:numFmt w:val="lowerLetter"/>
      <w:lvlText w:val="%4.%5"/>
      <w:lvlJc w:val="left"/>
      <w:pPr>
        <w:tabs>
          <w:tab w:val="num" w:pos="0"/>
        </w:tabs>
        <w:ind w:left="4320" w:hanging="360"/>
      </w:pPr>
    </w:lvl>
    <w:lvl w:ilvl="5">
      <w:start w:val="1"/>
      <w:numFmt w:val="lowerRoman"/>
      <w:lvlText w:val="%5.%6"/>
      <w:lvlJc w:val="right"/>
      <w:pPr>
        <w:tabs>
          <w:tab w:val="num" w:pos="0"/>
        </w:tabs>
        <w:ind w:left="5040" w:hanging="180"/>
      </w:pPr>
    </w:lvl>
    <w:lvl w:ilvl="6">
      <w:start w:val="1"/>
      <w:numFmt w:val="decimal"/>
      <w:lvlText w:val="%6.%7"/>
      <w:lvlJc w:val="left"/>
      <w:pPr>
        <w:tabs>
          <w:tab w:val="num" w:pos="0"/>
        </w:tabs>
        <w:ind w:left="5760" w:hanging="360"/>
      </w:pPr>
    </w:lvl>
    <w:lvl w:ilvl="7">
      <w:start w:val="1"/>
      <w:numFmt w:val="lowerLetter"/>
      <w:lvlText w:val="%7.%8"/>
      <w:lvlJc w:val="left"/>
      <w:pPr>
        <w:tabs>
          <w:tab w:val="num" w:pos="0"/>
        </w:tabs>
        <w:ind w:left="6480" w:hanging="360"/>
      </w:pPr>
    </w:lvl>
    <w:lvl w:ilvl="8">
      <w:start w:val="1"/>
      <w:numFmt w:val="lowerRoman"/>
      <w:lvlText w:val="%8.%9"/>
      <w:lvlJc w:val="right"/>
      <w:pPr>
        <w:tabs>
          <w:tab w:val="num" w:pos="0"/>
        </w:tabs>
        <w:ind w:left="7200" w:hanging="180"/>
      </w:pPr>
    </w:lvl>
  </w:abstractNum>
  <w:abstractNum w:abstractNumId="35">
    <w:nsid w:val="531C13A8"/>
    <w:multiLevelType w:val="multilevel"/>
    <w:tmpl w:val="A836AB1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6">
    <w:nsid w:val="54F33286"/>
    <w:multiLevelType w:val="multilevel"/>
    <w:tmpl w:val="229AAF68"/>
    <w:lvl w:ilvl="0">
      <w:start w:val="1"/>
      <w:numFmt w:val="decimal"/>
      <w:pStyle w:val="Heading1"/>
      <w:lvlText w:val="%1"/>
      <w:lvlJc w:val="left"/>
      <w:pPr>
        <w:tabs>
          <w:tab w:val="num" w:pos="0"/>
        </w:tabs>
        <w:ind w:left="432" w:hanging="432"/>
      </w:pPr>
    </w:lvl>
    <w:lvl w:ilvl="1">
      <w:start w:val="1"/>
      <w:numFmt w:val="decimal"/>
      <w:pStyle w:val="Heading2"/>
      <w:lvlText w:val="%1.%2"/>
      <w:lvlJc w:val="left"/>
      <w:pPr>
        <w:tabs>
          <w:tab w:val="num" w:pos="0"/>
        </w:tabs>
        <w:ind w:left="576" w:hanging="576"/>
      </w:pPr>
      <w:rPr>
        <w:i/>
      </w:rPr>
    </w:lvl>
    <w:lvl w:ilvl="2">
      <w:start w:val="1"/>
      <w:numFmt w:val="decimal"/>
      <w:pStyle w:val="Heading3"/>
      <w:lvlText w:val="%1.%2.%3"/>
      <w:lvlJc w:val="left"/>
      <w:pPr>
        <w:tabs>
          <w:tab w:val="num" w:pos="0"/>
        </w:tabs>
        <w:ind w:left="720" w:hanging="720"/>
      </w:pPr>
    </w:lvl>
    <w:lvl w:ilvl="3">
      <w:start w:val="1"/>
      <w:numFmt w:val="decimal"/>
      <w:pStyle w:val="Heading4"/>
      <w:lvlText w:val="%1.%2.%3.%4"/>
      <w:lvlJc w:val="left"/>
      <w:pPr>
        <w:tabs>
          <w:tab w:val="num" w:pos="0"/>
        </w:tabs>
        <w:ind w:left="864" w:hanging="864"/>
      </w:pPr>
    </w:lvl>
    <w:lvl w:ilvl="4">
      <w:start w:val="1"/>
      <w:numFmt w:val="decimal"/>
      <w:pStyle w:val="Heading5"/>
      <w:lvlText w:val="%1.%2.%3.%4.%5"/>
      <w:lvlJc w:val="left"/>
      <w:pPr>
        <w:tabs>
          <w:tab w:val="num" w:pos="0"/>
        </w:tabs>
        <w:ind w:left="1008" w:hanging="1008"/>
      </w:pPr>
    </w:lvl>
    <w:lvl w:ilvl="5">
      <w:start w:val="1"/>
      <w:numFmt w:val="decimal"/>
      <w:pStyle w:val="Heading6"/>
      <w:lvlText w:val="%1.%2.%3.%4.%5.%6"/>
      <w:lvlJc w:val="left"/>
      <w:pPr>
        <w:tabs>
          <w:tab w:val="num" w:pos="0"/>
        </w:tabs>
        <w:ind w:left="1152" w:hanging="1152"/>
      </w:pPr>
    </w:lvl>
    <w:lvl w:ilvl="6">
      <w:start w:val="1"/>
      <w:numFmt w:val="decimal"/>
      <w:pStyle w:val="Heading7"/>
      <w:lvlText w:val="%1.%2.%3.%4.%5.%6.%7"/>
      <w:lvlJc w:val="left"/>
      <w:pPr>
        <w:tabs>
          <w:tab w:val="num" w:pos="0"/>
        </w:tabs>
        <w:ind w:left="1296" w:hanging="1296"/>
      </w:pPr>
    </w:lvl>
    <w:lvl w:ilvl="7">
      <w:start w:val="1"/>
      <w:numFmt w:val="decimal"/>
      <w:pStyle w:val="Heading8"/>
      <w:lvlText w:val="%1.%2.%3.%4.%5.%6.%7.%8"/>
      <w:lvlJc w:val="left"/>
      <w:pPr>
        <w:tabs>
          <w:tab w:val="num" w:pos="0"/>
        </w:tabs>
        <w:ind w:left="1440" w:hanging="1440"/>
      </w:pPr>
    </w:lvl>
    <w:lvl w:ilvl="8">
      <w:start w:val="1"/>
      <w:numFmt w:val="decimal"/>
      <w:pStyle w:val="Heading9"/>
      <w:lvlText w:val="%1.%2.%3.%4.%5.%6.%7.%8.%9"/>
      <w:lvlJc w:val="left"/>
      <w:pPr>
        <w:tabs>
          <w:tab w:val="num" w:pos="0"/>
        </w:tabs>
        <w:ind w:left="1584" w:hanging="1584"/>
      </w:pPr>
    </w:lvl>
  </w:abstractNum>
  <w:abstractNum w:abstractNumId="37">
    <w:nsid w:val="629F3D8B"/>
    <w:multiLevelType w:val="multilevel"/>
    <w:tmpl w:val="A01A9DBA"/>
    <w:lvl w:ilvl="0">
      <w:start w:val="1"/>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8">
    <w:nsid w:val="647816F3"/>
    <w:multiLevelType w:val="multilevel"/>
    <w:tmpl w:val="43B87FDC"/>
    <w:lvl w:ilvl="0">
      <w:start w:val="1"/>
      <w:numFmt w:val="lowerLetter"/>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39">
    <w:nsid w:val="65053BA8"/>
    <w:multiLevelType w:val="hybridMultilevel"/>
    <w:tmpl w:val="917849CC"/>
    <w:lvl w:ilvl="0" w:tplc="7D7A3E32">
      <w:start w:val="4"/>
      <w:numFmt w:val="bullet"/>
      <w:lvlText w:val=""/>
      <w:lvlJc w:val="left"/>
      <w:pPr>
        <w:ind w:left="720" w:hanging="360"/>
      </w:pPr>
      <w:rPr>
        <w:rFonts w:ascii="Wingdings" w:eastAsia="Calibri" w:hAnsi="Wingdings"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65C86430"/>
    <w:multiLevelType w:val="multilevel"/>
    <w:tmpl w:val="C7463B8E"/>
    <w:lvl w:ilvl="0">
      <w:start w:val="1"/>
      <w:numFmt w:val="lowerLetter"/>
      <w:lvlText w:val="%1"/>
      <w:lvlJc w:val="left"/>
      <w:pPr>
        <w:tabs>
          <w:tab w:val="num" w:pos="0"/>
        </w:tabs>
        <w:ind w:left="1080" w:hanging="360"/>
      </w:pPr>
    </w:lvl>
    <w:lvl w:ilvl="1">
      <w:start w:val="1"/>
      <w:numFmt w:val="lowerLetter"/>
      <w:lvlText w:val="%1.%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3.%4"/>
      <w:lvlJc w:val="left"/>
      <w:pPr>
        <w:tabs>
          <w:tab w:val="num" w:pos="0"/>
        </w:tabs>
        <w:ind w:left="3240" w:hanging="360"/>
      </w:pPr>
    </w:lvl>
    <w:lvl w:ilvl="4">
      <w:start w:val="1"/>
      <w:numFmt w:val="lowerLetter"/>
      <w:lvlText w:val="%4.%5"/>
      <w:lvlJc w:val="left"/>
      <w:pPr>
        <w:tabs>
          <w:tab w:val="num" w:pos="0"/>
        </w:tabs>
        <w:ind w:left="3960" w:hanging="360"/>
      </w:pPr>
    </w:lvl>
    <w:lvl w:ilvl="5">
      <w:start w:val="1"/>
      <w:numFmt w:val="lowerRoman"/>
      <w:lvlText w:val="%5.%6"/>
      <w:lvlJc w:val="right"/>
      <w:pPr>
        <w:tabs>
          <w:tab w:val="num" w:pos="0"/>
        </w:tabs>
        <w:ind w:left="4680" w:hanging="180"/>
      </w:pPr>
    </w:lvl>
    <w:lvl w:ilvl="6">
      <w:start w:val="1"/>
      <w:numFmt w:val="decimal"/>
      <w:lvlText w:val="%6.%7"/>
      <w:lvlJc w:val="left"/>
      <w:pPr>
        <w:tabs>
          <w:tab w:val="num" w:pos="0"/>
        </w:tabs>
        <w:ind w:left="5400" w:hanging="360"/>
      </w:pPr>
    </w:lvl>
    <w:lvl w:ilvl="7">
      <w:start w:val="1"/>
      <w:numFmt w:val="lowerLetter"/>
      <w:lvlText w:val="%7.%8"/>
      <w:lvlJc w:val="left"/>
      <w:pPr>
        <w:tabs>
          <w:tab w:val="num" w:pos="0"/>
        </w:tabs>
        <w:ind w:left="6120" w:hanging="360"/>
      </w:pPr>
    </w:lvl>
    <w:lvl w:ilvl="8">
      <w:start w:val="1"/>
      <w:numFmt w:val="lowerRoman"/>
      <w:lvlText w:val="%8.%9"/>
      <w:lvlJc w:val="right"/>
      <w:pPr>
        <w:tabs>
          <w:tab w:val="num" w:pos="0"/>
        </w:tabs>
        <w:ind w:left="6840" w:hanging="180"/>
      </w:pPr>
    </w:lvl>
  </w:abstractNum>
  <w:abstractNum w:abstractNumId="41">
    <w:nsid w:val="66AB7BDD"/>
    <w:multiLevelType w:val="multilevel"/>
    <w:tmpl w:val="3A5EB416"/>
    <w:lvl w:ilvl="0">
      <w:start w:val="1"/>
      <w:numFmt w:val="lowerLetter"/>
      <w:lvlText w:val="%1"/>
      <w:lvlJc w:val="left"/>
      <w:pPr>
        <w:tabs>
          <w:tab w:val="num" w:pos="0"/>
        </w:tabs>
        <w:ind w:left="2136" w:hanging="360"/>
      </w:pPr>
    </w:lvl>
    <w:lvl w:ilvl="1">
      <w:start w:val="1"/>
      <w:numFmt w:val="lowerLetter"/>
      <w:lvlText w:val="%1.%2"/>
      <w:lvlJc w:val="left"/>
      <w:pPr>
        <w:tabs>
          <w:tab w:val="num" w:pos="0"/>
        </w:tabs>
        <w:ind w:left="2856" w:hanging="360"/>
      </w:pPr>
    </w:lvl>
    <w:lvl w:ilvl="2">
      <w:start w:val="1"/>
      <w:numFmt w:val="lowerRoman"/>
      <w:lvlText w:val="%2.%3"/>
      <w:lvlJc w:val="right"/>
      <w:pPr>
        <w:tabs>
          <w:tab w:val="num" w:pos="0"/>
        </w:tabs>
        <w:ind w:left="3576" w:hanging="180"/>
      </w:pPr>
    </w:lvl>
    <w:lvl w:ilvl="3">
      <w:start w:val="1"/>
      <w:numFmt w:val="decimal"/>
      <w:lvlText w:val="%3.%4"/>
      <w:lvlJc w:val="left"/>
      <w:pPr>
        <w:tabs>
          <w:tab w:val="num" w:pos="0"/>
        </w:tabs>
        <w:ind w:left="4296" w:hanging="360"/>
      </w:pPr>
    </w:lvl>
    <w:lvl w:ilvl="4">
      <w:start w:val="1"/>
      <w:numFmt w:val="lowerLetter"/>
      <w:lvlText w:val="%4.%5"/>
      <w:lvlJc w:val="left"/>
      <w:pPr>
        <w:tabs>
          <w:tab w:val="num" w:pos="0"/>
        </w:tabs>
        <w:ind w:left="5016" w:hanging="360"/>
      </w:pPr>
    </w:lvl>
    <w:lvl w:ilvl="5">
      <w:start w:val="1"/>
      <w:numFmt w:val="lowerRoman"/>
      <w:lvlText w:val="%5.%6"/>
      <w:lvlJc w:val="right"/>
      <w:pPr>
        <w:tabs>
          <w:tab w:val="num" w:pos="0"/>
        </w:tabs>
        <w:ind w:left="5736" w:hanging="180"/>
      </w:pPr>
    </w:lvl>
    <w:lvl w:ilvl="6">
      <w:start w:val="1"/>
      <w:numFmt w:val="decimal"/>
      <w:lvlText w:val="%6.%7"/>
      <w:lvlJc w:val="left"/>
      <w:pPr>
        <w:tabs>
          <w:tab w:val="num" w:pos="0"/>
        </w:tabs>
        <w:ind w:left="6456" w:hanging="360"/>
      </w:pPr>
    </w:lvl>
    <w:lvl w:ilvl="7">
      <w:start w:val="1"/>
      <w:numFmt w:val="lowerLetter"/>
      <w:lvlText w:val="%7.%8"/>
      <w:lvlJc w:val="left"/>
      <w:pPr>
        <w:tabs>
          <w:tab w:val="num" w:pos="0"/>
        </w:tabs>
        <w:ind w:left="7176" w:hanging="360"/>
      </w:pPr>
    </w:lvl>
    <w:lvl w:ilvl="8">
      <w:start w:val="1"/>
      <w:numFmt w:val="lowerRoman"/>
      <w:lvlText w:val="%8.%9"/>
      <w:lvlJc w:val="right"/>
      <w:pPr>
        <w:tabs>
          <w:tab w:val="num" w:pos="0"/>
        </w:tabs>
        <w:ind w:left="7896" w:hanging="180"/>
      </w:pPr>
    </w:lvl>
  </w:abstractNum>
  <w:abstractNum w:abstractNumId="42">
    <w:nsid w:val="66F05FB4"/>
    <w:multiLevelType w:val="multilevel"/>
    <w:tmpl w:val="79DA4408"/>
    <w:lvl w:ilvl="0">
      <w:start w:val="1"/>
      <w:numFmt w:val="lowerLetter"/>
      <w:lvlText w:val="%1"/>
      <w:lvlJc w:val="left"/>
      <w:pPr>
        <w:tabs>
          <w:tab w:val="num" w:pos="0"/>
        </w:tabs>
        <w:ind w:left="1080" w:hanging="360"/>
      </w:pPr>
    </w:lvl>
    <w:lvl w:ilvl="1">
      <w:start w:val="1"/>
      <w:numFmt w:val="lowerLetter"/>
      <w:lvlText w:val="%1.%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3.%4"/>
      <w:lvlJc w:val="left"/>
      <w:pPr>
        <w:tabs>
          <w:tab w:val="num" w:pos="0"/>
        </w:tabs>
        <w:ind w:left="3240" w:hanging="360"/>
      </w:pPr>
    </w:lvl>
    <w:lvl w:ilvl="4">
      <w:start w:val="1"/>
      <w:numFmt w:val="lowerLetter"/>
      <w:lvlText w:val="%4.%5"/>
      <w:lvlJc w:val="left"/>
      <w:pPr>
        <w:tabs>
          <w:tab w:val="num" w:pos="0"/>
        </w:tabs>
        <w:ind w:left="3960" w:hanging="360"/>
      </w:pPr>
    </w:lvl>
    <w:lvl w:ilvl="5">
      <w:start w:val="1"/>
      <w:numFmt w:val="lowerRoman"/>
      <w:lvlText w:val="%5.%6"/>
      <w:lvlJc w:val="right"/>
      <w:pPr>
        <w:tabs>
          <w:tab w:val="num" w:pos="0"/>
        </w:tabs>
        <w:ind w:left="4680" w:hanging="180"/>
      </w:pPr>
    </w:lvl>
    <w:lvl w:ilvl="6">
      <w:start w:val="1"/>
      <w:numFmt w:val="decimal"/>
      <w:lvlText w:val="%6.%7"/>
      <w:lvlJc w:val="left"/>
      <w:pPr>
        <w:tabs>
          <w:tab w:val="num" w:pos="0"/>
        </w:tabs>
        <w:ind w:left="5400" w:hanging="360"/>
      </w:pPr>
    </w:lvl>
    <w:lvl w:ilvl="7">
      <w:start w:val="1"/>
      <w:numFmt w:val="lowerLetter"/>
      <w:lvlText w:val="%7.%8"/>
      <w:lvlJc w:val="left"/>
      <w:pPr>
        <w:tabs>
          <w:tab w:val="num" w:pos="0"/>
        </w:tabs>
        <w:ind w:left="6120" w:hanging="360"/>
      </w:pPr>
    </w:lvl>
    <w:lvl w:ilvl="8">
      <w:start w:val="1"/>
      <w:numFmt w:val="lowerRoman"/>
      <w:lvlText w:val="%8.%9"/>
      <w:lvlJc w:val="right"/>
      <w:pPr>
        <w:tabs>
          <w:tab w:val="num" w:pos="0"/>
        </w:tabs>
        <w:ind w:left="6840" w:hanging="180"/>
      </w:pPr>
    </w:lvl>
  </w:abstractNum>
  <w:abstractNum w:abstractNumId="43">
    <w:nsid w:val="76C07412"/>
    <w:multiLevelType w:val="multilevel"/>
    <w:tmpl w:val="4606C328"/>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num w:numId="1">
    <w:abstractNumId w:val="36"/>
  </w:num>
  <w:num w:numId="2">
    <w:abstractNumId w:val="40"/>
  </w:num>
  <w:num w:numId="3">
    <w:abstractNumId w:val="4"/>
  </w:num>
  <w:num w:numId="4">
    <w:abstractNumId w:val="43"/>
  </w:num>
  <w:num w:numId="5">
    <w:abstractNumId w:val="19"/>
  </w:num>
  <w:num w:numId="6">
    <w:abstractNumId w:val="1"/>
  </w:num>
  <w:num w:numId="7">
    <w:abstractNumId w:val="8"/>
  </w:num>
  <w:num w:numId="8">
    <w:abstractNumId w:val="5"/>
  </w:num>
  <w:num w:numId="9">
    <w:abstractNumId w:val="0"/>
  </w:num>
  <w:num w:numId="10">
    <w:abstractNumId w:val="35"/>
  </w:num>
  <w:num w:numId="11">
    <w:abstractNumId w:val="42"/>
  </w:num>
  <w:num w:numId="12">
    <w:abstractNumId w:val="16"/>
  </w:num>
  <w:num w:numId="13">
    <w:abstractNumId w:val="21"/>
  </w:num>
  <w:num w:numId="14">
    <w:abstractNumId w:val="7"/>
  </w:num>
  <w:num w:numId="15">
    <w:abstractNumId w:val="18"/>
  </w:num>
  <w:num w:numId="16">
    <w:abstractNumId w:val="12"/>
  </w:num>
  <w:num w:numId="17">
    <w:abstractNumId w:val="31"/>
  </w:num>
  <w:num w:numId="18">
    <w:abstractNumId w:val="23"/>
  </w:num>
  <w:num w:numId="19">
    <w:abstractNumId w:val="28"/>
  </w:num>
  <w:num w:numId="20">
    <w:abstractNumId w:val="29"/>
  </w:num>
  <w:num w:numId="21">
    <w:abstractNumId w:val="6"/>
  </w:num>
  <w:num w:numId="22">
    <w:abstractNumId w:val="27"/>
  </w:num>
  <w:num w:numId="23">
    <w:abstractNumId w:val="25"/>
  </w:num>
  <w:num w:numId="24">
    <w:abstractNumId w:val="17"/>
  </w:num>
  <w:num w:numId="25">
    <w:abstractNumId w:val="26"/>
  </w:num>
  <w:num w:numId="26">
    <w:abstractNumId w:val="11"/>
  </w:num>
  <w:num w:numId="27">
    <w:abstractNumId w:val="38"/>
  </w:num>
  <w:num w:numId="28">
    <w:abstractNumId w:val="33"/>
  </w:num>
  <w:num w:numId="29">
    <w:abstractNumId w:val="15"/>
  </w:num>
  <w:num w:numId="30">
    <w:abstractNumId w:val="30"/>
  </w:num>
  <w:num w:numId="31">
    <w:abstractNumId w:val="14"/>
  </w:num>
  <w:num w:numId="32">
    <w:abstractNumId w:val="2"/>
  </w:num>
  <w:num w:numId="33">
    <w:abstractNumId w:val="20"/>
  </w:num>
  <w:num w:numId="34">
    <w:abstractNumId w:val="13"/>
  </w:num>
  <w:num w:numId="35">
    <w:abstractNumId w:val="37"/>
  </w:num>
  <w:num w:numId="36">
    <w:abstractNumId w:val="22"/>
  </w:num>
  <w:num w:numId="37">
    <w:abstractNumId w:val="32"/>
  </w:num>
  <w:num w:numId="38">
    <w:abstractNumId w:val="34"/>
  </w:num>
  <w:num w:numId="39">
    <w:abstractNumId w:val="9"/>
  </w:num>
  <w:num w:numId="40">
    <w:abstractNumId w:val="41"/>
  </w:num>
  <w:num w:numId="41">
    <w:abstractNumId w:val="3"/>
  </w:num>
  <w:num w:numId="42">
    <w:abstractNumId w:val="10"/>
  </w:num>
  <w:num w:numId="43">
    <w:abstractNumId w:val="39"/>
  </w:num>
  <w:num w:numId="44">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rsids>
    <w:rsidRoot w:val="00482668"/>
    <w:rsid w:val="000531A4"/>
    <w:rsid w:val="00071028"/>
    <w:rsid w:val="000723F6"/>
    <w:rsid w:val="00077F0B"/>
    <w:rsid w:val="00082D66"/>
    <w:rsid w:val="000B5E6E"/>
    <w:rsid w:val="000C6080"/>
    <w:rsid w:val="000C6ADB"/>
    <w:rsid w:val="00145243"/>
    <w:rsid w:val="001A2274"/>
    <w:rsid w:val="00267E86"/>
    <w:rsid w:val="00272611"/>
    <w:rsid w:val="0028022F"/>
    <w:rsid w:val="00294A3F"/>
    <w:rsid w:val="002E1CAE"/>
    <w:rsid w:val="003A65EB"/>
    <w:rsid w:val="00482668"/>
    <w:rsid w:val="004C4B10"/>
    <w:rsid w:val="005E5694"/>
    <w:rsid w:val="006E1494"/>
    <w:rsid w:val="006F472F"/>
    <w:rsid w:val="006F55FD"/>
    <w:rsid w:val="00762B21"/>
    <w:rsid w:val="00762B8F"/>
    <w:rsid w:val="007660B6"/>
    <w:rsid w:val="007774D5"/>
    <w:rsid w:val="007A65F6"/>
    <w:rsid w:val="008B3829"/>
    <w:rsid w:val="008C3506"/>
    <w:rsid w:val="008E1832"/>
    <w:rsid w:val="00904A83"/>
    <w:rsid w:val="00A12E5D"/>
    <w:rsid w:val="00A21DFB"/>
    <w:rsid w:val="00A74AAC"/>
    <w:rsid w:val="00B76C09"/>
    <w:rsid w:val="00BA256E"/>
    <w:rsid w:val="00BD5851"/>
    <w:rsid w:val="00CE7FD8"/>
    <w:rsid w:val="00CF7B07"/>
    <w:rsid w:val="00D15836"/>
    <w:rsid w:val="00D5045C"/>
    <w:rsid w:val="00D9166A"/>
    <w:rsid w:val="00DB7F4A"/>
    <w:rsid w:val="00DD3533"/>
    <w:rsid w:val="00DF4A8E"/>
    <w:rsid w:val="00E3241B"/>
    <w:rsid w:val="00E76243"/>
    <w:rsid w:val="00E84F85"/>
    <w:rsid w:val="00E9237A"/>
    <w:rsid w:val="00EE0398"/>
    <w:rsid w:val="00EE4813"/>
    <w:rsid w:val="00F14C56"/>
    <w:rsid w:val="00F2748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ahoma"/>
        <w:sz w:val="22"/>
        <w:szCs w:val="22"/>
        <w:lang w:val="eu-E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rsid w:val="00216D4C"/>
    <w:pPr>
      <w:ind w:firstLine="360"/>
    </w:pPr>
    <w:rPr>
      <w:lang w:val="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qFormat/>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customStyle="1" w:styleId="Heading1">
    <w:name w:val="Heading 1"/>
    <w:basedOn w:val="Normala"/>
    <w:next w:val="Normala"/>
    <w:qFormat/>
    <w:rsid w:val="00216D4C"/>
    <w:pPr>
      <w:numPr>
        <w:numId w:val="1"/>
      </w:numPr>
      <w:pBdr>
        <w:bottom w:val="single" w:sz="12" w:space="1" w:color="2E74B5"/>
      </w:pBdr>
      <w:spacing w:before="600" w:after="80"/>
      <w:outlineLvl w:val="0"/>
    </w:pPr>
    <w:rPr>
      <w:rFonts w:ascii="Calibri Light" w:hAnsi="Calibri Light"/>
      <w:b/>
      <w:bCs/>
      <w:color w:val="2E74B5"/>
      <w:sz w:val="24"/>
      <w:szCs w:val="24"/>
    </w:rPr>
  </w:style>
  <w:style w:type="paragraph" w:customStyle="1" w:styleId="Heading2">
    <w:name w:val="Heading 2"/>
    <w:basedOn w:val="Normala"/>
    <w:next w:val="Normala"/>
    <w:qFormat/>
    <w:rsid w:val="00216D4C"/>
    <w:pPr>
      <w:numPr>
        <w:ilvl w:val="1"/>
        <w:numId w:val="1"/>
      </w:numPr>
      <w:pBdr>
        <w:bottom w:val="single" w:sz="8" w:space="1" w:color="5B9BD5"/>
      </w:pBdr>
      <w:spacing w:before="200" w:after="80"/>
      <w:outlineLvl w:val="1"/>
    </w:pPr>
    <w:rPr>
      <w:rFonts w:ascii="Calibri Light" w:hAnsi="Calibri Light"/>
      <w:color w:val="2E74B5"/>
      <w:sz w:val="24"/>
      <w:szCs w:val="24"/>
    </w:rPr>
  </w:style>
  <w:style w:type="paragraph" w:customStyle="1" w:styleId="Heading3">
    <w:name w:val="Heading 3"/>
    <w:basedOn w:val="Normala"/>
    <w:next w:val="Normala"/>
    <w:qFormat/>
    <w:rsid w:val="00216D4C"/>
    <w:pPr>
      <w:numPr>
        <w:ilvl w:val="2"/>
        <w:numId w:val="1"/>
      </w:numPr>
      <w:pBdr>
        <w:bottom w:val="single" w:sz="4" w:space="1" w:color="9CC2E5"/>
      </w:pBdr>
      <w:spacing w:before="200" w:after="80"/>
      <w:outlineLvl w:val="2"/>
    </w:pPr>
    <w:rPr>
      <w:rFonts w:ascii="Calibri Light" w:hAnsi="Calibri Light"/>
      <w:color w:val="5B9BD5"/>
      <w:sz w:val="24"/>
      <w:szCs w:val="24"/>
    </w:rPr>
  </w:style>
  <w:style w:type="paragraph" w:customStyle="1" w:styleId="Heading4">
    <w:name w:val="Heading 4"/>
    <w:basedOn w:val="Normala"/>
    <w:next w:val="Normala"/>
    <w:qFormat/>
    <w:rsid w:val="00216D4C"/>
    <w:pPr>
      <w:numPr>
        <w:ilvl w:val="3"/>
        <w:numId w:val="1"/>
      </w:numPr>
      <w:pBdr>
        <w:bottom w:val="single" w:sz="4" w:space="2" w:color="BDD6EE"/>
      </w:pBdr>
      <w:spacing w:before="200" w:after="80"/>
      <w:outlineLvl w:val="3"/>
    </w:pPr>
    <w:rPr>
      <w:rFonts w:ascii="Calibri Light" w:hAnsi="Calibri Light"/>
      <w:i/>
      <w:iCs/>
      <w:color w:val="5B9BD5"/>
      <w:sz w:val="24"/>
      <w:szCs w:val="24"/>
    </w:rPr>
  </w:style>
  <w:style w:type="paragraph" w:customStyle="1" w:styleId="Heading5">
    <w:name w:val="Heading 5"/>
    <w:basedOn w:val="Normala"/>
    <w:next w:val="Normala"/>
    <w:qFormat/>
    <w:rsid w:val="00216D4C"/>
    <w:pPr>
      <w:numPr>
        <w:ilvl w:val="4"/>
        <w:numId w:val="1"/>
      </w:numPr>
      <w:spacing w:before="200" w:after="80"/>
      <w:outlineLvl w:val="4"/>
    </w:pPr>
    <w:rPr>
      <w:rFonts w:ascii="Calibri Light" w:hAnsi="Calibri Light"/>
      <w:color w:val="5B9BD5"/>
    </w:rPr>
  </w:style>
  <w:style w:type="paragraph" w:customStyle="1" w:styleId="Heading6">
    <w:name w:val="Heading 6"/>
    <w:basedOn w:val="Normala"/>
    <w:next w:val="Normala"/>
    <w:qFormat/>
    <w:rsid w:val="00216D4C"/>
    <w:pPr>
      <w:numPr>
        <w:ilvl w:val="5"/>
        <w:numId w:val="1"/>
      </w:numPr>
      <w:spacing w:before="280" w:after="100"/>
      <w:outlineLvl w:val="5"/>
    </w:pPr>
    <w:rPr>
      <w:rFonts w:ascii="Calibri Light" w:hAnsi="Calibri Light"/>
      <w:i/>
      <w:iCs/>
      <w:color w:val="5B9BD5"/>
    </w:rPr>
  </w:style>
  <w:style w:type="paragraph" w:customStyle="1" w:styleId="Heading7">
    <w:name w:val="Heading 7"/>
    <w:basedOn w:val="Normala"/>
    <w:next w:val="Normala"/>
    <w:qFormat/>
    <w:rsid w:val="00216D4C"/>
    <w:pPr>
      <w:numPr>
        <w:ilvl w:val="6"/>
        <w:numId w:val="1"/>
      </w:numPr>
      <w:spacing w:before="320" w:after="100"/>
      <w:outlineLvl w:val="6"/>
    </w:pPr>
    <w:rPr>
      <w:rFonts w:ascii="Calibri Light" w:hAnsi="Calibri Light"/>
      <w:b/>
      <w:bCs/>
      <w:color w:val="A5A5A5"/>
      <w:sz w:val="20"/>
      <w:szCs w:val="20"/>
    </w:rPr>
  </w:style>
  <w:style w:type="paragraph" w:customStyle="1" w:styleId="Heading8">
    <w:name w:val="Heading 8"/>
    <w:basedOn w:val="Normala"/>
    <w:next w:val="Normala"/>
    <w:qFormat/>
    <w:rsid w:val="00216D4C"/>
    <w:pPr>
      <w:numPr>
        <w:ilvl w:val="7"/>
        <w:numId w:val="1"/>
      </w:numPr>
      <w:spacing w:before="320" w:after="100"/>
      <w:outlineLvl w:val="7"/>
    </w:pPr>
    <w:rPr>
      <w:rFonts w:ascii="Calibri Light" w:hAnsi="Calibri Light"/>
      <w:b/>
      <w:bCs/>
      <w:i/>
      <w:iCs/>
      <w:color w:val="A5A5A5"/>
      <w:sz w:val="20"/>
      <w:szCs w:val="20"/>
    </w:rPr>
  </w:style>
  <w:style w:type="paragraph" w:customStyle="1" w:styleId="Heading9">
    <w:name w:val="Heading 9"/>
    <w:basedOn w:val="Normala"/>
    <w:next w:val="Normala"/>
    <w:qFormat/>
    <w:rsid w:val="00216D4C"/>
    <w:pPr>
      <w:numPr>
        <w:ilvl w:val="8"/>
        <w:numId w:val="1"/>
      </w:numPr>
      <w:spacing w:before="320" w:after="100"/>
      <w:outlineLvl w:val="8"/>
    </w:pPr>
    <w:rPr>
      <w:rFonts w:ascii="Calibri Light" w:hAnsi="Calibri Light"/>
      <w:i/>
      <w:iCs/>
      <w:color w:val="A5A5A5"/>
      <w:sz w:val="20"/>
      <w:szCs w:val="20"/>
    </w:rPr>
  </w:style>
  <w:style w:type="character" w:customStyle="1" w:styleId="EncabezadoCar">
    <w:name w:val="Encabezado Car"/>
    <w:basedOn w:val="Paragrafoarenletra-tipolehenetsia"/>
    <w:qFormat/>
    <w:rsid w:val="00216D4C"/>
    <w:rPr>
      <w:lang w:val="es-ES"/>
    </w:rPr>
  </w:style>
  <w:style w:type="character" w:customStyle="1" w:styleId="PiedepginaCar">
    <w:name w:val="Pie de página Car"/>
    <w:basedOn w:val="Paragrafoarenletra-tipolehenetsia"/>
    <w:qFormat/>
    <w:rsid w:val="00216D4C"/>
    <w:rPr>
      <w:lang w:val="es-ES"/>
    </w:rPr>
  </w:style>
  <w:style w:type="character" w:customStyle="1" w:styleId="Ttulo1Car">
    <w:name w:val="Título 1 Car"/>
    <w:basedOn w:val="Paragrafoarenletra-tipolehenetsia"/>
    <w:qFormat/>
    <w:rsid w:val="00216D4C"/>
    <w:rPr>
      <w:rFonts w:ascii="Calibri Light" w:eastAsia="Calibri" w:hAnsi="Calibri Light" w:cs="Tahoma"/>
      <w:b/>
      <w:bCs/>
      <w:color w:val="2E74B5"/>
      <w:sz w:val="24"/>
      <w:szCs w:val="24"/>
      <w:lang w:val="es-ES"/>
    </w:rPr>
  </w:style>
  <w:style w:type="character" w:customStyle="1" w:styleId="Ttulo2Car">
    <w:name w:val="Título 2 Car"/>
    <w:basedOn w:val="Paragrafoarenletra-tipolehenetsia"/>
    <w:qFormat/>
    <w:rsid w:val="00216D4C"/>
    <w:rPr>
      <w:rFonts w:ascii="Calibri Light" w:eastAsia="Calibri" w:hAnsi="Calibri Light" w:cs="Tahoma"/>
      <w:color w:val="2E74B5"/>
      <w:sz w:val="24"/>
      <w:szCs w:val="24"/>
      <w:lang w:val="es-ES"/>
    </w:rPr>
  </w:style>
  <w:style w:type="character" w:customStyle="1" w:styleId="Ttulo3Car">
    <w:name w:val="Título 3 Car"/>
    <w:basedOn w:val="Paragrafoarenletra-tipolehenetsia"/>
    <w:qFormat/>
    <w:rsid w:val="00216D4C"/>
    <w:rPr>
      <w:rFonts w:ascii="Calibri Light" w:eastAsia="Calibri" w:hAnsi="Calibri Light" w:cs="Tahoma"/>
      <w:color w:val="5B9BD5"/>
      <w:sz w:val="24"/>
      <w:szCs w:val="24"/>
      <w:lang w:val="es-ES"/>
    </w:rPr>
  </w:style>
  <w:style w:type="character" w:customStyle="1" w:styleId="Ttulo4Car">
    <w:name w:val="Título 4 Car"/>
    <w:basedOn w:val="Paragrafoarenletra-tipolehenetsia"/>
    <w:qFormat/>
    <w:rsid w:val="00216D4C"/>
    <w:rPr>
      <w:rFonts w:ascii="Calibri Light" w:eastAsia="Calibri" w:hAnsi="Calibri Light" w:cs="Tahoma"/>
      <w:i/>
      <w:iCs/>
      <w:color w:val="5B9BD5"/>
      <w:sz w:val="24"/>
      <w:szCs w:val="24"/>
      <w:lang w:val="es-ES"/>
    </w:rPr>
  </w:style>
  <w:style w:type="character" w:customStyle="1" w:styleId="Ttulo5Car">
    <w:name w:val="Título 5 Car"/>
    <w:basedOn w:val="Paragrafoarenletra-tipolehenetsia"/>
    <w:qFormat/>
    <w:rsid w:val="00216D4C"/>
    <w:rPr>
      <w:rFonts w:ascii="Calibri Light" w:eastAsia="Calibri" w:hAnsi="Calibri Light" w:cs="Tahoma"/>
      <w:color w:val="5B9BD5"/>
      <w:lang w:val="es-ES"/>
    </w:rPr>
  </w:style>
  <w:style w:type="character" w:customStyle="1" w:styleId="Ttulo6Car">
    <w:name w:val="Título 6 Car"/>
    <w:basedOn w:val="Paragrafoarenletra-tipolehenetsia"/>
    <w:qFormat/>
    <w:rsid w:val="00216D4C"/>
    <w:rPr>
      <w:rFonts w:ascii="Calibri Light" w:eastAsia="Calibri" w:hAnsi="Calibri Light" w:cs="Tahoma"/>
      <w:i/>
      <w:iCs/>
      <w:color w:val="5B9BD5"/>
      <w:lang w:val="es-ES"/>
    </w:rPr>
  </w:style>
  <w:style w:type="character" w:customStyle="1" w:styleId="Ttulo7Car">
    <w:name w:val="Título 7 Car"/>
    <w:basedOn w:val="Paragrafoarenletra-tipolehenetsia"/>
    <w:qFormat/>
    <w:rsid w:val="00216D4C"/>
    <w:rPr>
      <w:rFonts w:ascii="Calibri Light" w:eastAsia="Calibri" w:hAnsi="Calibri Light" w:cs="Tahoma"/>
      <w:b/>
      <w:bCs/>
      <w:color w:val="A5A5A5"/>
      <w:sz w:val="20"/>
      <w:szCs w:val="20"/>
      <w:lang w:val="es-ES"/>
    </w:rPr>
  </w:style>
  <w:style w:type="character" w:customStyle="1" w:styleId="Ttulo8Car">
    <w:name w:val="Título 8 Car"/>
    <w:basedOn w:val="Paragrafoarenletra-tipolehenetsia"/>
    <w:qFormat/>
    <w:rsid w:val="00216D4C"/>
    <w:rPr>
      <w:rFonts w:ascii="Calibri Light" w:eastAsia="Calibri" w:hAnsi="Calibri Light" w:cs="Tahoma"/>
      <w:b/>
      <w:bCs/>
      <w:i/>
      <w:iCs/>
      <w:color w:val="A5A5A5"/>
      <w:sz w:val="20"/>
      <w:szCs w:val="20"/>
      <w:lang w:val="es-ES"/>
    </w:rPr>
  </w:style>
  <w:style w:type="character" w:customStyle="1" w:styleId="Ttulo9Car">
    <w:name w:val="Título 9 Car"/>
    <w:basedOn w:val="Paragrafoarenletra-tipolehenetsia"/>
    <w:qFormat/>
    <w:rsid w:val="00216D4C"/>
    <w:rPr>
      <w:rFonts w:ascii="Calibri Light" w:eastAsia="Calibri" w:hAnsi="Calibri Light" w:cs="Tahoma"/>
      <w:i/>
      <w:iCs/>
      <w:color w:val="A5A5A5"/>
      <w:sz w:val="20"/>
      <w:szCs w:val="20"/>
      <w:lang w:val="es-ES"/>
    </w:rPr>
  </w:style>
  <w:style w:type="character" w:customStyle="1" w:styleId="TextodegloboCar">
    <w:name w:val="Texto de globo Car"/>
    <w:basedOn w:val="Paragrafoarenletra-tipolehenetsia"/>
    <w:qFormat/>
    <w:rsid w:val="00216D4C"/>
    <w:rPr>
      <w:rFonts w:ascii="Tahoma" w:eastAsia="Calibri" w:hAnsi="Tahoma" w:cs="Tahoma"/>
      <w:sz w:val="16"/>
      <w:szCs w:val="16"/>
      <w:lang w:val="es-ES"/>
    </w:rPr>
  </w:style>
  <w:style w:type="character" w:customStyle="1" w:styleId="A6">
    <w:name w:val="A6"/>
    <w:qFormat/>
    <w:rsid w:val="00216D4C"/>
    <w:rPr>
      <w:color w:val="000000"/>
      <w:sz w:val="11"/>
      <w:szCs w:val="11"/>
    </w:rPr>
  </w:style>
  <w:style w:type="character" w:customStyle="1" w:styleId="A7">
    <w:name w:val="A7"/>
    <w:qFormat/>
    <w:rsid w:val="00216D4C"/>
    <w:rPr>
      <w:color w:val="000000"/>
      <w:sz w:val="11"/>
      <w:szCs w:val="11"/>
    </w:rPr>
  </w:style>
  <w:style w:type="character" w:customStyle="1" w:styleId="TtuloCar">
    <w:name w:val="Título Car"/>
    <w:basedOn w:val="Paragrafoarenletra-tipolehenetsia"/>
    <w:qFormat/>
    <w:rsid w:val="00216D4C"/>
    <w:rPr>
      <w:rFonts w:ascii="Calibri Light" w:eastAsia="Calibri" w:hAnsi="Calibri Light" w:cs="Tahoma"/>
      <w:i/>
      <w:iCs/>
      <w:color w:val="1F4D78"/>
      <w:sz w:val="60"/>
      <w:szCs w:val="60"/>
      <w:lang w:val="es-ES"/>
    </w:rPr>
  </w:style>
  <w:style w:type="character" w:customStyle="1" w:styleId="SubttuloCar">
    <w:name w:val="Subtítulo Car"/>
    <w:basedOn w:val="Paragrafoarenletra-tipolehenetsia"/>
    <w:qFormat/>
    <w:rsid w:val="00216D4C"/>
    <w:rPr>
      <w:rFonts w:eastAsia="Calibri"/>
      <w:i/>
      <w:iCs/>
      <w:sz w:val="24"/>
      <w:szCs w:val="24"/>
      <w:lang w:val="es-ES"/>
    </w:rPr>
  </w:style>
  <w:style w:type="character" w:styleId="Lodia">
    <w:name w:val="Strong"/>
    <w:basedOn w:val="Paragrafoarenletra-tipolehenetsia"/>
    <w:qFormat/>
    <w:rsid w:val="00216D4C"/>
    <w:rPr>
      <w:b/>
      <w:bCs/>
      <w:spacing w:val="0"/>
    </w:rPr>
  </w:style>
  <w:style w:type="character" w:customStyle="1" w:styleId="Destacado">
    <w:name w:val="Destacado"/>
    <w:qFormat/>
    <w:rsid w:val="00216D4C"/>
    <w:rPr>
      <w:b/>
      <w:bCs/>
      <w:i/>
      <w:iCs/>
      <w:color w:val="5A5A5A"/>
    </w:rPr>
  </w:style>
  <w:style w:type="character" w:customStyle="1" w:styleId="SinespaciadoCar">
    <w:name w:val="Sin espaciado Car"/>
    <w:basedOn w:val="Paragrafoarenletra-tipolehenetsia"/>
    <w:qFormat/>
    <w:rsid w:val="00216D4C"/>
    <w:rPr>
      <w:rFonts w:eastAsia="Calibri"/>
      <w:lang w:val="es-ES"/>
    </w:rPr>
  </w:style>
  <w:style w:type="character" w:customStyle="1" w:styleId="CitaCar">
    <w:name w:val="Cita Car"/>
    <w:basedOn w:val="Paragrafoarenletra-tipolehenetsia"/>
    <w:qFormat/>
    <w:rsid w:val="00216D4C"/>
    <w:rPr>
      <w:rFonts w:ascii="Calibri Light" w:eastAsia="Calibri" w:hAnsi="Calibri Light" w:cs="Tahoma"/>
      <w:i/>
      <w:iCs/>
      <w:color w:val="5A5A5A"/>
      <w:lang w:val="es-ES"/>
    </w:rPr>
  </w:style>
  <w:style w:type="character" w:customStyle="1" w:styleId="CitadestacadaCar">
    <w:name w:val="Cita destacada Car"/>
    <w:basedOn w:val="Paragrafoarenletra-tipolehenetsia"/>
    <w:qFormat/>
    <w:rsid w:val="00216D4C"/>
    <w:rPr>
      <w:rFonts w:ascii="Calibri Light" w:eastAsia="Calibri" w:hAnsi="Calibri Light" w:cs="Tahoma"/>
      <w:i/>
      <w:iCs/>
      <w:color w:val="FFFFFF"/>
      <w:sz w:val="24"/>
      <w:szCs w:val="24"/>
      <w:shd w:val="clear" w:color="auto" w:fill="5B9BD5"/>
      <w:lang w:val="es-ES"/>
    </w:rPr>
  </w:style>
  <w:style w:type="character" w:styleId="Enfasileuna">
    <w:name w:val="Subtle Emphasis"/>
    <w:qFormat/>
    <w:rsid w:val="00216D4C"/>
    <w:rPr>
      <w:i/>
      <w:iCs/>
      <w:color w:val="5A5A5A"/>
    </w:rPr>
  </w:style>
  <w:style w:type="character" w:styleId="Enfasibizia">
    <w:name w:val="Intense Emphasis"/>
    <w:qFormat/>
    <w:rsid w:val="00216D4C"/>
    <w:rPr>
      <w:b/>
      <w:bCs/>
      <w:i/>
      <w:iCs/>
      <w:color w:val="5B9BD5"/>
      <w:sz w:val="22"/>
      <w:szCs w:val="22"/>
    </w:rPr>
  </w:style>
  <w:style w:type="character" w:styleId="Erreferentzialeuna">
    <w:name w:val="Subtle Reference"/>
    <w:qFormat/>
    <w:rsid w:val="00216D4C"/>
    <w:rPr>
      <w:color w:val="auto"/>
      <w:u w:val="single" w:color="A5A5A5"/>
    </w:rPr>
  </w:style>
  <w:style w:type="character" w:styleId="Erreferentziabizia">
    <w:name w:val="Intense Reference"/>
    <w:basedOn w:val="Paragrafoarenletra-tipolehenetsia"/>
    <w:qFormat/>
    <w:rsid w:val="00216D4C"/>
    <w:rPr>
      <w:b/>
      <w:bCs/>
      <w:color w:val="7B7B7B"/>
      <w:u w:val="single" w:color="A5A5A5"/>
    </w:rPr>
  </w:style>
  <w:style w:type="character" w:styleId="Liburuarenizenburua">
    <w:name w:val="Book Title"/>
    <w:basedOn w:val="Paragrafoarenletra-tipolehenetsia"/>
    <w:qFormat/>
    <w:rsid w:val="00216D4C"/>
    <w:rPr>
      <w:rFonts w:ascii="Calibri Light" w:eastAsia="Calibri" w:hAnsi="Calibri Light" w:cs="Tahoma"/>
      <w:b/>
      <w:bCs/>
      <w:i/>
      <w:iCs/>
      <w:color w:val="auto"/>
    </w:rPr>
  </w:style>
  <w:style w:type="character" w:customStyle="1" w:styleId="PrrafodelistaCar">
    <w:name w:val="Párrafo de lista Car"/>
    <w:qFormat/>
    <w:rsid w:val="00216D4C"/>
    <w:rPr>
      <w:rFonts w:eastAsia="Calibri"/>
      <w:lang w:val="es-ES"/>
    </w:rPr>
  </w:style>
  <w:style w:type="character" w:customStyle="1" w:styleId="TextonotapieCar">
    <w:name w:val="Texto nota pie Car"/>
    <w:basedOn w:val="Paragrafoarenletra-tipolehenetsia"/>
    <w:qFormat/>
    <w:rsid w:val="00216D4C"/>
    <w:rPr>
      <w:rFonts w:ascii="Times New Roman" w:eastAsia="Times New Roman" w:hAnsi="Times New Roman" w:cs="Times New Roman"/>
      <w:sz w:val="20"/>
      <w:szCs w:val="20"/>
      <w:lang w:val="es-ES_tradnl" w:eastAsia="es-ES"/>
    </w:rPr>
  </w:style>
  <w:style w:type="character" w:customStyle="1" w:styleId="EnlacedeInternet">
    <w:name w:val="Enlace de Internet"/>
    <w:basedOn w:val="Paragrafoarenletra-tipolehenetsia"/>
    <w:rsid w:val="00216D4C"/>
    <w:rPr>
      <w:color w:val="0563C1"/>
      <w:u w:val="single"/>
    </w:rPr>
  </w:style>
  <w:style w:type="character" w:customStyle="1" w:styleId="Mencinsinresolver1">
    <w:name w:val="Mención sin resolver1"/>
    <w:basedOn w:val="Paragrafoarenletra-tipolehenetsia"/>
    <w:qFormat/>
    <w:rsid w:val="00216D4C"/>
    <w:rPr>
      <w:color w:val="605E5C"/>
      <w:shd w:val="clear" w:color="auto" w:fill="E1DFDD"/>
    </w:rPr>
  </w:style>
  <w:style w:type="character" w:customStyle="1" w:styleId="Ancladenotaalpie">
    <w:name w:val="Ancla de nota al pie"/>
    <w:rsid w:val="00216D4C"/>
    <w:rPr>
      <w:vertAlign w:val="superscript"/>
    </w:rPr>
  </w:style>
  <w:style w:type="character" w:customStyle="1" w:styleId="FootnoteCharacters">
    <w:name w:val="Footnote Characters"/>
    <w:basedOn w:val="Paragrafoarenletra-tipolehenetsia"/>
    <w:qFormat/>
    <w:rsid w:val="00216D4C"/>
    <w:rPr>
      <w:vertAlign w:val="superscript"/>
    </w:rPr>
  </w:style>
  <w:style w:type="character" w:customStyle="1" w:styleId="Estilo3Car">
    <w:name w:val="Estilo3 Car"/>
    <w:basedOn w:val="Paragrafoarenletra-tipolehenetsia"/>
    <w:qFormat/>
    <w:rsid w:val="00216D4C"/>
    <w:rPr>
      <w:rFonts w:eastAsia="Calibri"/>
      <w:b/>
      <w:sz w:val="24"/>
      <w:szCs w:val="24"/>
      <w:lang w:val="es-ES"/>
    </w:rPr>
  </w:style>
  <w:style w:type="character" w:styleId="Iruzkinarenerreferentzia">
    <w:name w:val="annotation reference"/>
    <w:basedOn w:val="Paragrafoarenletra-tipolehenetsia"/>
    <w:qFormat/>
    <w:rsid w:val="00216D4C"/>
    <w:rPr>
      <w:sz w:val="16"/>
      <w:szCs w:val="16"/>
    </w:rPr>
  </w:style>
  <w:style w:type="character" w:customStyle="1" w:styleId="TextocomentarioCar">
    <w:name w:val="Texto comentario Car"/>
    <w:basedOn w:val="Paragrafoarenletra-tipolehenetsia"/>
    <w:qFormat/>
    <w:rsid w:val="00216D4C"/>
    <w:rPr>
      <w:rFonts w:eastAsia="Calibri"/>
      <w:sz w:val="20"/>
      <w:szCs w:val="20"/>
      <w:lang w:val="es-ES"/>
    </w:rPr>
  </w:style>
  <w:style w:type="character" w:customStyle="1" w:styleId="AsuntodelcomentarioCar">
    <w:name w:val="Asunto del comentario Car"/>
    <w:basedOn w:val="TextocomentarioCar"/>
    <w:qFormat/>
    <w:rsid w:val="00216D4C"/>
    <w:rPr>
      <w:rFonts w:eastAsia="Calibri"/>
      <w:b/>
      <w:bCs/>
      <w:sz w:val="20"/>
      <w:szCs w:val="20"/>
      <w:lang w:val="es-ES"/>
    </w:rPr>
  </w:style>
  <w:style w:type="character" w:customStyle="1" w:styleId="Enlacedelndice">
    <w:name w:val="Enlace del índice"/>
    <w:qFormat/>
    <w:rsid w:val="00216D4C"/>
  </w:style>
  <w:style w:type="character" w:customStyle="1" w:styleId="Caracteresdenotaalpie">
    <w:name w:val="Caracteres de nota al pie"/>
    <w:qFormat/>
    <w:rsid w:val="00216D4C"/>
  </w:style>
  <w:style w:type="character" w:customStyle="1" w:styleId="Ancladenotafinal">
    <w:name w:val="Ancla de nota final"/>
    <w:rsid w:val="00216D4C"/>
    <w:rPr>
      <w:vertAlign w:val="superscript"/>
    </w:rPr>
  </w:style>
  <w:style w:type="character" w:customStyle="1" w:styleId="Caracteresdenotafinal">
    <w:name w:val="Caracteres de nota final"/>
    <w:qFormat/>
    <w:rsid w:val="00216D4C"/>
  </w:style>
  <w:style w:type="paragraph" w:styleId="Titulua">
    <w:name w:val="Title"/>
    <w:basedOn w:val="Normala"/>
    <w:next w:val="Gorputz-testua"/>
    <w:qFormat/>
    <w:rsid w:val="00216D4C"/>
    <w:pPr>
      <w:pBdr>
        <w:top w:val="single" w:sz="8" w:space="10" w:color="ADCCEA"/>
        <w:bottom w:val="single" w:sz="24" w:space="15" w:color="A5A5A5"/>
      </w:pBdr>
      <w:ind w:firstLine="0"/>
      <w:jc w:val="center"/>
    </w:pPr>
    <w:rPr>
      <w:rFonts w:ascii="Calibri Light" w:hAnsi="Calibri Light"/>
      <w:i/>
      <w:iCs/>
      <w:color w:val="1F4D78"/>
      <w:sz w:val="60"/>
      <w:szCs w:val="60"/>
    </w:rPr>
  </w:style>
  <w:style w:type="paragraph" w:styleId="Gorputz-testua">
    <w:name w:val="Body Text"/>
    <w:basedOn w:val="Normala"/>
    <w:rsid w:val="00216D4C"/>
    <w:pPr>
      <w:spacing w:after="140" w:line="276" w:lineRule="auto"/>
    </w:pPr>
  </w:style>
  <w:style w:type="paragraph" w:styleId="Zerrenda">
    <w:name w:val="List"/>
    <w:basedOn w:val="Gorputz-testua"/>
    <w:rsid w:val="00216D4C"/>
    <w:rPr>
      <w:rFonts w:cs="Lucida Sans"/>
    </w:rPr>
  </w:style>
  <w:style w:type="paragraph" w:customStyle="1" w:styleId="Caption">
    <w:name w:val="Caption"/>
    <w:basedOn w:val="Normala"/>
    <w:qFormat/>
    <w:rsid w:val="00216D4C"/>
    <w:pPr>
      <w:suppressLineNumbers/>
      <w:spacing w:before="120" w:after="120"/>
    </w:pPr>
    <w:rPr>
      <w:rFonts w:cs="Lucida Sans"/>
      <w:i/>
      <w:iCs/>
      <w:sz w:val="24"/>
      <w:szCs w:val="24"/>
    </w:rPr>
  </w:style>
  <w:style w:type="paragraph" w:customStyle="1" w:styleId="ndice">
    <w:name w:val="Índice"/>
    <w:basedOn w:val="Normala"/>
    <w:qFormat/>
    <w:rsid w:val="00216D4C"/>
    <w:pPr>
      <w:suppressLineNumbers/>
    </w:pPr>
    <w:rPr>
      <w:rFonts w:cs="Lucida Sans"/>
    </w:rPr>
  </w:style>
  <w:style w:type="paragraph" w:customStyle="1" w:styleId="Ttulo1">
    <w:name w:val="Título1"/>
    <w:basedOn w:val="Normala"/>
    <w:next w:val="Gorputz-testua"/>
    <w:qFormat/>
    <w:rsid w:val="00216D4C"/>
    <w:pPr>
      <w:keepNext/>
      <w:spacing w:before="240" w:after="120"/>
    </w:pPr>
    <w:rPr>
      <w:rFonts w:ascii="Liberation Sans" w:eastAsia="Microsoft YaHei" w:hAnsi="Liberation Sans" w:cs="Lucida Sans"/>
      <w:sz w:val="28"/>
      <w:szCs w:val="28"/>
    </w:rPr>
  </w:style>
  <w:style w:type="paragraph" w:customStyle="1" w:styleId="Cabeceraypie">
    <w:name w:val="Cabecera y pie"/>
    <w:basedOn w:val="Normala"/>
    <w:qFormat/>
    <w:rsid w:val="00216D4C"/>
  </w:style>
  <w:style w:type="paragraph" w:customStyle="1" w:styleId="Header">
    <w:name w:val="Header"/>
    <w:basedOn w:val="Normala"/>
    <w:rsid w:val="00216D4C"/>
    <w:pPr>
      <w:tabs>
        <w:tab w:val="center" w:pos="4536"/>
        <w:tab w:val="right" w:pos="9072"/>
      </w:tabs>
    </w:pPr>
  </w:style>
  <w:style w:type="paragraph" w:customStyle="1" w:styleId="Footer">
    <w:name w:val="Footer"/>
    <w:basedOn w:val="Normala"/>
    <w:rsid w:val="00216D4C"/>
    <w:pPr>
      <w:tabs>
        <w:tab w:val="center" w:pos="4536"/>
        <w:tab w:val="right" w:pos="9072"/>
      </w:tabs>
    </w:pPr>
  </w:style>
  <w:style w:type="paragraph" w:styleId="Blokekotestua">
    <w:name w:val="Block Text"/>
    <w:basedOn w:val="Normala"/>
    <w:qFormat/>
    <w:rsid w:val="00216D4C"/>
    <w:pPr>
      <w:ind w:left="426" w:right="170"/>
      <w:jc w:val="center"/>
    </w:pPr>
    <w:rPr>
      <w:rFonts w:ascii="Times New Roman" w:hAnsi="Times New Roman"/>
      <w:b/>
      <w:sz w:val="20"/>
      <w:lang w:val="es-ES_tradnl"/>
    </w:rPr>
  </w:style>
  <w:style w:type="paragraph" w:customStyle="1" w:styleId="CarCarCarCarCarCarCar">
    <w:name w:val="Car Car Car Car Car Car Car"/>
    <w:basedOn w:val="Normala"/>
    <w:qFormat/>
    <w:rsid w:val="00216D4C"/>
    <w:pPr>
      <w:spacing w:after="160" w:line="240" w:lineRule="exact"/>
    </w:pPr>
    <w:rPr>
      <w:rFonts w:ascii="Verdana" w:hAnsi="Verdana"/>
      <w:sz w:val="20"/>
      <w:lang w:val="en-US"/>
    </w:rPr>
  </w:style>
  <w:style w:type="paragraph" w:customStyle="1" w:styleId="Default">
    <w:name w:val="Default"/>
    <w:qFormat/>
    <w:rsid w:val="00216D4C"/>
    <w:pPr>
      <w:ind w:firstLine="360"/>
    </w:pPr>
    <w:rPr>
      <w:rFonts w:ascii="Arial" w:hAnsi="Arial" w:cs="Arial"/>
      <w:color w:val="000000"/>
      <w:sz w:val="24"/>
      <w:szCs w:val="24"/>
      <w:lang w:val="es-ES"/>
    </w:rPr>
  </w:style>
  <w:style w:type="paragraph" w:styleId="Zerrenda-paragrafoa">
    <w:name w:val="List Paragraph"/>
    <w:basedOn w:val="Normala"/>
    <w:link w:val="Zerrenda-paragrafoaKar"/>
    <w:uiPriority w:val="34"/>
    <w:qFormat/>
    <w:rsid w:val="00216D4C"/>
    <w:pPr>
      <w:ind w:left="720"/>
      <w:contextualSpacing/>
    </w:pPr>
  </w:style>
  <w:style w:type="paragraph" w:customStyle="1" w:styleId="Pa7">
    <w:name w:val="Pa7"/>
    <w:basedOn w:val="Default"/>
    <w:next w:val="Default"/>
    <w:qFormat/>
    <w:rsid w:val="00216D4C"/>
    <w:pPr>
      <w:spacing w:line="221" w:lineRule="atLeast"/>
    </w:pPr>
    <w:rPr>
      <w:color w:val="auto"/>
    </w:rPr>
  </w:style>
  <w:style w:type="paragraph" w:styleId="Bunbuiloarentestua">
    <w:name w:val="Balloon Text"/>
    <w:basedOn w:val="Normala"/>
    <w:qFormat/>
    <w:rsid w:val="00216D4C"/>
    <w:rPr>
      <w:rFonts w:ascii="Tahoma" w:hAnsi="Tahoma"/>
      <w:sz w:val="16"/>
      <w:szCs w:val="16"/>
    </w:rPr>
  </w:style>
  <w:style w:type="paragraph" w:styleId="Tarterikez">
    <w:name w:val="No Spacing"/>
    <w:basedOn w:val="Normala"/>
    <w:qFormat/>
    <w:rsid w:val="00216D4C"/>
    <w:pPr>
      <w:ind w:firstLine="0"/>
    </w:pPr>
  </w:style>
  <w:style w:type="paragraph" w:styleId="Epigrafea">
    <w:name w:val="caption"/>
    <w:basedOn w:val="Normala"/>
    <w:next w:val="Normala"/>
    <w:qFormat/>
    <w:rsid w:val="00216D4C"/>
    <w:rPr>
      <w:b/>
      <w:bCs/>
      <w:sz w:val="18"/>
      <w:szCs w:val="18"/>
    </w:rPr>
  </w:style>
  <w:style w:type="paragraph" w:styleId="Azpititulua">
    <w:name w:val="Subtitle"/>
    <w:basedOn w:val="Normala"/>
    <w:next w:val="Normala"/>
    <w:qFormat/>
    <w:rsid w:val="00216D4C"/>
    <w:pPr>
      <w:spacing w:before="200" w:after="900"/>
      <w:ind w:firstLine="0"/>
      <w:jc w:val="right"/>
    </w:pPr>
    <w:rPr>
      <w:i/>
      <w:iCs/>
      <w:sz w:val="24"/>
      <w:szCs w:val="24"/>
    </w:rPr>
  </w:style>
  <w:style w:type="paragraph" w:styleId="Aipua">
    <w:name w:val="Quote"/>
    <w:basedOn w:val="Normala"/>
    <w:next w:val="Normala"/>
    <w:qFormat/>
    <w:rsid w:val="00216D4C"/>
    <w:rPr>
      <w:rFonts w:ascii="Calibri Light" w:hAnsi="Calibri Light"/>
      <w:i/>
      <w:iCs/>
      <w:color w:val="5A5A5A"/>
    </w:rPr>
  </w:style>
  <w:style w:type="paragraph" w:styleId="Aipamenhandia">
    <w:name w:val="Intense Quote"/>
    <w:basedOn w:val="Normala"/>
    <w:next w:val="Normala"/>
    <w:qFormat/>
    <w:rsid w:val="00216D4C"/>
    <w:pPr>
      <w:pBdr>
        <w:top w:val="single" w:sz="12" w:space="10" w:color="BDD6EE"/>
        <w:left w:val="single" w:sz="36" w:space="4" w:color="5B9BD5"/>
        <w:bottom w:val="single" w:sz="24" w:space="10" w:color="A5A5A5"/>
        <w:right w:val="single" w:sz="36" w:space="4" w:color="5B9BD5"/>
      </w:pBdr>
      <w:shd w:val="clear" w:color="auto" w:fill="5B9BD5"/>
      <w:spacing w:before="320" w:after="320" w:line="300" w:lineRule="auto"/>
      <w:ind w:left="1440" w:right="1440"/>
    </w:pPr>
    <w:rPr>
      <w:rFonts w:ascii="Calibri Light" w:hAnsi="Calibri Light"/>
      <w:i/>
      <w:iCs/>
      <w:color w:val="FFFFFF"/>
      <w:sz w:val="24"/>
      <w:szCs w:val="24"/>
    </w:rPr>
  </w:style>
  <w:style w:type="paragraph" w:styleId="TOCizenburua">
    <w:name w:val="TOC Heading"/>
    <w:basedOn w:val="Heading1"/>
    <w:next w:val="Normala"/>
    <w:uiPriority w:val="39"/>
    <w:qFormat/>
    <w:rsid w:val="00216D4C"/>
    <w:pPr>
      <w:numPr>
        <w:numId w:val="0"/>
      </w:numPr>
      <w:ind w:firstLine="360"/>
    </w:pPr>
    <w:rPr>
      <w:lang w:bidi="en-US"/>
    </w:rPr>
  </w:style>
  <w:style w:type="paragraph" w:customStyle="1" w:styleId="CarCarCarCarCarCarCar1">
    <w:name w:val="Car Car Car Car Car Car Car1"/>
    <w:basedOn w:val="Normala"/>
    <w:qFormat/>
    <w:rsid w:val="00216D4C"/>
    <w:pPr>
      <w:spacing w:after="160" w:line="240" w:lineRule="exact"/>
      <w:ind w:firstLine="0"/>
    </w:pPr>
    <w:rPr>
      <w:rFonts w:ascii="Verdana" w:eastAsia="Times New Roman" w:hAnsi="Verdana" w:cs="Times New Roman"/>
      <w:sz w:val="20"/>
      <w:szCs w:val="20"/>
      <w:lang w:val="en-US"/>
    </w:rPr>
  </w:style>
  <w:style w:type="paragraph" w:customStyle="1" w:styleId="FootnoteText">
    <w:name w:val="Footnote Text"/>
    <w:basedOn w:val="Normala"/>
    <w:rsid w:val="00216D4C"/>
    <w:pPr>
      <w:ind w:firstLine="0"/>
    </w:pPr>
    <w:rPr>
      <w:rFonts w:ascii="Times New Roman" w:eastAsia="Times New Roman" w:hAnsi="Times New Roman" w:cs="Times New Roman"/>
      <w:sz w:val="20"/>
      <w:szCs w:val="20"/>
      <w:lang w:val="es-ES_tradnl" w:eastAsia="es-ES"/>
    </w:rPr>
  </w:style>
  <w:style w:type="paragraph" w:customStyle="1" w:styleId="Estilo3">
    <w:name w:val="Estilo3"/>
    <w:basedOn w:val="Normala"/>
    <w:qFormat/>
    <w:rsid w:val="00216D4C"/>
    <w:pPr>
      <w:ind w:firstLine="0"/>
      <w:jc w:val="both"/>
    </w:pPr>
    <w:rPr>
      <w:b/>
      <w:sz w:val="24"/>
      <w:szCs w:val="24"/>
    </w:rPr>
  </w:style>
  <w:style w:type="paragraph" w:customStyle="1" w:styleId="TOC1">
    <w:name w:val="TOC 1"/>
    <w:basedOn w:val="Normala"/>
    <w:next w:val="Normala"/>
    <w:autoRedefine/>
    <w:rsid w:val="00216D4C"/>
    <w:pPr>
      <w:tabs>
        <w:tab w:val="left" w:pos="880"/>
        <w:tab w:val="right" w:leader="dot" w:pos="8494"/>
      </w:tabs>
      <w:spacing w:after="100"/>
      <w:ind w:left="1418" w:hanging="1418"/>
    </w:pPr>
  </w:style>
  <w:style w:type="paragraph" w:customStyle="1" w:styleId="TOC2">
    <w:name w:val="TOC 2"/>
    <w:basedOn w:val="Normala"/>
    <w:next w:val="Normala"/>
    <w:autoRedefine/>
    <w:rsid w:val="00216D4C"/>
    <w:pPr>
      <w:tabs>
        <w:tab w:val="left" w:pos="1100"/>
        <w:tab w:val="right" w:leader="dot" w:pos="8494"/>
      </w:tabs>
      <w:spacing w:after="100"/>
      <w:ind w:left="1134" w:hanging="567"/>
    </w:pPr>
  </w:style>
  <w:style w:type="paragraph" w:customStyle="1" w:styleId="TOC3">
    <w:name w:val="TOC 3"/>
    <w:basedOn w:val="Normala"/>
    <w:next w:val="Normala"/>
    <w:autoRedefine/>
    <w:rsid w:val="00216D4C"/>
    <w:pPr>
      <w:spacing w:after="100"/>
      <w:ind w:left="440"/>
    </w:pPr>
  </w:style>
  <w:style w:type="paragraph" w:styleId="Iruzkinarentestua">
    <w:name w:val="annotation text"/>
    <w:basedOn w:val="Normala"/>
    <w:qFormat/>
    <w:rsid w:val="00216D4C"/>
    <w:rPr>
      <w:sz w:val="20"/>
      <w:szCs w:val="20"/>
    </w:rPr>
  </w:style>
  <w:style w:type="paragraph" w:styleId="Iruzkinarengaia">
    <w:name w:val="annotation subject"/>
    <w:basedOn w:val="Iruzkinarentestua"/>
    <w:next w:val="Iruzkinarentestua"/>
    <w:qFormat/>
    <w:rsid w:val="00216D4C"/>
    <w:rPr>
      <w:b/>
      <w:bCs/>
    </w:rPr>
  </w:style>
  <w:style w:type="paragraph" w:styleId="Berrikuspena">
    <w:name w:val="Revision"/>
    <w:qFormat/>
    <w:rsid w:val="00216D4C"/>
    <w:rPr>
      <w:lang w:val="es-ES"/>
    </w:rPr>
  </w:style>
  <w:style w:type="paragraph" w:customStyle="1" w:styleId="IndexHeading">
    <w:name w:val="Index Heading"/>
    <w:basedOn w:val="Ttulo1"/>
    <w:rsid w:val="00216D4C"/>
    <w:pPr>
      <w:suppressLineNumbers/>
      <w:ind w:firstLine="0"/>
    </w:pPr>
    <w:rPr>
      <w:b/>
      <w:bCs/>
      <w:sz w:val="32"/>
      <w:szCs w:val="32"/>
    </w:rPr>
  </w:style>
  <w:style w:type="paragraph" w:customStyle="1" w:styleId="TOAHeading">
    <w:name w:val="TOA Heading"/>
    <w:basedOn w:val="IndexHeading"/>
    <w:qFormat/>
    <w:rsid w:val="00216D4C"/>
  </w:style>
  <w:style w:type="paragraph" w:customStyle="1" w:styleId="Contenidodelatabla">
    <w:name w:val="Contenido de la tabla"/>
    <w:basedOn w:val="Normala"/>
    <w:qFormat/>
    <w:rsid w:val="00216D4C"/>
    <w:pPr>
      <w:widowControl w:val="0"/>
      <w:suppressLineNumbers/>
    </w:pPr>
  </w:style>
  <w:style w:type="numbering" w:customStyle="1" w:styleId="Estilo1">
    <w:name w:val="Estilo1"/>
    <w:qFormat/>
    <w:rsid w:val="00216D4C"/>
  </w:style>
  <w:style w:type="numbering" w:customStyle="1" w:styleId="Estilo2">
    <w:name w:val="Estilo2"/>
    <w:qFormat/>
    <w:rsid w:val="00216D4C"/>
  </w:style>
  <w:style w:type="paragraph" w:styleId="EA1">
    <w:name w:val="toc 1"/>
    <w:basedOn w:val="Normala"/>
    <w:next w:val="Normala"/>
    <w:autoRedefine/>
    <w:uiPriority w:val="39"/>
    <w:unhideWhenUsed/>
    <w:rsid w:val="00762B21"/>
    <w:pPr>
      <w:tabs>
        <w:tab w:val="right" w:leader="dot" w:pos="9062"/>
      </w:tabs>
      <w:spacing w:after="100"/>
      <w:ind w:left="1560" w:hanging="1418"/>
    </w:pPr>
  </w:style>
  <w:style w:type="paragraph" w:styleId="EA2">
    <w:name w:val="toc 2"/>
    <w:basedOn w:val="Normala"/>
    <w:next w:val="Normala"/>
    <w:autoRedefine/>
    <w:uiPriority w:val="39"/>
    <w:unhideWhenUsed/>
    <w:rsid w:val="00762B21"/>
    <w:pPr>
      <w:tabs>
        <w:tab w:val="left" w:pos="1100"/>
        <w:tab w:val="right" w:leader="dot" w:pos="9062"/>
      </w:tabs>
      <w:spacing w:after="100"/>
      <w:ind w:left="1134" w:hanging="554"/>
    </w:pPr>
  </w:style>
  <w:style w:type="character" w:styleId="Hiperesteka">
    <w:name w:val="Hyperlink"/>
    <w:basedOn w:val="Paragrafoarenletra-tipolehenetsia"/>
    <w:uiPriority w:val="99"/>
    <w:unhideWhenUsed/>
    <w:rsid w:val="00762B21"/>
    <w:rPr>
      <w:color w:val="0000FF" w:themeColor="hyperlink"/>
      <w:u w:val="single"/>
    </w:rPr>
  </w:style>
  <w:style w:type="paragraph" w:styleId="Goiburua">
    <w:name w:val="header"/>
    <w:basedOn w:val="Normala"/>
    <w:link w:val="GoiburuaKar"/>
    <w:uiPriority w:val="99"/>
    <w:unhideWhenUsed/>
    <w:rsid w:val="00272611"/>
    <w:pPr>
      <w:tabs>
        <w:tab w:val="center" w:pos="4252"/>
        <w:tab w:val="right" w:pos="8504"/>
      </w:tabs>
    </w:pPr>
  </w:style>
  <w:style w:type="character" w:customStyle="1" w:styleId="GoiburuaKar">
    <w:name w:val="Goiburua Kar"/>
    <w:basedOn w:val="Paragrafoarenletra-tipolehenetsia"/>
    <w:link w:val="Goiburua"/>
    <w:uiPriority w:val="99"/>
    <w:rsid w:val="00272611"/>
    <w:rPr>
      <w:lang w:val="es-ES"/>
    </w:rPr>
  </w:style>
  <w:style w:type="paragraph" w:styleId="Orri-oina">
    <w:name w:val="footer"/>
    <w:basedOn w:val="Normala"/>
    <w:link w:val="Orri-oinaKar"/>
    <w:uiPriority w:val="99"/>
    <w:semiHidden/>
    <w:unhideWhenUsed/>
    <w:rsid w:val="00272611"/>
    <w:pPr>
      <w:tabs>
        <w:tab w:val="center" w:pos="4252"/>
        <w:tab w:val="right" w:pos="8504"/>
      </w:tabs>
    </w:pPr>
  </w:style>
  <w:style w:type="character" w:customStyle="1" w:styleId="Orri-oinaKar">
    <w:name w:val="Orri-oina Kar"/>
    <w:basedOn w:val="Paragrafoarenletra-tipolehenetsia"/>
    <w:link w:val="Orri-oina"/>
    <w:uiPriority w:val="99"/>
    <w:semiHidden/>
    <w:rsid w:val="00272611"/>
    <w:rPr>
      <w:lang w:val="es-ES"/>
    </w:rPr>
  </w:style>
  <w:style w:type="character" w:customStyle="1" w:styleId="Zerrenda-paragrafoaKar">
    <w:name w:val="Zerrenda-paragrafoa Kar"/>
    <w:link w:val="Zerrenda-paragrafoa"/>
    <w:uiPriority w:val="34"/>
    <w:qFormat/>
    <w:rsid w:val="00A21DFB"/>
    <w:rPr>
      <w:lang w:val="es-ES"/>
    </w:rPr>
  </w:style>
</w:styles>
</file>

<file path=word/webSettings.xml><?xml version="1.0" encoding="utf-8"?>
<w:webSettings xmlns:r="http://schemas.openxmlformats.org/officeDocument/2006/relationships" xmlns:w="http://schemas.openxmlformats.org/wordprocessingml/2006/main">
  <w:divs>
    <w:div w:id="396974699">
      <w:bodyDiv w:val="1"/>
      <w:marLeft w:val="0"/>
      <w:marRight w:val="0"/>
      <w:marTop w:val="0"/>
      <w:marBottom w:val="0"/>
      <w:divBdr>
        <w:top w:val="none" w:sz="0" w:space="0" w:color="auto"/>
        <w:left w:val="none" w:sz="0" w:space="0" w:color="auto"/>
        <w:bottom w:val="none" w:sz="0" w:space="0" w:color="auto"/>
        <w:right w:val="none" w:sz="0" w:space="0" w:color="auto"/>
      </w:divBdr>
      <w:divsChild>
        <w:div w:id="38822272">
          <w:marLeft w:val="-225"/>
          <w:marRight w:val="-225"/>
          <w:marTop w:val="0"/>
          <w:marBottom w:val="0"/>
          <w:divBdr>
            <w:top w:val="none" w:sz="0" w:space="0" w:color="auto"/>
            <w:left w:val="none" w:sz="0" w:space="0" w:color="auto"/>
            <w:bottom w:val="none" w:sz="0" w:space="0" w:color="auto"/>
            <w:right w:val="none" w:sz="0" w:space="0" w:color="auto"/>
          </w:divBdr>
          <w:divsChild>
            <w:div w:id="852885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524715">
      <w:bodyDiv w:val="1"/>
      <w:marLeft w:val="0"/>
      <w:marRight w:val="0"/>
      <w:marTop w:val="0"/>
      <w:marBottom w:val="0"/>
      <w:divBdr>
        <w:top w:val="none" w:sz="0" w:space="0" w:color="auto"/>
        <w:left w:val="none" w:sz="0" w:space="0" w:color="auto"/>
        <w:bottom w:val="none" w:sz="0" w:space="0" w:color="auto"/>
        <w:right w:val="none" w:sz="0" w:space="0" w:color="auto"/>
      </w:divBdr>
      <w:divsChild>
        <w:div w:id="1186285035">
          <w:marLeft w:val="-225"/>
          <w:marRight w:val="-225"/>
          <w:marTop w:val="0"/>
          <w:marBottom w:val="0"/>
          <w:divBdr>
            <w:top w:val="none" w:sz="0" w:space="0" w:color="auto"/>
            <w:left w:val="none" w:sz="0" w:space="0" w:color="auto"/>
            <w:bottom w:val="none" w:sz="0" w:space="0" w:color="auto"/>
            <w:right w:val="none" w:sz="0" w:space="0" w:color="auto"/>
          </w:divBdr>
          <w:divsChild>
            <w:div w:id="1264075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mitma.gob.es/recursos_mfom/paginabasica/recursos/fag_acciones_de_comunicacion_de_obligado_cumplimiento.pdf" TargetMode="External"/><Relationship Id="rId13" Type="http://schemas.openxmlformats.org/officeDocument/2006/relationships/hyperlink" Target="https://www.lamoncloa.gob.es/temas/fondos-recuperacion/Documents/16062021-Componente2.pdf"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www.boe.es/doue/2020/198/L00013-00043.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hyperlink" Target="http://www.mitma.gob.es/recursos"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jpeg"/><Relationship Id="rId1" Type="http://schemas.openxmlformats.org/officeDocument/2006/relationships/image" Target="media/image5.jpeg"/><Relationship Id="rId4" Type="http://schemas.openxmlformats.org/officeDocument/2006/relationships/image" Target="media/image8.jpe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49</Pages>
  <Words>22280</Words>
  <Characters>122544</Characters>
  <Application>Microsoft Office Word</Application>
  <DocSecurity>0</DocSecurity>
  <Lines>1021</Lines>
  <Paragraphs>289</Paragraphs>
  <ScaleCrop>false</ScaleCrop>
  <HeadingPairs>
    <vt:vector size="2" baseType="variant">
      <vt:variant>
        <vt:lpstr>Título</vt:lpstr>
      </vt:variant>
      <vt:variant>
        <vt:i4>1</vt:i4>
      </vt:variant>
    </vt:vector>
  </HeadingPairs>
  <TitlesOfParts>
    <vt:vector size="1" baseType="lpstr">
      <vt:lpstr/>
    </vt:vector>
  </TitlesOfParts>
  <Company>Eusko Jaurlaritza Gobierno Vasco</Company>
  <LinksUpToDate>false</LinksUpToDate>
  <CharactersWithSpaces>144535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 La Puerta Rueda, Ignacio</dc:creator>
  <cp:lastModifiedBy>j.eceolaza</cp:lastModifiedBy>
  <cp:revision>3</cp:revision>
  <dcterms:created xsi:type="dcterms:W3CDTF">2022-12-05T09:17:00Z</dcterms:created>
  <dcterms:modified xsi:type="dcterms:W3CDTF">2022-12-05T09:28:00Z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Eusko Jaurlaritza Gobierno Vasco</vt:lpwstr>
  </property>
  <property fmtid="{D5CDD505-2E9C-101B-9397-08002B2CF9AE}" pid="4" name="ComplianceAssetId">
    <vt:lpwstr/>
  </property>
  <property fmtid="{D5CDD505-2E9C-101B-9397-08002B2CF9AE}" pid="5" name="ContentTypeId">
    <vt:lpwstr>0x010100909B044BC0C823489801D61625FF8CCB</vt:lpwstr>
  </property>
  <property fmtid="{D5CDD505-2E9C-101B-9397-08002B2CF9AE}" pid="6" name="DocSecurity">
    <vt:i4>0</vt:i4>
  </property>
  <property fmtid="{D5CDD505-2E9C-101B-9397-08002B2CF9AE}" pid="7" name="HyperlinksChanged">
    <vt:bool>false</vt:bool>
  </property>
  <property fmtid="{D5CDD505-2E9C-101B-9397-08002B2CF9AE}" pid="8" name="LinksUpToDate">
    <vt:bool>false</vt:bool>
  </property>
  <property fmtid="{D5CDD505-2E9C-101B-9397-08002B2CF9AE}" pid="9" name="MediaServiceImageTags">
    <vt:lpwstr/>
  </property>
  <property fmtid="{D5CDD505-2E9C-101B-9397-08002B2CF9AE}" pid="10" name="Order">
    <vt:i4>4365600</vt:i4>
  </property>
  <property fmtid="{D5CDD505-2E9C-101B-9397-08002B2CF9AE}" pid="11" name="ScaleCrop">
    <vt:bool>false</vt:bool>
  </property>
  <property fmtid="{D5CDD505-2E9C-101B-9397-08002B2CF9AE}" pid="12" name="ShareDoc">
    <vt:bool>false</vt:bool>
  </property>
  <property fmtid="{D5CDD505-2E9C-101B-9397-08002B2CF9AE}" pid="13" name="TriggerFlowInfo">
    <vt:lpwstr/>
  </property>
  <property fmtid="{D5CDD505-2E9C-101B-9397-08002B2CF9AE}" pid="14" name="_ExtendedDescription">
    <vt:lpwstr/>
  </property>
  <property fmtid="{D5CDD505-2E9C-101B-9397-08002B2CF9AE}" pid="15" name="_SourceUrl">
    <vt:lpwstr/>
  </property>
</Properties>
</file>