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lang w:val="es-ES" w:bidi="ar-SA"/>
        </w:rPr>
      </w:pPr>
      <w:r>
        <w:rPr>
          <w:lang w:val="es-ES" w:bidi="ar-SA"/>
        </w:rPr>
      </w:r>
    </w:p>
    <w:p>
      <w:pPr>
        <w:pStyle w:val="Normal"/>
        <w:widowControl w:val="false"/>
        <w:spacing w:lineRule="auto" w:line="360"/>
        <w:jc w:val="center"/>
        <w:rPr/>
      </w:pPr>
      <w:r>
        <w:rPr>
          <w:rFonts w:cs="Verdana" w:ascii="Verdana" w:hAnsi="Verdana"/>
          <w:b/>
          <w:bCs/>
          <w:color w:val="333399"/>
          <w:sz w:val="22"/>
          <w:szCs w:val="22"/>
          <w:lang w:val="es-ES" w:bidi="ar-SA"/>
        </w:rPr>
        <w:t>CONVOCATORIA</w:t>
      </w:r>
      <w:r>
        <w:rPr>
          <w:rFonts w:cs="Verdana" w:ascii="Verdana" w:hAnsi="Verdana"/>
          <w:b/>
          <w:bCs/>
          <w:color w:val="333399"/>
          <w:sz w:val="20"/>
          <w:szCs w:val="20"/>
          <w:lang w:val="es-ES" w:bidi="ar-SA"/>
        </w:rPr>
        <w:t xml:space="preserve"> </w:t>
      </w:r>
      <w:r>
        <w:rPr>
          <w:rFonts w:cs="Verdana" w:ascii="Verdana" w:hAnsi="Verdana"/>
          <w:b/>
          <w:bCs/>
          <w:color w:val="333399"/>
          <w:sz w:val="22"/>
          <w:szCs w:val="22"/>
          <w:lang w:val="es-ES" w:bidi="ar-SA"/>
        </w:rPr>
        <w:t>PARA LA CONCESIÓN DE SUBVENCIONES EN MATERIA DE</w:t>
      </w:r>
      <w:r>
        <w:rPr>
          <w:rFonts w:eastAsia="Times New Roman" w:cs="Verdana" w:ascii="Verdana" w:hAnsi="Verdana"/>
          <w:b/>
          <w:bCs/>
          <w:color w:val="333399"/>
          <w:sz w:val="22"/>
          <w:szCs w:val="22"/>
          <w:lang w:val="es-ES" w:bidi="ar-SA"/>
        </w:rPr>
        <w:t xml:space="preserve"> TRANSPORTE A USUARIOS PARA ASISTENCIA SANITARIA</w:t>
      </w:r>
      <w:r>
        <w:rPr>
          <w:rFonts w:cs="Verdana" w:ascii="Verdana" w:hAnsi="Verdana"/>
          <w:b/>
          <w:bCs/>
          <w:color w:val="333399"/>
          <w:sz w:val="22"/>
          <w:szCs w:val="22"/>
          <w:lang w:val="es-ES" w:bidi="ar-SA"/>
        </w:rPr>
        <w:t>, AÑO 2023</w:t>
      </w:r>
    </w:p>
    <w:p>
      <w:pPr>
        <w:pStyle w:val="Normal"/>
        <w:widowControl w:val="false"/>
        <w:spacing w:lineRule="auto" w:line="360"/>
        <w:ind w:left="0" w:right="0" w:firstLine="708"/>
        <w:jc w:val="both"/>
        <w:rPr>
          <w:rFonts w:ascii="Verdana" w:hAnsi="Verdana" w:cs="Verdana"/>
          <w:sz w:val="20"/>
          <w:lang w:val="es-ES" w:bidi="ar-SA"/>
        </w:rPr>
      </w:pPr>
      <w:r>
        <w:rPr>
          <w:rFonts w:cs="Verdana" w:ascii="Verdana" w:hAnsi="Verdana"/>
          <w:sz w:val="20"/>
          <w:lang w:val="es-ES" w:bidi="ar-SA"/>
        </w:rPr>
      </w:r>
    </w:p>
    <w:p>
      <w:pPr>
        <w:pStyle w:val="Normal"/>
        <w:widowControl w:val="false"/>
        <w:spacing w:lineRule="auto" w:line="360"/>
        <w:ind w:left="0" w:right="0" w:firstLine="708"/>
        <w:jc w:val="both"/>
        <w:rPr/>
      </w:pPr>
      <w:r>
        <w:rPr>
          <w:rFonts w:cs="Verdana" w:ascii="Verdana" w:hAnsi="Verdana"/>
          <w:b/>
          <w:bCs/>
          <w:sz w:val="20"/>
          <w:szCs w:val="20"/>
          <w:lang w:val="es-ES_tradnl" w:eastAsia="es-ES" w:bidi="ar-SA"/>
        </w:rPr>
        <w:t xml:space="preserve">1. </w:t>
      </w:r>
      <w:r>
        <w:rPr>
          <w:rFonts w:cs="Verdana" w:ascii="Verdana" w:hAnsi="Verdana"/>
          <w:b/>
          <w:bCs/>
          <w:sz w:val="20"/>
          <w:szCs w:val="20"/>
          <w:u w:val="single"/>
          <w:lang w:val="es-ES_tradnl" w:eastAsia="es-ES" w:bidi="ar-SA"/>
        </w:rPr>
        <w:t>Bases Reguladoras</w:t>
      </w:r>
    </w:p>
    <w:p>
      <w:pPr>
        <w:pStyle w:val="Normal"/>
        <w:widowControl w:val="false"/>
        <w:spacing w:lineRule="auto" w:line="360"/>
        <w:ind w:left="0" w:right="0" w:firstLine="708"/>
        <w:jc w:val="both"/>
        <w:rPr>
          <w:rFonts w:ascii="Verdana" w:hAnsi="Verdana" w:cs="Verdana"/>
          <w:b/>
          <w:b/>
          <w:bCs/>
          <w:sz w:val="20"/>
          <w:szCs w:val="20"/>
          <w:u w:val="single"/>
          <w:lang w:val="es-ES_tradnl" w:eastAsia="es-ES" w:bidi="ar-SA"/>
        </w:rPr>
      </w:pPr>
      <w:r>
        <w:rPr>
          <w:rFonts w:cs="Verdana" w:ascii="Verdana" w:hAnsi="Verdana"/>
          <w:b/>
          <w:bCs/>
          <w:sz w:val="20"/>
          <w:szCs w:val="20"/>
          <w:u w:val="single"/>
          <w:lang w:val="es-ES_tradnl" w:eastAsia="es-ES" w:bidi="ar-SA"/>
        </w:rPr>
      </w:r>
    </w:p>
    <w:p>
      <w:pPr>
        <w:pStyle w:val="Normal"/>
        <w:widowControl w:val="false"/>
        <w:spacing w:lineRule="auto" w:line="360"/>
        <w:ind w:left="0" w:right="0" w:firstLine="708"/>
        <w:jc w:val="both"/>
        <w:rPr/>
      </w:pPr>
      <w:r>
        <w:rPr>
          <w:rFonts w:cs="Verdana" w:ascii="Verdana" w:hAnsi="Verdana"/>
          <w:sz w:val="20"/>
          <w:szCs w:val="20"/>
          <w:lang w:val="es-ES_tradnl" w:eastAsia="es-ES" w:bidi="ar-SA"/>
        </w:rPr>
        <w:t>Estas subvenciones se regi</w:t>
      </w:r>
      <w:r>
        <w:rPr>
          <w:rFonts w:cs="Verdana" w:ascii="Verdana" w:hAnsi="Verdana"/>
          <w:i w:val="false"/>
          <w:iCs w:val="false"/>
          <w:sz w:val="20"/>
          <w:szCs w:val="20"/>
          <w:lang w:val="es-ES_tradnl" w:eastAsia="es-ES" w:bidi="ar-SA"/>
        </w:rPr>
        <w:t>rán por lo establecido en la presente convocatoria, en las bases de ejecución del presupuesto, en el plan estrategico de subvenciones, e</w:t>
      </w:r>
      <w:r>
        <w:rPr>
          <w:rFonts w:cs="Verdana" w:ascii="Verdana" w:hAnsi="Verdana"/>
          <w:sz w:val="20"/>
          <w:szCs w:val="20"/>
          <w:lang w:val="es-ES_tradnl" w:eastAsia="es-ES" w:bidi="ar-SA"/>
        </w:rPr>
        <w:t xml:space="preserve">n la Ley 5/2015, de 25 de marzo, de Subvenciones de Aragón; en la Ley 38/2003, de 17 de noviembre, General de Subvenciones; en el Reglamento General de la Ley de Subvenciones aprobado por Real Decreto 886/2006, de 21 de julio; en la Ley 39/2015, de 1 de octubre, del Procedimiento Administrativo Común de las Administraciones Públicas; en el </w:t>
      </w:r>
      <w:r>
        <w:rPr>
          <w:rFonts w:cs="Verdana" w:ascii="Verdana" w:hAnsi="Verdana"/>
          <w:bCs/>
          <w:color w:val="000000"/>
          <w:sz w:val="20"/>
          <w:szCs w:val="20"/>
          <w:lang w:val="es-ES" w:bidi="ar-SA"/>
        </w:rPr>
        <w:t xml:space="preserve">Real Decreto 130/2019, de 8 de marzo, por el que se regula la Base de Datos </w:t>
      </w:r>
      <w:r>
        <w:rPr>
          <w:rFonts w:cs="Verdana" w:ascii="Verdana" w:hAnsi="Verdana"/>
          <w:bCs/>
          <w:i w:val="false"/>
          <w:iCs w:val="false"/>
          <w:color w:val="000000"/>
          <w:sz w:val="20"/>
          <w:szCs w:val="20"/>
          <w:lang w:val="es-ES" w:bidi="ar-SA"/>
        </w:rPr>
        <w:t>Nacional de Subvenciones y la publicidad de las subvenciones y demás ayudas públicas</w:t>
      </w:r>
      <w:r>
        <w:rPr>
          <w:rFonts w:cs="Verdana" w:ascii="Verdana" w:hAnsi="Verdana"/>
          <w:i w:val="false"/>
          <w:iCs w:val="false"/>
          <w:sz w:val="20"/>
          <w:szCs w:val="20"/>
          <w:lang w:val="es-ES_tradnl" w:eastAsia="es-ES" w:bidi="ar-SA"/>
        </w:rPr>
        <w:t xml:space="preserve">; en la Ordenanza General de Subvenciones, publicada en el Boletín Oficial de </w:t>
      </w:r>
      <w:r>
        <w:rPr>
          <w:rFonts w:eastAsia="Times New Roman" w:cs="Verdana" w:ascii="Verdana" w:hAnsi="Verdana"/>
          <w:i w:val="false"/>
          <w:iCs w:val="false"/>
          <w:color w:val="auto"/>
          <w:sz w:val="20"/>
          <w:szCs w:val="20"/>
          <w:lang w:val="es-ES_tradnl" w:eastAsia="es-ES" w:bidi="ar-SA"/>
        </w:rPr>
        <w:t>Teruel</w:t>
      </w:r>
      <w:r>
        <w:rPr>
          <w:rFonts w:cs="Verdana" w:ascii="Verdana" w:hAnsi="Verdana"/>
          <w:i w:val="false"/>
          <w:iCs w:val="false"/>
          <w:sz w:val="20"/>
          <w:szCs w:val="20"/>
          <w:lang w:val="es-ES_tradnl" w:eastAsia="es-ES" w:bidi="ar-SA"/>
        </w:rPr>
        <w:t xml:space="preserve"> nº </w:t>
      </w:r>
      <w:r>
        <w:rPr>
          <w:rFonts w:eastAsia="Times New Roman" w:cs="Verdana" w:ascii="Verdana" w:hAnsi="Verdana"/>
          <w:i w:val="false"/>
          <w:iCs w:val="false"/>
          <w:color w:val="auto"/>
          <w:sz w:val="20"/>
          <w:szCs w:val="20"/>
          <w:lang w:val="es-ES_tradnl" w:eastAsia="es-ES" w:bidi="ar-SA"/>
        </w:rPr>
        <w:t>195</w:t>
      </w:r>
      <w:r>
        <w:rPr>
          <w:rFonts w:cs="Verdana" w:ascii="Verdana" w:hAnsi="Verdana"/>
          <w:sz w:val="20"/>
          <w:szCs w:val="20"/>
          <w:lang w:val="es-ES_tradnl" w:eastAsia="es-ES" w:bidi="ar-SA"/>
        </w:rPr>
        <w:t xml:space="preserve"> con fecha </w:t>
      </w:r>
      <w:r>
        <w:rPr>
          <w:rFonts w:eastAsia="Times New Roman" w:cs="Verdana" w:ascii="Verdana" w:hAnsi="Verdana"/>
          <w:color w:val="auto"/>
          <w:sz w:val="20"/>
          <w:szCs w:val="20"/>
          <w:lang w:val="es-ES_tradnl" w:eastAsia="es-ES" w:bidi="ar-SA"/>
        </w:rPr>
        <w:t>13 de octubre de 2021</w:t>
      </w:r>
      <w:r>
        <w:rPr>
          <w:rFonts w:cs="Verdana" w:ascii="Verdana" w:hAnsi="Verdana"/>
          <w:sz w:val="20"/>
          <w:szCs w:val="20"/>
          <w:lang w:val="es-ES_tradnl" w:eastAsia="es-ES" w:bidi="ar-SA"/>
        </w:rPr>
        <w:t>, y en las restantes normas de derecho administrativo que en su caso sean aplicables, y en su defecto, las normas de derecho privado.</w:t>
      </w:r>
    </w:p>
    <w:p>
      <w:pPr>
        <w:pStyle w:val="Normal"/>
        <w:widowControl w:val="false"/>
        <w:spacing w:lineRule="auto" w:line="360"/>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sz w:val="20"/>
          <w:szCs w:val="20"/>
          <w:shd w:fill="auto" w:val="clear"/>
          <w:lang w:val="es-ES_tradnl" w:eastAsia="es-ES" w:bidi="ar-SA"/>
        </w:rPr>
        <w:t>Las bases reguladoras de la concesión de estas subvenciones están contenidas en la Orde</w:t>
      </w:r>
      <w:r>
        <w:rPr>
          <w:rFonts w:cs="Verdana" w:ascii="Verdana" w:hAnsi="Verdana"/>
          <w:i w:val="false"/>
          <w:iCs w:val="false"/>
          <w:sz w:val="20"/>
          <w:szCs w:val="20"/>
          <w:shd w:fill="auto" w:val="clear"/>
          <w:lang w:val="es-ES_tradnl" w:eastAsia="es-ES" w:bidi="ar-SA"/>
        </w:rPr>
        <w:t xml:space="preserve">nanza general reguladora para la concesión de subvenciones, aprobada en fecha </w:t>
      </w:r>
      <w:r>
        <w:rPr>
          <w:rFonts w:eastAsia="Times New Roman" w:cs="Verdana" w:ascii="Verdana" w:hAnsi="Verdana"/>
          <w:i w:val="false"/>
          <w:iCs w:val="false"/>
          <w:color w:val="000000"/>
          <w:sz w:val="20"/>
          <w:szCs w:val="20"/>
          <w:shd w:fill="auto" w:val="clear"/>
          <w:lang w:val="es-ES_tradnl" w:eastAsia="es-ES" w:bidi="ar-SA"/>
        </w:rPr>
        <w:t>19 de noviembre de 2020</w:t>
      </w:r>
      <w:r>
        <w:rPr>
          <w:rFonts w:cs="Verdana" w:ascii="Verdana" w:hAnsi="Verdana"/>
          <w:i w:val="false"/>
          <w:iCs w:val="false"/>
          <w:sz w:val="20"/>
          <w:szCs w:val="20"/>
          <w:shd w:fill="auto" w:val="clear"/>
          <w:lang w:val="es-ES_tradnl" w:eastAsia="es-ES" w:bidi="ar-SA"/>
        </w:rPr>
        <w:t xml:space="preserve">, y publicada en el Boletín Oficial de la Provincia n.º </w:t>
      </w:r>
      <w:r>
        <w:rPr>
          <w:rFonts w:eastAsia="Times New Roman" w:cs="Verdana" w:ascii="Verdana" w:hAnsi="Verdana"/>
          <w:i w:val="false"/>
          <w:iCs w:val="false"/>
          <w:color w:val="000000"/>
          <w:sz w:val="20"/>
          <w:szCs w:val="20"/>
          <w:shd w:fill="auto" w:val="clear"/>
          <w:lang w:val="es-ES_tradnl" w:eastAsia="es-ES" w:bidi="ar-SA"/>
        </w:rPr>
        <w:t>195</w:t>
      </w:r>
      <w:r>
        <w:rPr>
          <w:rFonts w:cs="Verdana" w:ascii="Verdana" w:hAnsi="Verdana"/>
          <w:i w:val="false"/>
          <w:iCs w:val="false"/>
          <w:sz w:val="20"/>
          <w:szCs w:val="20"/>
          <w:shd w:fill="auto" w:val="clear"/>
          <w:lang w:val="es-ES_tradnl" w:eastAsia="es-ES" w:bidi="ar-SA"/>
        </w:rPr>
        <w:t xml:space="preserve">, de fecha </w:t>
      </w:r>
      <w:r>
        <w:rPr>
          <w:rFonts w:eastAsia="Times New Roman" w:cs="Verdana" w:ascii="Verdana" w:hAnsi="Verdana"/>
          <w:i w:val="false"/>
          <w:iCs w:val="false"/>
          <w:color w:val="000000"/>
          <w:sz w:val="20"/>
          <w:szCs w:val="20"/>
          <w:shd w:fill="auto" w:val="clear"/>
          <w:lang w:val="es-ES_tradnl" w:eastAsia="es-ES" w:bidi="ar-SA"/>
        </w:rPr>
        <w:t>13 de octubre de 2021</w:t>
      </w:r>
      <w:r>
        <w:rPr>
          <w:rFonts w:cs="Verdana" w:ascii="Verdana" w:hAnsi="Verdana"/>
          <w:i w:val="false"/>
          <w:iCs w:val="false"/>
          <w:sz w:val="20"/>
          <w:szCs w:val="20"/>
          <w:shd w:fill="auto" w:val="clear"/>
          <w:lang w:val="es-ES_tradnl" w:eastAsia="es-ES" w:bidi="ar-SA"/>
        </w:rPr>
        <w:t>.</w:t>
      </w:r>
    </w:p>
    <w:p>
      <w:pPr>
        <w:pStyle w:val="Normal"/>
        <w:widowControl w:val="false"/>
        <w:spacing w:lineRule="auto" w:line="360"/>
        <w:ind w:left="0" w:right="0" w:firstLine="708"/>
        <w:jc w:val="both"/>
        <w:rPr>
          <w:rFonts w:ascii="Verdana" w:hAnsi="Verdana" w:cs="Verdana"/>
          <w:i/>
          <w:i/>
          <w:iCs w:val="false"/>
          <w:color w:val="808080"/>
          <w:sz w:val="20"/>
          <w:szCs w:val="20"/>
          <w:shd w:fill="auto" w:val="clear"/>
          <w:lang w:val="es-ES_tradnl" w:eastAsia="es-ES" w:bidi="ar-SA"/>
        </w:rPr>
      </w:pPr>
      <w:r>
        <w:rPr>
          <w:rFonts w:cs="Verdana" w:ascii="Verdana" w:hAnsi="Verdana"/>
          <w:i/>
          <w:iCs w:val="false"/>
          <w:color w:val="808080"/>
          <w:sz w:val="20"/>
          <w:szCs w:val="20"/>
          <w:shd w:fill="auto" w:val="clear"/>
          <w:lang w:val="es-ES_tradnl" w:eastAsia="es-ES" w:bidi="ar-SA"/>
        </w:rPr>
      </w:r>
    </w:p>
    <w:p>
      <w:pPr>
        <w:pStyle w:val="Normal"/>
        <w:widowControl w:val="false"/>
        <w:spacing w:lineRule="auto" w:line="360"/>
        <w:ind w:left="0" w:right="0" w:firstLine="708"/>
        <w:jc w:val="both"/>
        <w:rPr>
          <w:rFonts w:ascii="Verdana" w:hAnsi="Verdana" w:cs="Verdana"/>
          <w:sz w:val="20"/>
          <w:szCs w:val="20"/>
          <w:shd w:fill="auto" w:val="clear"/>
          <w:lang w:val="es-ES_tradnl" w:eastAsia="es-ES" w:bidi="ar-SA"/>
        </w:rPr>
      </w:pPr>
      <w:r>
        <w:rPr>
          <w:rFonts w:cs="Verdana" w:ascii="Verdana" w:hAnsi="Verdana"/>
          <w:sz w:val="20"/>
          <w:szCs w:val="20"/>
          <w:shd w:fill="auto" w:val="clear"/>
          <w:lang w:val="es-ES_tradnl" w:eastAsia="es-ES" w:bidi="ar-SA"/>
        </w:rPr>
        <w:t>El procedimiento para la concesión de estas subvenciones será en régimen de concurrencia competitiva, según el procedimiento simplificado contenido en el articulo 14.3 de la Ley 5/2015, de 25 de marzo, de Subvenciones de Aragon.</w:t>
      </w:r>
    </w:p>
    <w:p>
      <w:pPr>
        <w:pStyle w:val="Normal"/>
        <w:widowControl w:val="false"/>
        <w:spacing w:lineRule="auto" w:line="360"/>
        <w:ind w:left="0" w:right="0" w:firstLine="709"/>
        <w:jc w:val="both"/>
        <w:rPr>
          <w:rFonts w:ascii="Calibri" w:hAnsi="Calibri" w:cs="Calibri"/>
          <w:bCs/>
          <w:i/>
          <w:i/>
          <w:color w:val="808080"/>
          <w:sz w:val="22"/>
          <w:szCs w:val="22"/>
          <w:lang w:val="es-ES_tradnl" w:eastAsia="es-ES" w:bidi="ar-SA"/>
        </w:rPr>
      </w:pPr>
      <w:r>
        <w:rPr>
          <w:rFonts w:cs="Calibri" w:ascii="Calibri" w:hAnsi="Calibri"/>
          <w:bCs/>
          <w:i/>
          <w:color w:val="808080"/>
          <w:sz w:val="22"/>
          <w:szCs w:val="22"/>
          <w:lang w:val="es-ES_tradnl" w:eastAsia="es-ES" w:bidi="ar-SA"/>
        </w:rPr>
      </w:r>
    </w:p>
    <w:p>
      <w:pPr>
        <w:pStyle w:val="Normal"/>
        <w:widowControl w:val="false"/>
        <w:spacing w:lineRule="auto" w:line="360"/>
        <w:ind w:left="0" w:right="0" w:firstLine="708"/>
        <w:jc w:val="both"/>
        <w:rPr/>
      </w:pPr>
      <w:r>
        <w:rPr>
          <w:rFonts w:cs="Verdana" w:ascii="Verdana" w:hAnsi="Verdana"/>
          <w:b/>
          <w:bCs/>
          <w:sz w:val="20"/>
          <w:szCs w:val="20"/>
          <w:lang w:val="es-ES_tradnl" w:eastAsia="es-ES" w:bidi="ar-SA"/>
        </w:rPr>
        <w:t xml:space="preserve">2. </w:t>
      </w:r>
      <w:r>
        <w:rPr>
          <w:rFonts w:cs="Verdana" w:ascii="Verdana" w:hAnsi="Verdana"/>
          <w:b/>
          <w:bCs/>
          <w:sz w:val="20"/>
          <w:szCs w:val="20"/>
          <w:u w:val="single"/>
          <w:lang w:val="es-ES_tradnl" w:eastAsia="es-ES" w:bidi="ar-SA"/>
        </w:rPr>
        <w:t>Créditos Presupuestarios</w:t>
      </w:r>
    </w:p>
    <w:p>
      <w:pPr>
        <w:pStyle w:val="Normal"/>
        <w:widowControl w:val="false"/>
        <w:spacing w:lineRule="auto" w:line="360"/>
        <w:ind w:left="0" w:right="0" w:firstLine="708"/>
        <w:jc w:val="both"/>
        <w:rPr>
          <w:rFonts w:ascii="Verdana" w:hAnsi="Verdana" w:cs="Verdana"/>
          <w:b/>
          <w:b/>
          <w:bCs/>
          <w:sz w:val="20"/>
          <w:szCs w:val="20"/>
          <w:u w:val="single"/>
          <w:lang w:val="es-ES_tradnl" w:eastAsia="es-ES" w:bidi="ar-SA"/>
        </w:rPr>
      </w:pPr>
      <w:r>
        <w:rPr>
          <w:rFonts w:cs="Verdana" w:ascii="Verdana" w:hAnsi="Verdana"/>
          <w:b/>
          <w:bCs/>
          <w:sz w:val="20"/>
          <w:szCs w:val="20"/>
          <w:u w:val="single"/>
          <w:lang w:val="es-ES_tradnl" w:eastAsia="es-ES" w:bidi="ar-SA"/>
        </w:rPr>
      </w:r>
    </w:p>
    <w:p>
      <w:pPr>
        <w:pStyle w:val="Normal"/>
        <w:widowControl w:val="false"/>
        <w:spacing w:lineRule="auto" w:line="360"/>
        <w:ind w:left="0" w:right="0" w:firstLine="708"/>
        <w:jc w:val="both"/>
        <w:rPr/>
      </w:pPr>
      <w:r>
        <w:rPr>
          <w:rFonts w:cs="Verdana" w:ascii="Verdana" w:hAnsi="Verdana"/>
          <w:i w:val="false"/>
          <w:iCs w:val="false"/>
          <w:sz w:val="20"/>
          <w:szCs w:val="20"/>
          <w:lang w:val="es-ES_tradnl" w:eastAsia="es-ES" w:bidi="ar-SA"/>
        </w:rPr>
        <w:t>El importe total destinado en el Presupuesto municipal para 2023 a la</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convocatoria de ayudas</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 xml:space="preserve">de </w:t>
      </w:r>
      <w:r>
        <w:rPr>
          <w:rFonts w:eastAsia="Times New Roman" w:cs="Verdana" w:ascii="Verdana" w:hAnsi="Verdana"/>
          <w:i w:val="false"/>
          <w:iCs w:val="false"/>
          <w:color w:val="auto"/>
          <w:sz w:val="20"/>
          <w:szCs w:val="20"/>
          <w:lang w:val="es-ES_tradnl" w:eastAsia="es-ES" w:bidi="ar-SA"/>
        </w:rPr>
        <w:t>trasporte a usuarios para fines medicos,</w:t>
      </w:r>
      <w:r>
        <w:rPr>
          <w:rFonts w:cs="Verdana" w:ascii="Verdana" w:hAnsi="Verdana"/>
          <w:i w:val="false"/>
          <w:iCs w:val="false"/>
          <w:sz w:val="20"/>
          <w:szCs w:val="20"/>
          <w:lang w:val="es-ES_tradnl" w:eastAsia="es-ES" w:bidi="ar-SA"/>
        </w:rPr>
        <w:t xml:space="preserve"> destinado a personas</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 xml:space="preserve">residentes en el municipio de </w:t>
      </w:r>
      <w:r>
        <w:rPr>
          <w:rFonts w:eastAsia="Arial MT" w:cs="Verdana" w:ascii="Verdana" w:hAnsi="Verdana"/>
          <w:i w:val="false"/>
          <w:iCs w:val="false"/>
          <w:sz w:val="20"/>
          <w:szCs w:val="20"/>
          <w:lang w:val="es-ES" w:eastAsia="en-US" w:bidi="ar-SA"/>
        </w:rPr>
        <w:t>Castelnou</w:t>
      </w:r>
      <w:r>
        <w:rPr>
          <w:rFonts w:cs="Verdana" w:ascii="Verdana" w:hAnsi="Verdana"/>
          <w:i w:val="false"/>
          <w:iCs w:val="false"/>
          <w:sz w:val="20"/>
          <w:szCs w:val="20"/>
          <w:lang w:val="es-ES_tradnl" w:eastAsia="es-ES" w:bidi="ar-SA"/>
        </w:rPr>
        <w:t>, consignada a tal efecto,</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asciende</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 xml:space="preserve">a </w:t>
      </w:r>
      <w:r>
        <w:rPr>
          <w:rFonts w:eastAsia="Arial MT" w:cs="Verdana" w:ascii="Verdana" w:hAnsi="Verdana"/>
          <w:i w:val="false"/>
          <w:iCs w:val="false"/>
          <w:color w:val="auto"/>
          <w:kern w:val="0"/>
          <w:sz w:val="20"/>
          <w:szCs w:val="20"/>
          <w:lang w:val="es-ES" w:eastAsia="en-US" w:bidi="ar-SA"/>
        </w:rPr>
        <w:t>5.000,00</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euros</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con</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cargo</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a la aplicación</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presupuestaria</w:t>
      </w:r>
      <w:r>
        <w:rPr>
          <w:rFonts w:cs="Verdana" w:ascii="Verdana" w:hAnsi="Verdana"/>
          <w:i w:val="false"/>
          <w:iCs w:val="false"/>
          <w:spacing w:val="1"/>
          <w:sz w:val="20"/>
          <w:szCs w:val="20"/>
          <w:lang w:val="es-ES_tradnl" w:eastAsia="es-ES" w:bidi="ar-SA"/>
        </w:rPr>
        <w:t xml:space="preserve"> </w:t>
      </w:r>
      <w:r>
        <w:rPr>
          <w:rFonts w:eastAsia="Arial MT" w:cs="Verdana" w:ascii="Verdana" w:hAnsi="Verdana"/>
          <w:i w:val="false"/>
          <w:iCs w:val="false"/>
          <w:sz w:val="20"/>
          <w:szCs w:val="20"/>
          <w:lang w:val="es-ES" w:eastAsia="en-US" w:bidi="ar-SA"/>
        </w:rPr>
        <w:t>3120.48007</w:t>
      </w:r>
      <w:r>
        <w:rPr>
          <w:rFonts w:cs="Verdana" w:ascii="Verdana" w:hAnsi="Verdana"/>
          <w:i w:val="false"/>
          <w:iCs w:val="false"/>
          <w:spacing w:val="1"/>
          <w:sz w:val="20"/>
          <w:szCs w:val="20"/>
          <w:lang w:val="es-ES_tradnl" w:eastAsia="es-ES" w:bidi="ar-SA"/>
        </w:rPr>
        <w:t xml:space="preserve"> </w:t>
      </w:r>
      <w:r>
        <w:rPr>
          <w:rFonts w:cs="Verdana" w:ascii="Verdana" w:hAnsi="Verdana"/>
          <w:i w:val="false"/>
          <w:iCs w:val="false"/>
          <w:sz w:val="20"/>
          <w:szCs w:val="20"/>
          <w:lang w:val="es-ES_tradnl" w:eastAsia="es-ES" w:bidi="ar-SA"/>
        </w:rPr>
        <w:t>“Subvenciones transporte asistencia sanitaria”</w:t>
      </w:r>
    </w:p>
    <w:p>
      <w:pPr>
        <w:pStyle w:val="Normal"/>
        <w:widowControl w:val="false"/>
        <w:spacing w:lineRule="auto" w:line="360"/>
        <w:ind w:left="0" w:right="0" w:firstLine="708"/>
        <w:jc w:val="both"/>
        <w:rPr>
          <w:rFonts w:ascii="Verdana" w:hAnsi="Verdana" w:cs="Verdana"/>
          <w:i/>
          <w:i/>
          <w:iCs/>
          <w:sz w:val="20"/>
          <w:szCs w:val="20"/>
          <w:lang w:val="es-ES_tradnl" w:eastAsia="es-ES" w:bidi="ar-SA"/>
        </w:rPr>
      </w:pPr>
      <w:r>
        <w:rPr>
          <w:rFonts w:cs="Verdana" w:ascii="Verdana" w:hAnsi="Verdana"/>
          <w:i/>
          <w:iCs/>
          <w:sz w:val="20"/>
          <w:szCs w:val="20"/>
          <w:lang w:val="es-ES_tradnl" w:eastAsia="es-ES" w:bidi="ar-SA"/>
        </w:rPr>
      </w:r>
    </w:p>
    <w:p>
      <w:pPr>
        <w:pStyle w:val="Normal"/>
        <w:widowControl w:val="false"/>
        <w:spacing w:lineRule="auto" w:line="360"/>
        <w:ind w:left="0" w:right="0" w:firstLine="709"/>
        <w:jc w:val="both"/>
        <w:rPr>
          <w:rFonts w:ascii="Verdana" w:hAnsi="Verdana" w:cs="Verdana"/>
          <w:sz w:val="20"/>
          <w:szCs w:val="20"/>
          <w:lang w:val="es-ES_tradnl" w:eastAsia="es-ES" w:bidi="ar-SA"/>
        </w:rPr>
      </w:pPr>
      <w:r>
        <w:rPr>
          <w:rFonts w:cs="Verdana" w:ascii="Verdana" w:hAnsi="Verdana"/>
          <w:sz w:val="20"/>
          <w:szCs w:val="20"/>
          <w:lang w:val="es-ES_tradnl" w:eastAsia="es-ES" w:bidi="ar-SA"/>
        </w:rPr>
        <w:t>Excepcionalmente, la convocatoria podrá fijar, además de la cuantía total máxima dentro de los créditos disponibles, una cuantía adicional cuya aplicación a la concesión de subvenciones no requerirá de una nueva convocatoria.</w:t>
      </w:r>
    </w:p>
    <w:p>
      <w:pPr>
        <w:pStyle w:val="Normal"/>
        <w:widowControl w:val="false"/>
        <w:spacing w:lineRule="auto" w:line="360"/>
        <w:ind w:left="0" w:right="0" w:firstLine="709"/>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9"/>
        <w:jc w:val="both"/>
        <w:rPr>
          <w:rFonts w:ascii="Verdana" w:hAnsi="Verdana" w:cs="Verdana"/>
          <w:sz w:val="20"/>
          <w:szCs w:val="20"/>
          <w:lang w:val="es-ES_tradnl" w:eastAsia="es-ES" w:bidi="ar-SA"/>
        </w:rPr>
      </w:pPr>
      <w:r>
        <w:rPr>
          <w:rFonts w:cs="Verdana" w:ascii="Verdana" w:hAnsi="Verdana"/>
          <w:sz w:val="20"/>
          <w:szCs w:val="20"/>
          <w:lang w:val="es-ES_tradnl" w:eastAsia="es-ES" w:bidi="ar-SA"/>
        </w:rPr>
        <w:t>La fijación y utilización de esta cuantía adicional estará sometida a las reglas del artículo 58 del Reglamento de la Ley 38/2003, de 17 de noviembre, General de Subvenciones, aprobado por Real Decreto 887/2006, de 21 de julio.</w:t>
      </w:r>
    </w:p>
    <w:p>
      <w:pPr>
        <w:pStyle w:val="Normal"/>
        <w:widowControl w:val="false"/>
        <w:spacing w:lineRule="auto" w:line="360"/>
        <w:ind w:left="0" w:right="0" w:firstLine="709"/>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b/>
          <w:bCs/>
          <w:sz w:val="20"/>
          <w:szCs w:val="20"/>
          <w:lang w:val="es-ES" w:bidi="ar-SA"/>
        </w:rPr>
        <w:t xml:space="preserve">3. </w:t>
      </w:r>
      <w:r>
        <w:rPr>
          <w:rFonts w:cs="Verdana" w:ascii="Verdana" w:hAnsi="Verdana"/>
          <w:b/>
          <w:bCs/>
          <w:sz w:val="20"/>
          <w:szCs w:val="20"/>
          <w:u w:val="single"/>
          <w:lang w:val="es-ES" w:bidi="ar-SA"/>
        </w:rPr>
        <w:t>Objeto, Condiciones y Finalidad de la Concesión de la Subvención</w:t>
      </w:r>
    </w:p>
    <w:p>
      <w:pPr>
        <w:pStyle w:val="Normal"/>
        <w:widowControl w:val="false"/>
        <w:spacing w:lineRule="auto" w:line="360"/>
        <w:ind w:left="0" w:right="0" w:firstLine="708"/>
        <w:jc w:val="both"/>
        <w:rPr>
          <w:rFonts w:ascii="Verdana" w:hAnsi="Verdana" w:cs="Verdana"/>
          <w:b/>
          <w:b/>
          <w:bCs/>
          <w:sz w:val="20"/>
          <w:szCs w:val="20"/>
          <w:u w:val="single"/>
          <w:lang w:val="es-ES_tradnl" w:eastAsia="es-ES" w:bidi="ar-SA"/>
        </w:rPr>
      </w:pPr>
      <w:r>
        <w:rPr>
          <w:rFonts w:cs="Verdana" w:ascii="Verdana" w:hAnsi="Verdana"/>
          <w:b/>
          <w:bCs/>
          <w:sz w:val="20"/>
          <w:szCs w:val="20"/>
          <w:u w:val="single"/>
          <w:lang w:val="es-ES_tradnl" w:eastAsia="es-ES" w:bidi="ar-SA"/>
        </w:rPr>
      </w:r>
    </w:p>
    <w:p>
      <w:pPr>
        <w:pStyle w:val="Normal"/>
        <w:widowControl w:val="false"/>
        <w:spacing w:lineRule="auto" w:line="360" w:before="0" w:after="120"/>
        <w:ind w:left="0" w:right="0" w:firstLine="709"/>
        <w:jc w:val="both"/>
        <w:rPr/>
      </w:pPr>
      <w:r>
        <w:rPr>
          <w:rFonts w:cs="Verdana" w:ascii="Verdana" w:hAnsi="Verdana"/>
          <w:sz w:val="20"/>
          <w:szCs w:val="20"/>
          <w:lang w:val="es-ES_tradnl" w:eastAsia="es-ES" w:bidi="ar-SA"/>
        </w:rPr>
        <w:t>La subvenció</w:t>
      </w:r>
      <w:r>
        <w:rPr>
          <w:rFonts w:cs="Verdana" w:ascii="Verdana" w:hAnsi="Verdana"/>
          <w:i w:val="false"/>
          <w:iCs w:val="false"/>
          <w:color w:val="000000"/>
          <w:sz w:val="20"/>
          <w:szCs w:val="20"/>
          <w:lang w:val="es-ES_tradnl" w:eastAsia="es-ES" w:bidi="ar-SA"/>
        </w:rPr>
        <w:t>n tiene por finalidad frenar la despoblación mediante la habilitación de</w:t>
      </w:r>
      <w:r>
        <w:rPr>
          <w:rFonts w:cs="Verdana" w:ascii="Verdana" w:hAnsi="Verdana"/>
          <w:i w:val="false"/>
          <w:iCs w:val="false"/>
          <w:color w:val="000000"/>
          <w:spacing w:val="1"/>
          <w:sz w:val="20"/>
          <w:szCs w:val="20"/>
          <w:lang w:val="es-ES_tradnl" w:eastAsia="es-ES" w:bidi="ar-SA"/>
        </w:rPr>
        <w:t xml:space="preserve"> </w:t>
      </w:r>
      <w:r>
        <w:rPr>
          <w:rFonts w:cs="Verdana" w:ascii="Verdana" w:hAnsi="Verdana"/>
          <w:i w:val="false"/>
          <w:iCs w:val="false"/>
          <w:color w:val="000000"/>
          <w:sz w:val="20"/>
          <w:szCs w:val="20"/>
          <w:lang w:val="es-ES_tradnl" w:eastAsia="es-ES" w:bidi="ar-SA"/>
        </w:rPr>
        <w:t>ayudas, servicios e infraestructuras que igualen las oportunidades del ámbito</w:t>
      </w:r>
      <w:r>
        <w:rPr>
          <w:rFonts w:cs="Verdana" w:ascii="Verdana" w:hAnsi="Verdana"/>
          <w:i w:val="false"/>
          <w:iCs w:val="false"/>
          <w:color w:val="000000"/>
          <w:spacing w:val="1"/>
          <w:sz w:val="20"/>
          <w:szCs w:val="20"/>
          <w:lang w:val="es-ES_tradnl" w:eastAsia="es-ES" w:bidi="ar-SA"/>
        </w:rPr>
        <w:t xml:space="preserve"> </w:t>
      </w:r>
      <w:r>
        <w:rPr>
          <w:rFonts w:cs="Verdana" w:ascii="Verdana" w:hAnsi="Verdana"/>
          <w:i w:val="false"/>
          <w:iCs w:val="false"/>
          <w:color w:val="000000"/>
          <w:sz w:val="20"/>
          <w:szCs w:val="20"/>
          <w:lang w:val="es-ES_tradnl" w:eastAsia="es-ES" w:bidi="ar-SA"/>
        </w:rPr>
        <w:t>rural respecto</w:t>
      </w:r>
      <w:r>
        <w:rPr>
          <w:rFonts w:cs="Verdana" w:ascii="Verdana" w:hAnsi="Verdana"/>
          <w:i w:val="false"/>
          <w:iCs w:val="false"/>
          <w:color w:val="000000"/>
          <w:spacing w:val="1"/>
          <w:sz w:val="20"/>
          <w:szCs w:val="20"/>
          <w:lang w:val="es-ES_tradnl" w:eastAsia="es-ES" w:bidi="ar-SA"/>
        </w:rPr>
        <w:t xml:space="preserve"> </w:t>
      </w:r>
      <w:r>
        <w:rPr>
          <w:rFonts w:cs="Verdana" w:ascii="Verdana" w:hAnsi="Verdana"/>
          <w:i w:val="false"/>
          <w:iCs w:val="false"/>
          <w:color w:val="000000"/>
          <w:sz w:val="20"/>
          <w:szCs w:val="20"/>
          <w:lang w:val="es-ES_tradnl" w:eastAsia="es-ES" w:bidi="ar-SA"/>
        </w:rPr>
        <w:t>a las</w:t>
      </w:r>
      <w:r>
        <w:rPr>
          <w:rFonts w:cs="Verdana" w:ascii="Verdana" w:hAnsi="Verdana"/>
          <w:i w:val="false"/>
          <w:iCs w:val="false"/>
          <w:color w:val="000000"/>
          <w:spacing w:val="1"/>
          <w:sz w:val="20"/>
          <w:szCs w:val="20"/>
          <w:lang w:val="es-ES_tradnl" w:eastAsia="es-ES" w:bidi="ar-SA"/>
        </w:rPr>
        <w:t xml:space="preserve"> </w:t>
      </w:r>
      <w:r>
        <w:rPr>
          <w:rFonts w:cs="Verdana" w:ascii="Verdana" w:hAnsi="Verdana"/>
          <w:i w:val="false"/>
          <w:iCs w:val="false"/>
          <w:color w:val="000000"/>
          <w:sz w:val="20"/>
          <w:szCs w:val="20"/>
          <w:lang w:val="es-ES_tradnl" w:eastAsia="es-ES" w:bidi="ar-SA"/>
        </w:rPr>
        <w:t>grandes</w:t>
      </w:r>
      <w:r>
        <w:rPr>
          <w:rFonts w:cs="Verdana" w:ascii="Verdana" w:hAnsi="Verdana"/>
          <w:i w:val="false"/>
          <w:iCs w:val="false"/>
          <w:color w:val="000000"/>
          <w:spacing w:val="1"/>
          <w:sz w:val="20"/>
          <w:szCs w:val="20"/>
          <w:lang w:val="es-ES_tradnl" w:eastAsia="es-ES" w:bidi="ar-SA"/>
        </w:rPr>
        <w:t xml:space="preserve"> </w:t>
      </w:r>
      <w:r>
        <w:rPr>
          <w:rFonts w:cs="Verdana" w:ascii="Verdana" w:hAnsi="Verdana"/>
          <w:i w:val="false"/>
          <w:iCs w:val="false"/>
          <w:color w:val="000000"/>
          <w:sz w:val="20"/>
          <w:szCs w:val="20"/>
          <w:lang w:val="es-ES_tradnl" w:eastAsia="es-ES" w:bidi="ar-SA"/>
        </w:rPr>
        <w:t>ciudades,</w:t>
      </w:r>
      <w:r>
        <w:rPr>
          <w:rFonts w:cs="Verdana" w:ascii="Verdana" w:hAnsi="Verdana"/>
          <w:i w:val="false"/>
          <w:iCs w:val="false"/>
          <w:color w:val="000000"/>
          <w:spacing w:val="1"/>
          <w:sz w:val="20"/>
          <w:szCs w:val="20"/>
          <w:lang w:val="es-ES_tradnl" w:eastAsia="es-ES" w:bidi="ar-SA"/>
        </w:rPr>
        <w:t xml:space="preserve"> en base a la potestad municipal para </w:t>
      </w:r>
      <w:r>
        <w:rPr>
          <w:rFonts w:cs="Verdana" w:ascii="Verdana" w:hAnsi="Verdana"/>
          <w:b w:val="false"/>
          <w:i w:val="false"/>
          <w:iCs w:val="false"/>
          <w:caps w:val="false"/>
          <w:smallCaps w:val="false"/>
          <w:color w:val="000000"/>
          <w:spacing w:val="0"/>
          <w:sz w:val="20"/>
          <w:szCs w:val="20"/>
          <w:lang w:val="es-ES_tradnl" w:eastAsia="es-ES" w:bidi="ar-SA"/>
        </w:rPr>
        <w:t>acordar y aplicar medidas dirigidas a mantener o recuperar su población, cuando su disminución progresiva ponga en peligro la continuidad de servicios públicos básicos o haga temer por su pervivencia futura como comunidad</w:t>
      </w:r>
    </w:p>
    <w:p>
      <w:pPr>
        <w:pStyle w:val="Normal"/>
        <w:widowControl w:val="false"/>
        <w:spacing w:lineRule="auto" w:line="360"/>
        <w:ind w:left="0" w:right="0" w:firstLine="708"/>
        <w:jc w:val="both"/>
        <w:rPr>
          <w:rFonts w:ascii="Verdana" w:hAnsi="Verdana" w:cs="Verdana"/>
          <w:i/>
          <w:i/>
          <w:iCs/>
          <w:color w:val="808080"/>
          <w:sz w:val="20"/>
          <w:szCs w:val="20"/>
          <w:lang w:val="es-ES_tradnl" w:eastAsia="es-ES" w:bidi="ar-SA"/>
        </w:rPr>
      </w:pPr>
      <w:r>
        <w:rPr>
          <w:rFonts w:cs="Verdana" w:ascii="Verdana" w:hAnsi="Verdana"/>
          <w:i/>
          <w:iCs/>
          <w:color w:val="808080"/>
          <w:sz w:val="20"/>
          <w:szCs w:val="20"/>
          <w:lang w:val="es-ES_tradnl" w:eastAsia="es-ES" w:bidi="ar-SA"/>
        </w:rPr>
      </w:r>
    </w:p>
    <w:p>
      <w:pPr>
        <w:pStyle w:val="Normal"/>
        <w:widowControl w:val="false"/>
        <w:spacing w:lineRule="auto" w:line="360"/>
        <w:ind w:left="0" w:right="0" w:firstLine="708"/>
        <w:jc w:val="both"/>
        <w:rPr/>
      </w:pPr>
      <w:r>
        <w:rPr>
          <w:rFonts w:cs="Verdana" w:ascii="Verdana" w:hAnsi="Verdana"/>
          <w:sz w:val="20"/>
          <w:szCs w:val="20"/>
          <w:lang w:val="es-ES_tradnl" w:eastAsia="es-ES" w:bidi="ar-SA"/>
        </w:rPr>
        <w:t xml:space="preserve">Podrán ser objeto de subvención las siguientes actividades realizadas </w:t>
      </w:r>
      <w:r>
        <w:rPr>
          <w:rFonts w:eastAsia="Times New Roman" w:cs="Verdana" w:ascii="Verdana" w:hAnsi="Verdana"/>
          <w:color w:val="auto"/>
          <w:sz w:val="20"/>
          <w:szCs w:val="20"/>
          <w:lang w:val="es-ES_tradnl" w:eastAsia="es-ES" w:bidi="ar-SA"/>
        </w:rPr>
        <w:t>durante el año 2023</w:t>
      </w:r>
      <w:r>
        <w:rPr>
          <w:rFonts w:cs="Verdana" w:ascii="Verdana" w:hAnsi="Verdana"/>
          <w:sz w:val="20"/>
          <w:szCs w:val="20"/>
          <w:lang w:val="es-ES_tradnl" w:eastAsia="es-ES" w:bidi="ar-SA"/>
        </w:rPr>
        <w:t>:</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0"/>
        <w:spacing w:lineRule="auto" w:line="360"/>
        <w:jc w:val="both"/>
        <w:rPr/>
      </w:pPr>
      <w:r>
        <w:rPr>
          <w:rFonts w:cs="Verdana" w:ascii="Verdana" w:hAnsi="Verdana"/>
          <w:sz w:val="20"/>
          <w:szCs w:val="20"/>
          <w:lang w:val="es-ES_tradnl" w:eastAsia="es-ES" w:bidi="ar-SA"/>
        </w:rPr>
        <w:tab/>
        <w:t>— Uso de taxi para la a</w:t>
      </w:r>
      <w:r>
        <w:rPr>
          <w:rFonts w:cs="Verdana" w:ascii="Verdana" w:hAnsi="Verdana"/>
          <w:sz w:val="20"/>
          <w:szCs w:val="20"/>
        </w:rPr>
        <w:t>sistencia concertada a Consultas Externas de Centros Hospitalarios y Centros Médicos de titularidad pública o privada quedando exceptuado el transporte hasta servicios médicos asumido por el Departamento de Sanidad, como urgencias médicas o tratamientos programados.</w:t>
      </w:r>
    </w:p>
    <w:p>
      <w:pPr>
        <w:pStyle w:val="Normal0"/>
        <w:spacing w:lineRule="auto" w:line="360"/>
        <w:jc w:val="both"/>
        <w:rPr>
          <w:rFonts w:ascii="Verdana" w:hAnsi="Verdana" w:cs="Verdana"/>
          <w:sz w:val="20"/>
          <w:szCs w:val="20"/>
        </w:rPr>
      </w:pPr>
      <w:r>
        <w:rPr>
          <w:rFonts w:cs="Verdana" w:ascii="Verdana" w:hAnsi="Verdana"/>
          <w:sz w:val="20"/>
          <w:szCs w:val="20"/>
        </w:rPr>
      </w:r>
    </w:p>
    <w:p>
      <w:pPr>
        <w:pStyle w:val="Normal0"/>
        <w:spacing w:lineRule="auto" w:line="360"/>
        <w:jc w:val="both"/>
        <w:rPr>
          <w:rFonts w:ascii="Verdana" w:hAnsi="Verdana" w:cs="Verdana"/>
          <w:sz w:val="20"/>
          <w:szCs w:val="20"/>
          <w:lang w:val="es-ES_tradnl" w:eastAsia="es-ES" w:bidi="ar-SA"/>
        </w:rPr>
      </w:pPr>
      <w:r>
        <w:rPr>
          <w:rFonts w:cs="Verdana" w:ascii="Verdana" w:hAnsi="Verdana"/>
          <w:sz w:val="20"/>
          <w:szCs w:val="20"/>
          <w:lang w:val="es-ES_tradnl" w:eastAsia="es-ES" w:bidi="ar-SA"/>
        </w:rPr>
        <w:tab/>
        <w:t>— Uso de taxi para la asistencia a servicios de optometría, revisión auditiva y odontología, ubicados en el municipio más próximo al de origen, en caso que el solicitante utilice los servicios ubicados en otro municipio distinto, el importe maximo a percibir sera el que corresponderia de haber asisitido al servicio ubicado en el municipio mas proximo.</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t>No serán objeto de subvención:</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sz w:val="20"/>
          <w:szCs w:val="20"/>
          <w:lang w:val="es-ES_tradnl" w:eastAsia="es-ES" w:bidi="ar-SA"/>
        </w:rPr>
        <w:t>—</w:t>
      </w:r>
      <w:r>
        <w:rPr>
          <w:rFonts w:eastAsia="Verdana" w:cs="Verdana" w:ascii="Verdana" w:hAnsi="Verdana"/>
          <w:sz w:val="20"/>
          <w:szCs w:val="20"/>
          <w:lang w:val="es-ES_tradnl" w:eastAsia="es-ES" w:bidi="ar-SA"/>
        </w:rPr>
        <w:t xml:space="preserve"> </w:t>
      </w:r>
      <w:r>
        <w:rPr>
          <w:rFonts w:eastAsia="Verdana" w:cs="Verdana" w:ascii="Verdana" w:hAnsi="Verdana"/>
          <w:sz w:val="20"/>
          <w:szCs w:val="20"/>
          <w:lang w:val="es-ES_tradnl" w:eastAsia="es-ES" w:bidi="ar-SA"/>
        </w:rPr>
        <w:t xml:space="preserve">El uso del taxi para cualquier otra actividad, </w:t>
      </w:r>
      <w:r>
        <w:rPr>
          <w:rFonts w:eastAsia="Verdana" w:cs="Verdana" w:ascii="Verdana" w:hAnsi="Verdana"/>
          <w:sz w:val="20"/>
          <w:szCs w:val="20"/>
          <w:shd w:fill="auto" w:val="clear"/>
          <w:lang w:val="es-ES_tradnl" w:eastAsia="es-ES" w:bidi="ar-SA"/>
        </w:rPr>
        <w:t>debiendo utilizarse este el tiempo minimo indispensable para la finalidad objeto de la subvencion, las horas de espera deberan estar debidamente justificadas.</w:t>
      </w:r>
    </w:p>
    <w:p>
      <w:pPr>
        <w:pStyle w:val="Normal"/>
        <w:widowControl w:val="false"/>
        <w:spacing w:lineRule="auto" w:line="360"/>
        <w:ind w:left="0" w:right="0" w:firstLine="708"/>
        <w:jc w:val="both"/>
        <w:rPr/>
      </w:pPr>
      <w:r>
        <w:rPr/>
      </w:r>
    </w:p>
    <w:p>
      <w:pPr>
        <w:pStyle w:val="Normal"/>
        <w:widowControl w:val="false"/>
        <w:spacing w:lineRule="auto" w:line="360"/>
        <w:ind w:left="0" w:right="0" w:firstLine="708"/>
        <w:jc w:val="both"/>
        <w:rPr/>
      </w:pPr>
      <w:r>
        <w:rPr>
          <w:rFonts w:eastAsia="Verdana" w:cs="Verdana" w:ascii="Verdana" w:hAnsi="Verdana"/>
          <w:color w:val="000000"/>
          <w:sz w:val="20"/>
          <w:szCs w:val="20"/>
          <w:shd w:fill="auto" w:val="clear"/>
          <w:lang w:val="es-ES_tradnl" w:eastAsia="es-ES" w:bidi="ar-SA"/>
        </w:rPr>
        <w:t>—</w:t>
      </w:r>
      <w:r>
        <w:rPr>
          <w:rFonts w:eastAsia="Verdana" w:cs="Verdana" w:ascii="Verdana" w:hAnsi="Verdana"/>
          <w:color w:val="000000"/>
          <w:sz w:val="20"/>
          <w:szCs w:val="20"/>
          <w:shd w:fill="auto" w:val="clear"/>
          <w:lang w:val="es-ES_tradnl" w:eastAsia="es-ES" w:bidi="ar-SA"/>
        </w:rPr>
        <w:t xml:space="preserve"> </w:t>
      </w:r>
      <w:r>
        <w:rPr>
          <w:rFonts w:eastAsia="Verdana" w:cs="Verdana" w:ascii="Verdana" w:hAnsi="Verdana"/>
          <w:color w:val="000000"/>
          <w:sz w:val="20"/>
          <w:szCs w:val="20"/>
          <w:shd w:fill="auto" w:val="clear"/>
          <w:lang w:val="es-ES_tradnl" w:eastAsia="es-ES" w:bidi="ar-SA"/>
        </w:rPr>
        <w:t>El uso de taxis cuyo punto de origen sea otro municipio distinto a Castelnou, en este caso se subvencionara el importe que corresponderia si el punto de origen hubiese sido Castelnou.</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Cuerpodetexto"/>
        <w:spacing w:lineRule="auto" w:line="360"/>
        <w:jc w:val="both"/>
        <w:rPr>
          <w:rFonts w:ascii="Verdana" w:hAnsi="Verdana" w:cs="Verdana"/>
          <w:sz w:val="20"/>
          <w:szCs w:val="20"/>
          <w:lang w:val="es-ES_tradnl" w:eastAsia="es-ES" w:bidi="ar-SA"/>
        </w:rPr>
      </w:pPr>
      <w:r>
        <w:rPr>
          <w:rFonts w:cs="Verdana" w:ascii="Verdana" w:hAnsi="Verdana"/>
          <w:sz w:val="20"/>
          <w:szCs w:val="20"/>
          <w:lang w:val="es-ES_tradnl" w:eastAsia="es-ES" w:bidi="ar-SA"/>
        </w:rPr>
        <w:tab/>
        <w:t>No se establece un importe máximo por beneficiario o unidad familiar, en tanto que exista crédito en la partida habilitada para tal fin.</w:t>
      </w:r>
    </w:p>
    <w:p>
      <w:pPr>
        <w:pStyle w:val="Cuerpodetexto"/>
        <w:spacing w:lineRule="auto" w:line="360"/>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b/>
          <w:bCs/>
          <w:sz w:val="20"/>
          <w:szCs w:val="20"/>
          <w:lang w:val="es-ES" w:bidi="ar-SA"/>
        </w:rPr>
        <w:t xml:space="preserve">4. </w:t>
      </w:r>
      <w:r>
        <w:rPr>
          <w:rFonts w:cs="Verdana" w:ascii="Verdana" w:hAnsi="Verdana"/>
          <w:b/>
          <w:bCs/>
          <w:sz w:val="20"/>
          <w:szCs w:val="20"/>
          <w:u w:val="single"/>
          <w:lang w:val="es-ES" w:bidi="ar-SA"/>
        </w:rPr>
        <w:t>Requisitos para Solicitar la Subvención y Forma de Acreditarlos</w:t>
      </w:r>
    </w:p>
    <w:p>
      <w:pPr>
        <w:pStyle w:val="Normal"/>
        <w:spacing w:lineRule="auto" w:line="360"/>
        <w:ind w:left="24" w:right="17" w:firstLine="696"/>
        <w:jc w:val="both"/>
        <w:rPr>
          <w:rFonts w:ascii="Verdana" w:hAnsi="Verdana" w:cs="Verdana"/>
          <w:b/>
          <w:b/>
          <w:bCs/>
          <w:sz w:val="20"/>
          <w:szCs w:val="20"/>
          <w:u w:val="single"/>
          <w:lang w:val="es-ES_tradnl" w:eastAsia="es-ES" w:bidi="ar-SA"/>
        </w:rPr>
      </w:pPr>
      <w:r>
        <w:rPr>
          <w:rFonts w:cs="Verdana" w:ascii="Verdana" w:hAnsi="Verdana"/>
          <w:b/>
          <w:bCs/>
          <w:sz w:val="20"/>
          <w:szCs w:val="20"/>
          <w:u w:val="single"/>
          <w:lang w:val="es-ES_tradnl" w:eastAsia="es-ES" w:bidi="ar-SA"/>
        </w:rPr>
      </w:r>
    </w:p>
    <w:p>
      <w:pPr>
        <w:pStyle w:val="Normal"/>
        <w:widowControl w:val="false"/>
        <w:spacing w:lineRule="auto" w:line="360"/>
        <w:ind w:left="0" w:right="0" w:firstLine="708"/>
        <w:jc w:val="both"/>
        <w:rPr/>
      </w:pPr>
      <w:r>
        <w:rPr>
          <w:rFonts w:eastAsia="Times New Roman" w:cs="Verdana" w:ascii="Verdana" w:hAnsi="Verdana"/>
          <w:color w:val="auto"/>
          <w:sz w:val="20"/>
          <w:szCs w:val="20"/>
          <w:lang w:val="es-ES_tradnl" w:eastAsia="es-ES" w:bidi="ar-SA"/>
        </w:rPr>
        <w:t>P</w:t>
      </w:r>
      <w:r>
        <w:rPr>
          <w:rFonts w:cs="Verdana" w:ascii="Verdana" w:hAnsi="Verdana"/>
          <w:sz w:val="20"/>
          <w:szCs w:val="20"/>
          <w:lang w:val="es-ES_tradnl" w:eastAsia="es-ES" w:bidi="ar-SA"/>
        </w:rPr>
        <w:t>ara solicitar la subvención debera c</w:t>
      </w:r>
      <w:r>
        <w:rPr>
          <w:rFonts w:eastAsia="Times New Roman" w:cs="Verdana" w:ascii="Verdana" w:hAnsi="Verdana"/>
          <w:color w:val="auto"/>
          <w:sz w:val="20"/>
          <w:szCs w:val="20"/>
          <w:lang w:val="es-ES_tradnl" w:eastAsia="es-ES" w:bidi="ar-SA"/>
        </w:rPr>
        <w:t>umplir</w:t>
      </w:r>
      <w:r>
        <w:rPr>
          <w:rFonts w:cs="Verdana" w:ascii="Verdana" w:hAnsi="Verdana"/>
          <w:sz w:val="20"/>
          <w:szCs w:val="20"/>
          <w:lang w:val="es-ES_tradnl" w:eastAsia="es-ES" w:bidi="ar-SA"/>
        </w:rPr>
        <w:t xml:space="preserve"> los siguientes requisitos.</w:t>
      </w:r>
    </w:p>
    <w:p>
      <w:pPr>
        <w:pStyle w:val="Cuerpodetexto"/>
        <w:spacing w:lineRule="auto" w:line="360" w:before="11" w:after="0"/>
        <w:jc w:val="both"/>
        <w:rPr>
          <w:rFonts w:ascii="Verdana" w:hAnsi="Verdana" w:cs="Verdana"/>
          <w:i w:val="false"/>
          <w:i w:val="false"/>
          <w:iCs w:val="false"/>
          <w:sz w:val="20"/>
          <w:szCs w:val="20"/>
        </w:rPr>
      </w:pPr>
      <w:r>
        <w:rPr>
          <w:rFonts w:cs="Verdana" w:ascii="Verdana" w:hAnsi="Verdana"/>
          <w:i w:val="false"/>
          <w:iCs w:val="false"/>
          <w:sz w:val="20"/>
          <w:szCs w:val="20"/>
        </w:rPr>
      </w:r>
    </w:p>
    <w:p>
      <w:pPr>
        <w:pStyle w:val="Normal"/>
        <w:widowControl/>
        <w:numPr>
          <w:ilvl w:val="2"/>
          <w:numId w:val="2"/>
        </w:numPr>
        <w:suppressAutoHyphens w:val="true"/>
        <w:bidi w:val="0"/>
        <w:spacing w:lineRule="auto" w:line="360"/>
        <w:ind w:left="1191" w:right="0" w:hanging="283"/>
        <w:jc w:val="both"/>
        <w:rPr/>
      </w:pPr>
      <w:r>
        <w:rPr>
          <w:rFonts w:cs="Verdana" w:ascii="Verdana" w:hAnsi="Verdana"/>
          <w:sz w:val="20"/>
          <w:szCs w:val="20"/>
        </w:rPr>
        <w:t xml:space="preserve">Encontrarse empadronada en el municipio de </w:t>
      </w:r>
      <w:r>
        <w:rPr>
          <w:rFonts w:cs="Verdana" w:ascii="Verdana" w:hAnsi="Verdana"/>
          <w:sz w:val="20"/>
          <w:szCs w:val="20"/>
          <w:lang w:val="es-ES" w:eastAsia="en-US" w:bidi="ar-SA"/>
        </w:rPr>
        <w:t>Castelnou con una antigüedad de al menos 3 meses anteriores a la solicitud y encontrarse al corriente con la Hacienda Municipal.</w:t>
      </w:r>
    </w:p>
    <w:p>
      <w:pPr>
        <w:pStyle w:val="Normal"/>
        <w:numPr>
          <w:ilvl w:val="0"/>
          <w:numId w:val="0"/>
        </w:numPr>
        <w:spacing w:lineRule="auto" w:line="360"/>
        <w:ind w:left="2331" w:right="0" w:hanging="0"/>
        <w:jc w:val="both"/>
        <w:rPr>
          <w:rFonts w:ascii="Verdana" w:hAnsi="Verdana" w:cs="Verdana"/>
          <w:sz w:val="20"/>
          <w:szCs w:val="20"/>
        </w:rPr>
      </w:pPr>
      <w:r>
        <w:rPr>
          <w:rFonts w:cs="Verdana" w:ascii="Verdana" w:hAnsi="Verdana"/>
          <w:sz w:val="20"/>
          <w:szCs w:val="20"/>
        </w:rPr>
      </w:r>
    </w:p>
    <w:p>
      <w:pPr>
        <w:pStyle w:val="Normal"/>
        <w:widowControl/>
        <w:numPr>
          <w:ilvl w:val="2"/>
          <w:numId w:val="2"/>
        </w:numPr>
        <w:suppressAutoHyphens w:val="true"/>
        <w:bidi w:val="0"/>
        <w:spacing w:lineRule="auto" w:line="360"/>
        <w:ind w:left="1191" w:right="0" w:hanging="283"/>
        <w:jc w:val="both"/>
        <w:rPr/>
      </w:pPr>
      <w:r>
        <w:rPr>
          <w:rFonts w:eastAsia="Times New Roman" w:cs="Verdana" w:ascii="Verdana" w:hAnsi="Verdana"/>
          <w:color w:val="auto"/>
          <w:sz w:val="20"/>
          <w:szCs w:val="20"/>
          <w:lang w:val="es-ES" w:eastAsia="zh-CN" w:bidi="hi-IN"/>
        </w:rPr>
        <w:t>Concurrir en el solicitante a</w:t>
      </w:r>
      <w:r>
        <w:rPr>
          <w:rFonts w:cs="Verdana" w:ascii="Verdana" w:hAnsi="Verdana"/>
          <w:sz w:val="20"/>
          <w:szCs w:val="20"/>
        </w:rPr>
        <w:t>lguna de las siguientes circunstancias:</w:t>
      </w:r>
    </w:p>
    <w:p>
      <w:pPr>
        <w:pStyle w:val="Normal"/>
        <w:spacing w:lineRule="auto" w:line="360"/>
        <w:jc w:val="both"/>
        <w:rPr>
          <w:rFonts w:ascii="Verdana" w:hAnsi="Verdana" w:cs="Verdana"/>
          <w:sz w:val="20"/>
          <w:szCs w:val="20"/>
        </w:rPr>
      </w:pPr>
      <w:r>
        <w:rPr>
          <w:rFonts w:cs="Verdana" w:ascii="Verdana" w:hAnsi="Verdana"/>
          <w:sz w:val="20"/>
          <w:szCs w:val="20"/>
        </w:rPr>
      </w:r>
    </w:p>
    <w:p>
      <w:pPr>
        <w:pStyle w:val="Normal"/>
        <w:widowControl/>
        <w:numPr>
          <w:ilvl w:val="0"/>
          <w:numId w:val="3"/>
        </w:numPr>
        <w:suppressAutoHyphens w:val="true"/>
        <w:bidi w:val="0"/>
        <w:spacing w:lineRule="auto" w:line="360"/>
        <w:ind w:left="2268" w:right="0" w:hanging="737"/>
        <w:jc w:val="both"/>
        <w:rPr/>
      </w:pPr>
      <w:r>
        <w:rPr>
          <w:rFonts w:cs="Verdana" w:ascii="Verdana" w:hAnsi="Verdana"/>
          <w:sz w:val="20"/>
          <w:szCs w:val="20"/>
        </w:rPr>
        <w:t xml:space="preserve">No </w:t>
      </w:r>
      <w:r>
        <w:rPr>
          <w:rFonts w:cs="Verdana" w:ascii="Verdana" w:hAnsi="Verdana"/>
          <w:sz w:val="20"/>
          <w:szCs w:val="20"/>
          <w:lang w:val="es-ES" w:eastAsia="en-US" w:bidi="ar-SA"/>
        </w:rPr>
        <w:t>ser titular</w:t>
      </w:r>
      <w:r>
        <w:rPr>
          <w:rFonts w:cs="Verdana" w:ascii="Verdana" w:hAnsi="Verdana"/>
          <w:sz w:val="20"/>
          <w:szCs w:val="20"/>
        </w:rPr>
        <w:t xml:space="preserve"> de mas de un vehículo </w:t>
      </w:r>
      <w:r>
        <w:rPr>
          <w:rFonts w:cs="Verdana" w:ascii="Verdana" w:hAnsi="Verdana"/>
          <w:sz w:val="20"/>
          <w:szCs w:val="20"/>
          <w:shd w:fill="auto" w:val="clear"/>
        </w:rPr>
        <w:t>en funcionamiento.</w:t>
      </w:r>
    </w:p>
    <w:p>
      <w:pPr>
        <w:pStyle w:val="Normal"/>
        <w:widowControl/>
        <w:numPr>
          <w:ilvl w:val="0"/>
          <w:numId w:val="3"/>
        </w:numPr>
        <w:suppressAutoHyphens w:val="true"/>
        <w:bidi w:val="0"/>
        <w:spacing w:lineRule="auto" w:line="360"/>
        <w:ind w:left="2268" w:right="0" w:hanging="737"/>
        <w:jc w:val="both"/>
        <w:rPr>
          <w:rFonts w:ascii="Verdana" w:hAnsi="Verdana" w:cs="Verdana"/>
          <w:sz w:val="20"/>
          <w:szCs w:val="20"/>
        </w:rPr>
      </w:pPr>
      <w:r>
        <w:rPr>
          <w:rFonts w:cs="Verdana" w:ascii="Verdana" w:hAnsi="Verdana"/>
          <w:sz w:val="20"/>
          <w:szCs w:val="20"/>
        </w:rPr>
        <w:t>Adolece de incapacidad temporal, derivada de su dolencia, para la conducción de vehículos.</w:t>
      </w:r>
    </w:p>
    <w:p>
      <w:pPr>
        <w:pStyle w:val="Normal"/>
        <w:widowControl/>
        <w:numPr>
          <w:ilvl w:val="0"/>
          <w:numId w:val="3"/>
        </w:numPr>
        <w:suppressAutoHyphens w:val="true"/>
        <w:bidi w:val="0"/>
        <w:spacing w:lineRule="auto" w:line="360"/>
        <w:ind w:left="2268" w:right="0" w:hanging="737"/>
        <w:jc w:val="both"/>
        <w:rPr>
          <w:rFonts w:ascii="Verdana" w:hAnsi="Verdana" w:cs="Verdana"/>
          <w:sz w:val="20"/>
          <w:szCs w:val="20"/>
        </w:rPr>
      </w:pPr>
      <w:r>
        <w:rPr>
          <w:rFonts w:cs="Verdana" w:ascii="Verdana" w:hAnsi="Verdana"/>
          <w:sz w:val="20"/>
          <w:szCs w:val="20"/>
        </w:rPr>
        <w:t>Su licencia de conducción se encuentra limitada a su localidad o a un radio máximo del lugar de su residencia (código 62 de la licencia de conducción).</w:t>
      </w:r>
    </w:p>
    <w:p>
      <w:pPr>
        <w:pStyle w:val="Normal"/>
        <w:widowControl/>
        <w:numPr>
          <w:ilvl w:val="0"/>
          <w:numId w:val="3"/>
        </w:numPr>
        <w:suppressAutoHyphens w:val="true"/>
        <w:bidi w:val="0"/>
        <w:spacing w:lineRule="auto" w:line="360"/>
        <w:ind w:left="2268" w:right="0" w:hanging="737"/>
        <w:jc w:val="both"/>
        <w:rPr>
          <w:rFonts w:ascii="Verdana" w:hAnsi="Verdana" w:cs="Verdana"/>
          <w:sz w:val="20"/>
          <w:szCs w:val="20"/>
        </w:rPr>
      </w:pPr>
      <w:r>
        <w:rPr>
          <w:rFonts w:cs="Verdana" w:ascii="Verdana" w:hAnsi="Verdana"/>
          <w:sz w:val="20"/>
          <w:szCs w:val="20"/>
        </w:rPr>
        <w:t>No dispone de licencia en vigor para la conducción de vehículos.</w:t>
      </w:r>
    </w:p>
    <w:p>
      <w:pPr>
        <w:pStyle w:val="Normal"/>
        <w:numPr>
          <w:ilvl w:val="0"/>
          <w:numId w:val="0"/>
        </w:numPr>
        <w:spacing w:lineRule="auto" w:line="360"/>
        <w:ind w:left="2762" w:right="0" w:hanging="0"/>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sz w:val="20"/>
          <w:szCs w:val="20"/>
          <w:lang w:val="es-ES_tradnl" w:eastAsia="es-ES" w:bidi="ar-SA"/>
        </w:rPr>
        <w:t>Estos requisitos deberán ser acreditados por los solicitantes en el momento de presentacion de la solicitud, según lo contenido en el modelo de solicitud disponible en la sede electronica, a la que se puede acceder desde el siguiente enlace:</w:t>
      </w:r>
    </w:p>
    <w:p>
      <w:pPr>
        <w:pStyle w:val="Normal"/>
        <w:widowControl w:val="false"/>
        <w:spacing w:lineRule="auto" w:line="360"/>
        <w:ind w:left="0" w:right="0" w:hanging="0"/>
        <w:jc w:val="center"/>
        <w:rPr>
          <w:rFonts w:ascii="Verdana" w:hAnsi="Verdana" w:cs="Verdana"/>
          <w:sz w:val="20"/>
          <w:szCs w:val="20"/>
          <w:lang w:val="es-ES_tradnl" w:eastAsia="es-ES" w:bidi="ar-SA"/>
        </w:rPr>
      </w:pPr>
      <w:hyperlink r:id="rId2">
        <w:r>
          <w:rPr>
            <w:rStyle w:val="EnlacedeInternet"/>
            <w:rFonts w:cs="Verdana" w:ascii="Verdana" w:hAnsi="Verdana"/>
            <w:sz w:val="18"/>
            <w:szCs w:val="18"/>
            <w:lang w:val="es-ES_tradnl" w:eastAsia="es-ES" w:bidi="ar-SA"/>
          </w:rPr>
          <w:t>https://castelnou.sedelectronica.es/transparency/1469190d-daef-420d-8b3d-7816b0cd9fb7/</w:t>
        </w:r>
      </w:hyperlink>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b/>
          <w:bCs/>
          <w:sz w:val="20"/>
          <w:szCs w:val="20"/>
          <w:lang w:val="es-ES_tradnl" w:eastAsia="es-ES" w:bidi="ar-SA"/>
        </w:rPr>
        <w:t xml:space="preserve">5. </w:t>
      </w:r>
      <w:r>
        <w:rPr>
          <w:rFonts w:cs="Verdana" w:ascii="Verdana" w:hAnsi="Verdana"/>
          <w:b/>
          <w:bCs/>
          <w:sz w:val="20"/>
          <w:szCs w:val="20"/>
          <w:u w:val="single"/>
          <w:lang w:val="es-ES_tradnl" w:eastAsia="es-ES" w:bidi="ar-SA"/>
        </w:rPr>
        <w:t>Órgano Competente para la Instrucción y Resolución del Procedimiento</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sz w:val="20"/>
          <w:szCs w:val="20"/>
          <w:lang w:val="es-ES_tradnl" w:eastAsia="es-ES" w:bidi="ar-SA"/>
        </w:rPr>
        <w:t xml:space="preserve">El órgano competente para la instrucción del expediente es </w:t>
      </w:r>
      <w:r>
        <w:rPr>
          <w:rFonts w:eastAsia="Times New Roman" w:cs="Verdana" w:ascii="Verdana" w:hAnsi="Verdana"/>
          <w:color w:val="auto"/>
          <w:sz w:val="20"/>
          <w:szCs w:val="20"/>
          <w:lang w:val="es-ES_tradnl" w:eastAsia="es-ES" w:bidi="ar-SA"/>
        </w:rPr>
        <w:t>Secretaria</w:t>
      </w:r>
      <w:r>
        <w:rPr>
          <w:rFonts w:cs="Verdana" w:ascii="Verdana" w:hAnsi="Verdana"/>
          <w:i/>
          <w:iCs/>
          <w:sz w:val="20"/>
          <w:szCs w:val="20"/>
          <w:lang w:val="es-ES_tradnl" w:eastAsia="es-ES" w:bidi="ar-SA"/>
        </w:rPr>
        <w:t>.</w:t>
      </w:r>
    </w:p>
    <w:p>
      <w:pPr>
        <w:pStyle w:val="Normal"/>
        <w:widowControl w:val="false"/>
        <w:spacing w:lineRule="auto" w:line="360"/>
        <w:ind w:left="0" w:right="0" w:firstLine="708"/>
        <w:jc w:val="both"/>
        <w:rPr>
          <w:rFonts w:ascii="Verdana" w:hAnsi="Verdana" w:cs="Verdana"/>
          <w:i/>
          <w:i/>
          <w:iCs/>
          <w:sz w:val="20"/>
          <w:szCs w:val="20"/>
          <w:lang w:val="es-ES_tradnl" w:eastAsia="es-ES" w:bidi="ar-SA"/>
        </w:rPr>
      </w:pPr>
      <w:r>
        <w:rPr>
          <w:rFonts w:cs="Verdana" w:ascii="Verdana" w:hAnsi="Verdana"/>
          <w:i/>
          <w:iCs/>
          <w:sz w:val="20"/>
          <w:szCs w:val="20"/>
          <w:lang w:val="es-ES_tradnl" w:eastAsia="es-ES" w:bidi="ar-SA"/>
        </w:rPr>
      </w:r>
    </w:p>
    <w:p>
      <w:pPr>
        <w:pStyle w:val="Normal"/>
        <w:widowControl w:val="false"/>
        <w:spacing w:lineRule="auto" w:line="360"/>
        <w:ind w:left="0" w:right="0" w:firstLine="708"/>
        <w:jc w:val="both"/>
        <w:rPr>
          <w:rFonts w:ascii="Verdana" w:hAnsi="Verdana" w:cs="Verdana"/>
          <w:iCs/>
          <w:sz w:val="20"/>
          <w:szCs w:val="20"/>
          <w:lang w:val="es-ES_tradnl" w:eastAsia="es-ES" w:bidi="ar-SA"/>
        </w:rPr>
      </w:pPr>
      <w:r>
        <w:rPr>
          <w:rFonts w:cs="Verdana" w:ascii="Verdana" w:hAnsi="Verdana"/>
          <w:iCs/>
          <w:sz w:val="20"/>
          <w:szCs w:val="20"/>
          <w:lang w:val="es-ES_tradnl" w:eastAsia="es-ES" w:bidi="ar-SA"/>
        </w:rPr>
        <w:t>Éste solicitará cuantos informes estime necesarios para proponer la resolucion, así como evaluar las solicitudes que se presenten en tiempo y forma, todo ello de conformidad con el artículo 24 de la Ley 38/2003, de 14 de noviembre, General de Subvenciones.</w:t>
      </w:r>
    </w:p>
    <w:p>
      <w:pPr>
        <w:pStyle w:val="Normal"/>
        <w:widowControl w:val="false"/>
        <w:spacing w:lineRule="auto" w:line="360"/>
        <w:ind w:left="0" w:right="0" w:firstLine="708"/>
        <w:jc w:val="both"/>
        <w:rPr>
          <w:rFonts w:ascii="Verdana" w:hAnsi="Verdana" w:cs="Verdana"/>
          <w:iCs/>
          <w:sz w:val="20"/>
          <w:szCs w:val="20"/>
          <w:lang w:val="es-ES_tradnl" w:eastAsia="es-ES" w:bidi="ar-SA"/>
        </w:rPr>
      </w:pPr>
      <w:r>
        <w:rPr>
          <w:rFonts w:cs="Verdana" w:ascii="Verdana" w:hAnsi="Verdana"/>
          <w:iCs/>
          <w:sz w:val="20"/>
          <w:szCs w:val="20"/>
          <w:lang w:val="es-ES_tradnl" w:eastAsia="es-ES" w:bidi="ar-SA"/>
        </w:rPr>
      </w:r>
    </w:p>
    <w:p>
      <w:pPr>
        <w:pStyle w:val="Normal"/>
        <w:widowControl w:val="false"/>
        <w:spacing w:lineRule="auto" w:line="360"/>
        <w:ind w:left="0" w:right="0" w:firstLine="708"/>
        <w:jc w:val="both"/>
        <w:rPr/>
      </w:pPr>
      <w:r>
        <w:rPr>
          <w:rFonts w:cs="Verdana" w:ascii="Verdana" w:hAnsi="Verdana"/>
          <w:sz w:val="20"/>
          <w:szCs w:val="20"/>
          <w:lang w:val="es-ES_tradnl" w:eastAsia="es-ES" w:bidi="ar-SA"/>
        </w:rPr>
        <w:t>El ó</w:t>
      </w:r>
      <w:r>
        <w:rPr>
          <w:rFonts w:cs="Verdana" w:ascii="Verdana" w:hAnsi="Verdana"/>
          <w:i w:val="false"/>
          <w:iCs w:val="false"/>
          <w:sz w:val="20"/>
          <w:szCs w:val="20"/>
          <w:lang w:val="es-ES_tradnl" w:eastAsia="es-ES" w:bidi="ar-SA"/>
        </w:rPr>
        <w:t>rgano competente para resolver será Alcaldia, en virtud del artículo 11 de la Ordenanza General reguladora de la concesion de Subvenciones.</w:t>
      </w:r>
    </w:p>
    <w:p>
      <w:pPr>
        <w:pStyle w:val="Normal"/>
        <w:spacing w:lineRule="auto" w:line="360" w:before="0" w:after="120"/>
        <w:jc w:val="both"/>
        <w:rPr>
          <w:rFonts w:ascii="Verdana" w:hAnsi="Verdana" w:cs="Verdana"/>
          <w:i w:val="false"/>
          <w:i w:val="false"/>
          <w:iCs w:val="false"/>
          <w:sz w:val="20"/>
          <w:szCs w:val="20"/>
          <w:lang w:val="es-ES_tradnl" w:eastAsia="es-ES" w:bidi="ar-SA"/>
        </w:rPr>
      </w:pPr>
      <w:r>
        <w:rPr>
          <w:rFonts w:cs="Verdana" w:ascii="Verdana" w:hAnsi="Verdana"/>
          <w:i w:val="false"/>
          <w:iCs w:val="false"/>
          <w:sz w:val="20"/>
          <w:szCs w:val="20"/>
          <w:lang w:val="es-ES_tradnl" w:eastAsia="es-ES" w:bidi="ar-SA"/>
        </w:rPr>
      </w:r>
    </w:p>
    <w:p>
      <w:pPr>
        <w:pStyle w:val="Normal"/>
        <w:widowControl w:val="false"/>
        <w:spacing w:lineRule="auto" w:line="360"/>
        <w:ind w:left="0" w:right="0" w:firstLine="708"/>
        <w:jc w:val="both"/>
        <w:rPr/>
      </w:pPr>
      <w:r>
        <w:rPr>
          <w:rFonts w:cs="Verdana" w:ascii="Verdana" w:hAnsi="Verdana"/>
          <w:b/>
          <w:bCs/>
          <w:sz w:val="20"/>
          <w:szCs w:val="20"/>
          <w:lang w:val="es-ES_tradnl" w:eastAsia="es-ES" w:bidi="ar-SA"/>
        </w:rPr>
        <w:t xml:space="preserve">6. </w:t>
      </w:r>
      <w:r>
        <w:rPr>
          <w:rFonts w:cs="Verdana" w:ascii="Verdana" w:hAnsi="Verdana"/>
          <w:b/>
          <w:bCs/>
          <w:sz w:val="20"/>
          <w:szCs w:val="20"/>
          <w:u w:val="single"/>
          <w:lang w:val="es-ES_tradnl" w:eastAsia="es-ES" w:bidi="ar-SA"/>
        </w:rPr>
        <w:t>Plazo de Presentación de Solicitudes y Documentación</w:t>
      </w:r>
    </w:p>
    <w:p>
      <w:pPr>
        <w:pStyle w:val="Normal"/>
        <w:widowControl w:val="false"/>
        <w:spacing w:lineRule="auto" w:line="360"/>
        <w:ind w:left="0" w:right="0" w:firstLine="708"/>
        <w:jc w:val="both"/>
        <w:rPr>
          <w:rFonts w:ascii="Verdana" w:hAnsi="Verdana" w:cs="Verdana"/>
          <w:b/>
          <w:b/>
          <w:bCs/>
          <w:sz w:val="20"/>
          <w:szCs w:val="20"/>
          <w:u w:val="single"/>
          <w:lang w:val="es-ES_tradnl" w:eastAsia="es-ES" w:bidi="ar-SA"/>
        </w:rPr>
      </w:pPr>
      <w:r>
        <w:rPr>
          <w:rFonts w:cs="Verdana" w:ascii="Verdana" w:hAnsi="Verdana"/>
          <w:b/>
          <w:bCs/>
          <w:sz w:val="20"/>
          <w:szCs w:val="20"/>
          <w:u w:val="single"/>
          <w:lang w:val="es-ES_tradnl" w:eastAsia="es-ES" w:bidi="ar-SA"/>
        </w:rPr>
      </w:r>
    </w:p>
    <w:p>
      <w:pPr>
        <w:pStyle w:val="Normal"/>
        <w:widowControl w:val="false"/>
        <w:spacing w:lineRule="auto" w:line="360"/>
        <w:ind w:left="0" w:right="0" w:firstLine="708"/>
        <w:jc w:val="both"/>
        <w:rPr/>
      </w:pPr>
      <w:r>
        <w:rPr>
          <w:rFonts w:cs="Verdana" w:ascii="Verdana" w:hAnsi="Verdana"/>
          <w:sz w:val="20"/>
          <w:szCs w:val="20"/>
          <w:lang w:val="es-ES_tradnl" w:eastAsia="es-ES" w:bidi="ar-SA"/>
        </w:rPr>
        <w:t>Las solicitudes se formularán en el modelo que figura como Anexo de esta convocatoria. Se dirigirán al Alcalde del Ayuntamiento, y se presentarán en el Registro de entrada del Ayuntamiento o por cualquiera de los medios señalados en el artículo 16.4 de la Ley 39/2015, de 1 de octubre, del Procedimiento Administrativo Común de las Administraciones P</w:t>
      </w:r>
      <w:r>
        <w:rPr>
          <w:rFonts w:cs="Verdana" w:ascii="Verdana" w:hAnsi="Verdana"/>
          <w:i w:val="false"/>
          <w:iCs w:val="false"/>
          <w:sz w:val="20"/>
          <w:szCs w:val="20"/>
          <w:lang w:val="es-ES_tradnl" w:eastAsia="es-ES" w:bidi="ar-SA"/>
        </w:rPr>
        <w:t xml:space="preserve">úblicas, desde la publicación del extracto de la convocatoria en el Boletín Oficial de la Provincia. </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t>Deberán acompañarse a la solicitud los documentos siguientes :</w:t>
      </w:r>
    </w:p>
    <w:p>
      <w:pPr>
        <w:pStyle w:val="Normal"/>
        <w:widowControl w:val="false"/>
        <w:spacing w:lineRule="auto" w:line="360"/>
        <w:ind w:left="0" w:right="0" w:firstLine="708"/>
        <w:jc w:val="both"/>
        <w:rPr>
          <w:rFonts w:ascii="Verdana" w:hAnsi="Verdana" w:cs="Verdana"/>
          <w:i w:val="false"/>
          <w:i w:val="false"/>
          <w:iCs w:val="false"/>
          <w:color w:val="000000"/>
          <w:sz w:val="20"/>
          <w:szCs w:val="20"/>
          <w:lang w:val="es-ES_tradnl" w:eastAsia="es-ES" w:bidi="ar-SA"/>
        </w:rPr>
      </w:pPr>
      <w:r>
        <w:rPr>
          <w:rFonts w:cs="Verdana" w:ascii="Verdana" w:hAnsi="Verdana"/>
          <w:i w:val="false"/>
          <w:iCs w:val="false"/>
          <w:color w:val="000000"/>
          <w:sz w:val="20"/>
          <w:szCs w:val="20"/>
          <w:lang w:val="es-ES_tradnl" w:eastAsia="es-ES" w:bidi="ar-SA"/>
        </w:rPr>
      </w:r>
    </w:p>
    <w:p>
      <w:pPr>
        <w:pStyle w:val="Normal"/>
        <w:widowControl w:val="false"/>
        <w:numPr>
          <w:ilvl w:val="0"/>
          <w:numId w:val="4"/>
        </w:numPr>
        <w:spacing w:lineRule="auto" w:line="360" w:before="0" w:after="120"/>
        <w:jc w:val="both"/>
        <w:rPr>
          <w:rFonts w:ascii="Verdana" w:hAnsi="Verdana" w:cs="Verdana"/>
          <w:i w:val="false"/>
          <w:i w:val="false"/>
          <w:iCs w:val="false"/>
          <w:color w:val="000000"/>
          <w:sz w:val="20"/>
          <w:szCs w:val="20"/>
          <w:lang w:val="es-ES_tradnl" w:eastAsia="es-ES" w:bidi="ar-SA"/>
        </w:rPr>
      </w:pPr>
      <w:r>
        <w:rPr>
          <w:rFonts w:cs="Verdana" w:ascii="Verdana" w:hAnsi="Verdana"/>
          <w:i w:val="false"/>
          <w:iCs w:val="false"/>
          <w:color w:val="000000"/>
          <w:sz w:val="20"/>
          <w:szCs w:val="20"/>
          <w:lang w:val="es-ES_tradnl" w:eastAsia="es-ES" w:bidi="ar-SA"/>
        </w:rPr>
        <w:t>Documentos que acrediten la personalidad del solicitante y, en su caso, la representación de quien firme la solicitud .</w:t>
      </w:r>
    </w:p>
    <w:p>
      <w:pPr>
        <w:pStyle w:val="Normal"/>
        <w:widowControl w:val="false"/>
        <w:numPr>
          <w:ilvl w:val="0"/>
          <w:numId w:val="4"/>
        </w:numPr>
        <w:spacing w:lineRule="auto" w:line="360" w:before="0" w:after="120"/>
        <w:jc w:val="both"/>
        <w:rPr/>
      </w:pPr>
      <w:r>
        <w:rPr>
          <w:rFonts w:cs="Verdana" w:ascii="Verdana" w:hAnsi="Verdana"/>
          <w:i w:val="false"/>
          <w:iCs w:val="false"/>
          <w:color w:val="000000"/>
          <w:sz w:val="20"/>
          <w:szCs w:val="20"/>
          <w:lang w:val="es-ES_tradnl" w:eastAsia="es-ES" w:bidi="ar-SA"/>
        </w:rPr>
        <w:t>Declaración responsable de que en el solicitante no concurre ninguna de las circunstancias que impidan obtener la condición de beneficiario de subvenciones públicas, establecidas en el artículo 13 de la Ley General de Subvenciones, según lo contenido en el modelo de declaracion disponible en la sede electronica, a la que se puede acceder desde el siguiente enlace:</w:t>
      </w:r>
    </w:p>
    <w:p>
      <w:pPr>
        <w:pStyle w:val="Normal"/>
        <w:widowControl w:val="false"/>
        <w:numPr>
          <w:ilvl w:val="0"/>
          <w:numId w:val="0"/>
        </w:numPr>
        <w:spacing w:lineRule="auto" w:line="360" w:before="0" w:after="120"/>
        <w:ind w:left="720" w:right="0" w:hanging="0"/>
        <w:jc w:val="center"/>
        <w:rPr>
          <w:rFonts w:ascii="Verdana" w:hAnsi="Verdana" w:eastAsia="Times New Roman" w:cs="Verdana"/>
          <w:i w:val="false"/>
          <w:i w:val="false"/>
          <w:iCs w:val="false"/>
          <w:color w:val="000000"/>
          <w:sz w:val="20"/>
          <w:szCs w:val="20"/>
          <w:lang w:val="es-ES_tradnl" w:eastAsia="es-ES" w:bidi="ar-SA"/>
        </w:rPr>
      </w:pPr>
      <w:hyperlink r:id="rId3">
        <w:r>
          <w:rPr>
            <w:rStyle w:val="EnlacedeInternet"/>
            <w:rFonts w:cs="Verdana" w:ascii="Verdana" w:hAnsi="Verdana"/>
            <w:i w:val="false"/>
            <w:iCs w:val="false"/>
            <w:color w:val="000000"/>
            <w:sz w:val="18"/>
            <w:szCs w:val="18"/>
            <w:lang w:val="es-ES_tradnl" w:eastAsia="es-ES" w:bidi="ar-SA"/>
          </w:rPr>
          <w:t>https://castelnou.sedelectronica.es/transparency/1469190d-daef-420d-8b3d-7816b0cd9fb7/</w:t>
        </w:r>
      </w:hyperlink>
    </w:p>
    <w:p>
      <w:pPr>
        <w:pStyle w:val="Normal"/>
        <w:widowControl w:val="false"/>
        <w:numPr>
          <w:ilvl w:val="0"/>
          <w:numId w:val="4"/>
        </w:numPr>
        <w:spacing w:lineRule="auto" w:line="360" w:before="0" w:after="120"/>
        <w:jc w:val="both"/>
        <w:rPr>
          <w:rFonts w:ascii="Verdana" w:hAnsi="Verdana" w:eastAsia="Times New Roman" w:cs="Verdana"/>
          <w:i w:val="false"/>
          <w:i w:val="false"/>
          <w:iCs w:val="false"/>
          <w:color w:val="000000"/>
          <w:sz w:val="20"/>
          <w:szCs w:val="20"/>
          <w:lang w:val="es-ES_tradnl" w:eastAsia="es-ES" w:bidi="ar-SA"/>
        </w:rPr>
      </w:pPr>
      <w:r>
        <w:rPr>
          <w:rFonts w:eastAsia="Times New Roman" w:cs="Verdana" w:ascii="Verdana" w:hAnsi="Verdana"/>
          <w:i w:val="false"/>
          <w:iCs w:val="false"/>
          <w:color w:val="000000"/>
          <w:sz w:val="20"/>
          <w:szCs w:val="20"/>
          <w:lang w:val="es-ES_tradnl" w:eastAsia="es-ES" w:bidi="ar-SA"/>
        </w:rPr>
        <w:t>Factura justificativa de la utilizacion del servicio de taxi en la que debera constar la fecha de prestacion del servicio.</w:t>
      </w:r>
    </w:p>
    <w:p>
      <w:pPr>
        <w:pStyle w:val="Normal"/>
        <w:widowControl w:val="false"/>
        <w:numPr>
          <w:ilvl w:val="0"/>
          <w:numId w:val="4"/>
        </w:numPr>
        <w:spacing w:lineRule="auto" w:line="360" w:before="0" w:after="120"/>
        <w:jc w:val="both"/>
        <w:rPr>
          <w:rFonts w:ascii="Verdana" w:hAnsi="Verdana" w:eastAsia="Times New Roman" w:cs="Verdana"/>
          <w:i w:val="false"/>
          <w:i w:val="false"/>
          <w:iCs w:val="false"/>
          <w:color w:val="000000"/>
          <w:sz w:val="20"/>
          <w:szCs w:val="20"/>
          <w:shd w:fill="auto" w:val="clear"/>
          <w:lang w:val="es-ES_tradnl" w:eastAsia="es-ES" w:bidi="ar-SA"/>
        </w:rPr>
      </w:pPr>
      <w:r>
        <w:rPr>
          <w:rFonts w:eastAsia="Times New Roman" w:cs="Verdana" w:ascii="Verdana" w:hAnsi="Verdana"/>
          <w:i w:val="false"/>
          <w:iCs w:val="false"/>
          <w:color w:val="000000"/>
          <w:sz w:val="20"/>
          <w:szCs w:val="20"/>
          <w:shd w:fill="auto" w:val="clear"/>
          <w:lang w:val="es-ES_tradnl" w:eastAsia="es-ES" w:bidi="ar-SA"/>
        </w:rPr>
        <w:t>Justificante medico donde conste fecha y hora de visita y en caso que se presente tiempo de espera en la factura, debera presentar ademas la citacion medica, para justificar dicho tiempo de espera.</w:t>
      </w:r>
    </w:p>
    <w:p>
      <w:pPr>
        <w:pStyle w:val="Normal"/>
        <w:widowControl w:val="false"/>
        <w:spacing w:lineRule="auto" w:line="360"/>
        <w:ind w:left="0" w:right="0" w:firstLine="708"/>
        <w:jc w:val="both"/>
        <w:rPr>
          <w:rFonts w:ascii="Verdana" w:hAnsi="Verdana" w:cs="Verdana"/>
          <w:i/>
          <w:i/>
          <w:color w:val="808080"/>
          <w:sz w:val="20"/>
          <w:szCs w:val="20"/>
          <w:shd w:fill="auto" w:val="clear"/>
          <w:lang w:val="es-ES_tradnl" w:eastAsia="es-ES" w:bidi="ar-SA"/>
        </w:rPr>
      </w:pPr>
      <w:r>
        <w:rPr>
          <w:rFonts w:cs="Verdana" w:ascii="Verdana" w:hAnsi="Verdana"/>
          <w:i/>
          <w:color w:val="808080"/>
          <w:sz w:val="20"/>
          <w:szCs w:val="20"/>
          <w:shd w:fill="auto" w:val="clear"/>
          <w:lang w:val="es-ES_tradnl" w:eastAsia="es-ES" w:bidi="ar-SA"/>
        </w:rPr>
      </w:r>
    </w:p>
    <w:p>
      <w:pPr>
        <w:pStyle w:val="Normal"/>
        <w:widowControl w:val="false"/>
        <w:spacing w:lineRule="auto" w:line="360"/>
        <w:ind w:left="0" w:right="0" w:firstLine="708"/>
        <w:jc w:val="both"/>
        <w:rPr>
          <w:rFonts w:ascii="Verdana" w:hAnsi="Verdana" w:cs="Verdana"/>
          <w:sz w:val="20"/>
          <w:szCs w:val="20"/>
          <w:lang w:val="es-ES" w:bidi="ar-SA"/>
        </w:rPr>
      </w:pPr>
      <w:r>
        <w:rPr>
          <w:rFonts w:cs="Verdana" w:ascii="Verdana" w:hAnsi="Verdana"/>
          <w:sz w:val="20"/>
          <w:szCs w:val="20"/>
          <w:lang w:val="es-ES" w:bidi="ar-SA"/>
        </w:rPr>
        <w:t>Las solicitudes de los interesados acompañarán los documentos e informaciones determinados en la norma o convocatoria, salvo que los documentos exigidos ya estuvieran en poder de cualquier órgano de la Administración actuante, o hayan sido elaborados por cualquier otra Administración. La administración actuante podrá consultar o recabar dichos documentos salvo que el interesado se opusiera a ello. No cabrá la oposición cuando la aportación del documento se exigiera en el marco del ejercicio de potestades sancionadoras o de inspección.</w:t>
      </w:r>
    </w:p>
    <w:p>
      <w:pPr>
        <w:pStyle w:val="Normal"/>
        <w:shd w:fill="FEFEFE" w:val="clear"/>
        <w:spacing w:lineRule="auto" w:line="360"/>
        <w:jc w:val="both"/>
        <w:rPr>
          <w:rFonts w:ascii="Verdana" w:hAnsi="Verdana" w:cs="Verdana"/>
          <w:i/>
          <w:i/>
          <w:color w:val="666666"/>
          <w:sz w:val="20"/>
          <w:szCs w:val="20"/>
          <w:lang w:val="es-ES" w:bidi="ar-SA"/>
        </w:rPr>
      </w:pPr>
      <w:r>
        <w:rPr>
          <w:rFonts w:cs="Verdana" w:ascii="Verdana" w:hAnsi="Verdana"/>
          <w:i/>
          <w:color w:val="666666"/>
          <w:sz w:val="20"/>
          <w:szCs w:val="20"/>
          <w:lang w:val="es-ES" w:bidi="ar-SA"/>
        </w:rPr>
      </w:r>
    </w:p>
    <w:p>
      <w:pPr>
        <w:pStyle w:val="Normal"/>
        <w:shd w:fill="FEFEFE" w:val="clear"/>
        <w:spacing w:lineRule="auto" w:line="360"/>
        <w:ind w:left="0" w:right="0" w:firstLine="708"/>
        <w:jc w:val="both"/>
        <w:rPr>
          <w:rFonts w:ascii="Verdana" w:hAnsi="Verdana" w:cs="Verdana"/>
          <w:sz w:val="20"/>
          <w:szCs w:val="20"/>
          <w:lang w:val="es-ES" w:bidi="ar-SA"/>
        </w:rPr>
      </w:pPr>
      <w:r>
        <w:rPr>
          <w:rFonts w:cs="Verdana" w:ascii="Verdana" w:hAnsi="Verdana"/>
          <w:sz w:val="20"/>
          <w:szCs w:val="20"/>
          <w:lang w:val="es-ES" w:bidi="ar-SA"/>
        </w:rPr>
        <w:t>Si la solicitud no reúne los requisitos establecidos en la norma de convocatoria, el órgano competente requerirá al interesado para que la subsane en el plazo máximo e improrrogable de 10 días, indicándole que si no lo hiciese se le tendrá por desistido de su solicitud.</w:t>
      </w:r>
    </w:p>
    <w:p>
      <w:pPr>
        <w:pStyle w:val="Normal"/>
        <w:widowControl w:val="false"/>
        <w:spacing w:lineRule="auto" w:line="360"/>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b/>
          <w:bCs/>
          <w:sz w:val="20"/>
          <w:szCs w:val="20"/>
          <w:lang w:val="es-ES_tradnl" w:eastAsia="es-ES" w:bidi="ar-SA"/>
        </w:rPr>
        <w:t xml:space="preserve">7. </w:t>
      </w:r>
      <w:r>
        <w:rPr>
          <w:rFonts w:cs="Verdana" w:ascii="Verdana" w:hAnsi="Verdana"/>
          <w:b/>
          <w:bCs/>
          <w:sz w:val="20"/>
          <w:szCs w:val="20"/>
          <w:u w:val="single"/>
          <w:lang w:val="es-ES_tradnl" w:eastAsia="es-ES" w:bidi="ar-SA"/>
        </w:rPr>
        <w:t>Propuesta de resolución provisional, resolución definitiva, plazos y notificación</w:t>
      </w:r>
    </w:p>
    <w:p>
      <w:pPr>
        <w:pStyle w:val="Normal"/>
        <w:widowControl w:val="false"/>
        <w:spacing w:lineRule="auto" w:line="360"/>
        <w:ind w:left="0" w:right="0" w:firstLine="708"/>
        <w:jc w:val="both"/>
        <w:rPr>
          <w:rFonts w:ascii="Verdana" w:hAnsi="Verdana" w:cs="Verdana"/>
          <w:b/>
          <w:b/>
          <w:bCs/>
          <w:sz w:val="20"/>
          <w:szCs w:val="20"/>
          <w:u w:val="single"/>
          <w:lang w:val="es-ES_tradnl" w:eastAsia="es-ES" w:bidi="ar-SA"/>
        </w:rPr>
      </w:pPr>
      <w:r>
        <w:rPr>
          <w:rFonts w:cs="Verdana" w:ascii="Verdana" w:hAnsi="Verdana"/>
          <w:b/>
          <w:bCs/>
          <w:sz w:val="20"/>
          <w:szCs w:val="20"/>
          <w:u w:val="single"/>
          <w:lang w:val="es-ES_tradnl" w:eastAsia="es-ES" w:bidi="ar-SA"/>
        </w:rPr>
      </w:r>
    </w:p>
    <w:p>
      <w:pPr>
        <w:pStyle w:val="Normal"/>
        <w:widowControl w:val="false"/>
        <w:spacing w:lineRule="auto" w:line="360"/>
        <w:ind w:left="0" w:right="0" w:firstLine="708"/>
        <w:jc w:val="both"/>
        <w:rPr/>
      </w:pPr>
      <w:r>
        <w:rPr>
          <w:rFonts w:cs="Verdana" w:ascii="Verdana" w:hAnsi="Verdana"/>
          <w:sz w:val="20"/>
          <w:szCs w:val="20"/>
          <w:lang w:val="es-ES_tradnl" w:eastAsia="es-ES" w:bidi="ar-SA"/>
        </w:rPr>
        <w:t>Una vez evaluadas las solicitudes</w:t>
      </w:r>
      <w:r>
        <w:rPr>
          <w:rFonts w:cs="Verdana" w:ascii="Verdana" w:hAnsi="Verdana"/>
          <w:sz w:val="20"/>
          <w:szCs w:val="20"/>
          <w:lang w:val="es-ES" w:bidi="ar-SA"/>
        </w:rPr>
        <w:t>, el órgano competente resolverá el procedimiento. La resolución, además de contener el solicitante o relación de solicitantes a los que se concede la subvención, hará constar, en su caso, de manera expresa, la desestimación del resto de las solicitudes.</w:t>
      </w:r>
    </w:p>
    <w:p>
      <w:pPr>
        <w:pStyle w:val="Normal"/>
        <w:widowControl w:val="false"/>
        <w:spacing w:lineRule="auto" w:line="360"/>
        <w:ind w:left="0" w:right="0" w:firstLine="709"/>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sz w:val="20"/>
          <w:szCs w:val="20"/>
          <w:lang w:val="es-ES_tradnl" w:eastAsia="es-ES" w:bidi="ar-SA"/>
        </w:rPr>
        <w:t xml:space="preserve">El plazo de resolución y notificación será de </w:t>
      </w:r>
      <w:r>
        <w:rPr>
          <w:rFonts w:eastAsia="Times New Roman" w:cs="Verdana" w:ascii="Verdana" w:hAnsi="Verdana"/>
          <w:color w:val="auto"/>
          <w:sz w:val="20"/>
          <w:szCs w:val="20"/>
          <w:lang w:val="es-ES_tradnl" w:eastAsia="es-ES" w:bidi="ar-SA"/>
        </w:rPr>
        <w:t>3</w:t>
      </w:r>
      <w:r>
        <w:rPr>
          <w:rFonts w:cs="Verdana" w:ascii="Verdana" w:hAnsi="Verdana"/>
          <w:sz w:val="20"/>
          <w:szCs w:val="20"/>
          <w:lang w:val="es-ES_tradnl" w:eastAsia="es-ES" w:bidi="ar-SA"/>
        </w:rPr>
        <w:t xml:space="preserve"> meses</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t>El vencimiento del plazo máximo sin haberse notificado la resolución legitima a los interesados para entender desestimada por silencio administrativo la solicitud de concesión de la subvención.</w:t>
      </w:r>
    </w:p>
    <w:p>
      <w:pPr>
        <w:pStyle w:val="Normal"/>
        <w:widowControl w:val="false"/>
        <w:spacing w:lineRule="auto" w:line="360"/>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b/>
          <w:bCs/>
          <w:sz w:val="20"/>
          <w:szCs w:val="20"/>
          <w:lang w:val="es-ES_tradnl" w:eastAsia="es-ES" w:bidi="ar-SA"/>
        </w:rPr>
        <w:t xml:space="preserve">8. </w:t>
      </w:r>
      <w:r>
        <w:rPr>
          <w:rFonts w:cs="Verdana" w:ascii="Verdana" w:hAnsi="Verdana"/>
          <w:b/>
          <w:bCs/>
          <w:sz w:val="20"/>
          <w:szCs w:val="20"/>
          <w:u w:val="single"/>
          <w:lang w:val="es-ES_tradnl" w:eastAsia="es-ES" w:bidi="ar-SA"/>
        </w:rPr>
        <w:t>Fin de la Vía Administrativa</w:t>
      </w:r>
    </w:p>
    <w:p>
      <w:pPr>
        <w:pStyle w:val="Normal"/>
        <w:widowControl w:val="false"/>
        <w:spacing w:lineRule="auto" w:line="360"/>
        <w:ind w:left="0" w:right="0" w:firstLine="708"/>
        <w:jc w:val="both"/>
        <w:rPr>
          <w:rFonts w:ascii="Verdana" w:hAnsi="Verdana" w:cs="Verdana"/>
          <w:b/>
          <w:b/>
          <w:bCs/>
          <w:sz w:val="20"/>
          <w:szCs w:val="20"/>
          <w:u w:val="single"/>
          <w:lang w:val="es-ES_tradnl" w:eastAsia="es-ES" w:bidi="ar-SA"/>
        </w:rPr>
      </w:pPr>
      <w:r>
        <w:rPr>
          <w:rFonts w:cs="Verdana" w:ascii="Verdana" w:hAnsi="Verdana"/>
          <w:b/>
          <w:bCs/>
          <w:sz w:val="20"/>
          <w:szCs w:val="20"/>
          <w:u w:val="single"/>
          <w:lang w:val="es-ES_tradnl" w:eastAsia="es-ES" w:bidi="ar-SA"/>
        </w:rPr>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t xml:space="preserve">El acto de resolución de la subvención agota la vía administrativa. </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Teruel, en el plazo de dos meses, a contar desde el día siguiente al de la recepción de la notificación, de conformidad con el artículo 46 de la Ley 29/1998, de 13 de julio, de la Jurisdicción Contencioso-Administrativa.</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b/>
          <w:bCs/>
          <w:sz w:val="20"/>
          <w:szCs w:val="20"/>
          <w:lang w:val="es-ES_tradnl" w:eastAsia="es-ES" w:bidi="ar-SA"/>
        </w:rPr>
        <w:t xml:space="preserve">09. </w:t>
      </w:r>
      <w:r>
        <w:rPr>
          <w:rFonts w:cs="Verdana" w:ascii="Verdana" w:hAnsi="Verdana"/>
          <w:b/>
          <w:bCs/>
          <w:sz w:val="20"/>
          <w:szCs w:val="20"/>
          <w:u w:val="single"/>
          <w:lang w:val="es-ES_tradnl" w:eastAsia="es-ES" w:bidi="ar-SA"/>
        </w:rPr>
        <w:t>Criterios de Valoración de Solicitudes</w:t>
      </w:r>
    </w:p>
    <w:p>
      <w:pPr>
        <w:pStyle w:val="Normal"/>
        <w:widowControl w:val="false"/>
        <w:spacing w:lineRule="auto" w:line="360"/>
        <w:ind w:left="0" w:right="0" w:firstLine="708"/>
        <w:jc w:val="both"/>
        <w:rPr>
          <w:rFonts w:ascii="Verdana" w:hAnsi="Verdana" w:cs="Verdana"/>
          <w:b/>
          <w:b/>
          <w:bCs/>
          <w:sz w:val="20"/>
          <w:szCs w:val="20"/>
          <w:u w:val="single"/>
          <w:lang w:val="es-ES_tradnl" w:eastAsia="es-ES" w:bidi="ar-SA"/>
        </w:rPr>
      </w:pPr>
      <w:r>
        <w:rPr>
          <w:rFonts w:cs="Verdana" w:ascii="Verdana" w:hAnsi="Verdana"/>
          <w:b/>
          <w:bCs/>
          <w:sz w:val="20"/>
          <w:szCs w:val="20"/>
          <w:u w:val="single"/>
          <w:lang w:val="es-ES_tradnl" w:eastAsia="es-ES" w:bidi="ar-SA"/>
        </w:rPr>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t>No se establecen criterios de valoracion, dado que seran admitidas todas las solicitudes validamente presentadas que cumplan los requisitos establecidos en el punto 4 de la presente Convocatoria, según lo contenido en el articulo 14.3 de la lay 5/2015, de 25 de marzo, de Subvenciones de Aragon.</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t>El orden de prelacion sera fijado unicamente en funcion de la fecha de presentacion, en el caso que el credito consignado en la convocatoria fuera insuficiente para atender a todas las solicitudes.</w:t>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r>
    </w:p>
    <w:p>
      <w:pPr>
        <w:pStyle w:val="Normal"/>
        <w:widowControl w:val="false"/>
        <w:spacing w:lineRule="auto" w:line="360"/>
        <w:ind w:left="0" w:right="0" w:firstLine="708"/>
        <w:jc w:val="both"/>
        <w:rPr/>
      </w:pPr>
      <w:r>
        <w:rPr>
          <w:rFonts w:cs="Verdana" w:ascii="Verdana" w:hAnsi="Verdana"/>
          <w:b/>
          <w:bCs/>
          <w:sz w:val="20"/>
          <w:szCs w:val="20"/>
          <w:lang w:val="es-ES_tradnl" w:eastAsia="es-ES" w:bidi="ar-SA"/>
        </w:rPr>
        <w:t xml:space="preserve">10. </w:t>
      </w:r>
      <w:r>
        <w:rPr>
          <w:rFonts w:cs="Verdana" w:ascii="Verdana" w:hAnsi="Verdana"/>
          <w:b/>
          <w:bCs/>
          <w:sz w:val="20"/>
          <w:szCs w:val="20"/>
          <w:u w:val="single"/>
          <w:lang w:val="es-ES_tradnl" w:eastAsia="es-ES" w:bidi="ar-SA"/>
        </w:rPr>
        <w:t>Medios de notificación o publicación</w:t>
      </w:r>
    </w:p>
    <w:p>
      <w:pPr>
        <w:pStyle w:val="Normal"/>
        <w:widowControl w:val="false"/>
        <w:spacing w:lineRule="auto" w:line="360"/>
        <w:ind w:left="0" w:right="0" w:firstLine="708"/>
        <w:jc w:val="both"/>
        <w:rPr>
          <w:rFonts w:ascii="Verdana" w:hAnsi="Verdana" w:cs="Verdana"/>
          <w:b/>
          <w:b/>
          <w:bCs/>
          <w:sz w:val="20"/>
          <w:szCs w:val="20"/>
          <w:u w:val="single"/>
          <w:lang w:val="es-ES_tradnl" w:eastAsia="es-ES" w:bidi="ar-SA"/>
        </w:rPr>
      </w:pPr>
      <w:r>
        <w:rPr>
          <w:rFonts w:cs="Verdana" w:ascii="Verdana" w:hAnsi="Verdana"/>
          <w:b/>
          <w:bCs/>
          <w:sz w:val="20"/>
          <w:szCs w:val="20"/>
          <w:u w:val="single"/>
          <w:lang w:val="es-ES_tradnl" w:eastAsia="es-ES" w:bidi="ar-SA"/>
        </w:rPr>
      </w:r>
    </w:p>
    <w:p>
      <w:pPr>
        <w:pStyle w:val="Normal"/>
        <w:widowControl w:val="false"/>
        <w:spacing w:lineRule="auto" w:line="360"/>
        <w:ind w:left="0" w:right="0" w:firstLine="708"/>
        <w:jc w:val="both"/>
        <w:rPr>
          <w:rFonts w:ascii="Verdana" w:hAnsi="Verdana" w:cs="Verdana"/>
          <w:sz w:val="20"/>
          <w:szCs w:val="20"/>
          <w:lang w:val="es-ES_tradnl" w:eastAsia="es-ES" w:bidi="ar-SA"/>
        </w:rPr>
      </w:pPr>
      <w:r>
        <w:rPr>
          <w:rFonts w:cs="Verdana" w:ascii="Verdana" w:hAnsi="Verdana"/>
          <w:sz w:val="20"/>
          <w:szCs w:val="20"/>
          <w:lang w:val="es-ES_tradnl" w:eastAsia="es-ES" w:bidi="ar-SA"/>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pPr>
        <w:pStyle w:val="Normal"/>
        <w:spacing w:lineRule="auto" w:line="360"/>
        <w:rPr>
          <w:rFonts w:ascii="Verdana" w:hAnsi="Verdana" w:cs="Verdana"/>
          <w:sz w:val="20"/>
          <w:lang w:val="es-ES" w:eastAsia="es-ES" w:bidi="ar-SA"/>
        </w:rPr>
      </w:pPr>
      <w:r>
        <w:rPr>
          <w:rFonts w:cs="Verdana" w:ascii="Verdana" w:hAnsi="Verdana"/>
          <w:sz w:val="20"/>
          <w:lang w:val="es-ES" w:eastAsia="es-ES" w:bidi="ar-SA"/>
        </w:rPr>
      </w:r>
    </w:p>
    <w:p>
      <w:pPr>
        <w:pStyle w:val="Normal"/>
        <w:spacing w:lineRule="auto" w:line="360"/>
        <w:rPr>
          <w:rFonts w:ascii="Verdana" w:hAnsi="Verdana" w:cs="Verdana"/>
          <w:sz w:val="20"/>
          <w:lang w:val="es-ES" w:eastAsia="es-ES" w:bidi="ar-SA"/>
        </w:rPr>
      </w:pPr>
      <w:r>
        <w:rPr>
          <w:rFonts w:cs="Verdana" w:ascii="Verdana" w:hAnsi="Verdana"/>
          <w:sz w:val="20"/>
          <w:lang w:val="es-ES" w:eastAsia="es-ES" w:bidi="ar-SA"/>
        </w:rPr>
      </w:r>
    </w:p>
    <w:p>
      <w:pPr>
        <w:pStyle w:val="Normal"/>
        <w:spacing w:lineRule="auto" w:line="360"/>
        <w:rPr>
          <w:rFonts w:ascii="Verdana" w:hAnsi="Verdana" w:cs="Verdana"/>
          <w:sz w:val="20"/>
          <w:lang w:val="es-ES" w:eastAsia="es-ES" w:bidi="ar-SA"/>
        </w:rPr>
      </w:pPr>
      <w:r>
        <w:rPr>
          <w:rFonts w:cs="Verdana" w:ascii="Verdana" w:hAnsi="Verdana"/>
          <w:sz w:val="20"/>
          <w:lang w:val="es-ES" w:eastAsia="es-ES" w:bidi="ar-SA"/>
        </w:rPr>
        <w:tab/>
        <w:t>En Castelnou a fecha de firma electrónica.</w:t>
      </w:r>
    </w:p>
    <w:p>
      <w:pPr>
        <w:pStyle w:val="Normal"/>
        <w:spacing w:lineRule="auto" w:line="360"/>
        <w:rPr>
          <w:rFonts w:ascii="Verdana" w:hAnsi="Verdana" w:cs="Verdana"/>
          <w:sz w:val="20"/>
          <w:lang w:val="es-ES" w:eastAsia="es-ES" w:bidi="ar-SA"/>
        </w:rPr>
      </w:pPr>
      <w:r>
        <w:rPr>
          <w:rFonts w:cs="Verdana" w:ascii="Verdana" w:hAnsi="Verdana"/>
          <w:sz w:val="20"/>
          <w:lang w:val="es-ES" w:eastAsia="es-ES" w:bidi="ar-SA"/>
        </w:rPr>
        <w:tab/>
        <w:t>El Alcalde, Jose Miguel Esteruelas Lizano</w:t>
      </w:r>
    </w:p>
    <w:sectPr>
      <w:headerReference w:type="default" r:id="rId4"/>
      <w:footerReference w:type="default" r:id="rId5"/>
      <w:type w:val="nextPage"/>
      <w:pgSz w:w="11906" w:h="16838"/>
      <w:pgMar w:left="1701" w:right="1701" w:gutter="0" w:header="708" w:top="1418" w:footer="708"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cc"/>
    <w:family w:val="roman"/>
    <w:pitch w:val="variable"/>
  </w:font>
  <w:font w:name="Liberation Sans">
    <w:altName w:val="Arial"/>
    <w:charset w:val="00"/>
    <w:family w:val="swiss"/>
    <w:pitch w:val="variable"/>
  </w:font>
  <w:font w:name="Arial MT">
    <w:charset w:val="00"/>
    <w:family w:val="swiss"/>
    <w:pitch w:val="variable"/>
  </w:font>
  <w:font w:name="Verdana">
    <w:charset w:val="00"/>
    <w:family w:val="swiss"/>
    <w:pitch w:val="variable"/>
  </w:font>
  <w:font w:name="Verdana">
    <w:charset w:val="01"/>
    <w:family w:val="swiss"/>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Lines/>
      <w:tabs>
        <w:tab w:val="clear" w:pos="720"/>
        <w:tab w:val="right" w:pos="8440" w:leader="none"/>
      </w:tabs>
      <w:jc w:val="left"/>
      <w:rPr/>
    </w:pPr>
    <w:r>
      <w:rPr>
        <w:rFonts w:eastAsia="Verdana" w:cs="Verdana" w:ascii="Verdana" w:hAnsi="Verdana"/>
        <w:b w:val="false"/>
        <w:color w:val="000000"/>
        <w:sz w:val="20"/>
      </w:rPr>
      <w:t xml:space="preserve">Ayuntamiento de </w:t>
    </w:r>
    <w:r>
      <w:rPr>
        <w:rFonts w:eastAsia="Verdana" w:cs="Verdana" w:ascii="Verdana" w:hAnsi="Verdana"/>
        <w:b w:val="false"/>
        <w:color w:val="000000"/>
        <w:sz w:val="20"/>
        <w:szCs w:val="24"/>
        <w:lang w:val="es-ES" w:eastAsia="zh-CN" w:bidi="hi-IN"/>
      </w:rPr>
      <w:t>Castelnou</w:t>
    </w:r>
    <w:r>
      <w:rPr>
        <w:rFonts w:eastAsia="Verdana" w:cs="Verdana" w:ascii="Verdana" w:hAnsi="Verdana"/>
        <w:b w:val="false"/>
        <w:color w:val="000000"/>
        <w:sz w:val="20"/>
      </w:rPr>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240"/>
      <w:ind w:left="1134" w:right="0" w:hanging="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t>CONVOCATORIA Y CONCESIÓN DE SUBVENCIONES POR PROCEDIMIENTO DE CONCURRENCIA COMPETITIVA (AYUNTAMIENTO CONCEDENTE)</w:t>
    </w:r>
  </w:p>
  <w:p>
    <w:pPr>
      <w:pStyle w:val="Normal"/>
      <w:spacing w:before="0" w:after="240"/>
      <w:ind w:left="1134" w:right="0" w:hanging="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t>Aragón</w:t>
    </w:r>
  </w:p>
  <w:p>
    <w:pPr>
      <w:pStyle w:val="Normal"/>
      <w:pBdr>
        <w:bottom w:val="single" w:sz="16" w:space="0" w:color="FF9900"/>
      </w:pBdr>
      <w:spacing w:before="0" w:after="24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Ttulo3"/>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1344" w:hanging="332"/>
      </w:pPr>
      <w:rPr>
        <w:sz w:val="24"/>
        <w:szCs w:val="24"/>
        <w:w w:val="100"/>
        <w:rFonts w:eastAsia="Arial MT" w:cs="Arial MT"/>
        <w:lang w:val="es-ES" w:eastAsia="en-US" w:bidi="ar-SA"/>
      </w:rPr>
    </w:lvl>
    <w:lvl w:ilvl="1">
      <w:start w:val="1"/>
      <w:numFmt w:val="decimal"/>
      <w:lvlText w:val="%1.%2"/>
      <w:lvlJc w:val="left"/>
      <w:pPr>
        <w:tabs>
          <w:tab w:val="num" w:pos="0"/>
        </w:tabs>
        <w:ind w:left="1344" w:hanging="454"/>
      </w:pPr>
      <w:rPr>
        <w:sz w:val="24"/>
        <w:spacing w:val="-2"/>
        <w:szCs w:val="24"/>
        <w:w w:val="100"/>
        <w:rFonts w:eastAsia="Arial MT" w:cs="Arial MT"/>
        <w:lang w:val="es-ES" w:eastAsia="en-US" w:bidi="ar-SA"/>
      </w:rPr>
    </w:lvl>
    <w:lvl w:ilvl="2">
      <w:start w:val="1"/>
      <w:numFmt w:val="decimal"/>
      <w:lvlText w:val="%3."/>
      <w:lvlJc w:val="left"/>
      <w:pPr>
        <w:tabs>
          <w:tab w:val="num" w:pos="0"/>
        </w:tabs>
        <w:ind w:left="2331" w:hanging="280"/>
      </w:pPr>
      <w:rPr/>
    </w:lvl>
    <w:lvl w:ilvl="3">
      <w:start w:val="0"/>
      <w:numFmt w:val="bullet"/>
      <w:lvlText w:val=""/>
      <w:lvlJc w:val="left"/>
      <w:pPr>
        <w:tabs>
          <w:tab w:val="num" w:pos="0"/>
        </w:tabs>
        <w:ind w:left="4277" w:hanging="280"/>
      </w:pPr>
      <w:rPr>
        <w:rFonts w:ascii="Symbol" w:hAnsi="Symbol" w:cs="Symbol" w:hint="default"/>
        <w:lang w:val="es-ES" w:eastAsia="en-US" w:bidi="ar-SA"/>
      </w:rPr>
    </w:lvl>
    <w:lvl w:ilvl="4">
      <w:start w:val="0"/>
      <w:numFmt w:val="bullet"/>
      <w:lvlText w:val=""/>
      <w:lvlJc w:val="left"/>
      <w:pPr>
        <w:tabs>
          <w:tab w:val="num" w:pos="0"/>
        </w:tabs>
        <w:ind w:left="5246" w:hanging="280"/>
      </w:pPr>
      <w:rPr>
        <w:rFonts w:ascii="Symbol" w:hAnsi="Symbol" w:cs="Symbol" w:hint="default"/>
        <w:lang w:val="es-ES" w:eastAsia="en-US" w:bidi="ar-SA"/>
      </w:rPr>
    </w:lvl>
    <w:lvl w:ilvl="5">
      <w:start w:val="0"/>
      <w:numFmt w:val="bullet"/>
      <w:lvlText w:val=""/>
      <w:lvlJc w:val="left"/>
      <w:pPr>
        <w:tabs>
          <w:tab w:val="num" w:pos="0"/>
        </w:tabs>
        <w:ind w:left="6215" w:hanging="280"/>
      </w:pPr>
      <w:rPr>
        <w:rFonts w:ascii="Symbol" w:hAnsi="Symbol" w:cs="Symbol" w:hint="default"/>
        <w:lang w:val="es-ES" w:eastAsia="en-US" w:bidi="ar-SA"/>
      </w:rPr>
    </w:lvl>
    <w:lvl w:ilvl="6">
      <w:start w:val="0"/>
      <w:numFmt w:val="bullet"/>
      <w:lvlText w:val=""/>
      <w:lvlJc w:val="left"/>
      <w:pPr>
        <w:tabs>
          <w:tab w:val="num" w:pos="0"/>
        </w:tabs>
        <w:ind w:left="7184" w:hanging="280"/>
      </w:pPr>
      <w:rPr>
        <w:rFonts w:ascii="Symbol" w:hAnsi="Symbol" w:cs="Symbol" w:hint="default"/>
        <w:lang w:val="es-ES" w:eastAsia="en-US" w:bidi="ar-SA"/>
      </w:rPr>
    </w:lvl>
    <w:lvl w:ilvl="7">
      <w:start w:val="0"/>
      <w:numFmt w:val="bullet"/>
      <w:lvlText w:val=""/>
      <w:lvlJc w:val="left"/>
      <w:pPr>
        <w:tabs>
          <w:tab w:val="num" w:pos="0"/>
        </w:tabs>
        <w:ind w:left="8153" w:hanging="280"/>
      </w:pPr>
      <w:rPr>
        <w:rFonts w:ascii="Symbol" w:hAnsi="Symbol" w:cs="Symbol" w:hint="default"/>
        <w:lang w:val="es-ES" w:eastAsia="en-US" w:bidi="ar-SA"/>
      </w:rPr>
    </w:lvl>
    <w:lvl w:ilvl="8">
      <w:start w:val="0"/>
      <w:numFmt w:val="bullet"/>
      <w:lvlText w:val=""/>
      <w:lvlJc w:val="left"/>
      <w:pPr>
        <w:tabs>
          <w:tab w:val="num" w:pos="0"/>
        </w:tabs>
        <w:ind w:left="9122" w:hanging="280"/>
      </w:pPr>
      <w:rPr>
        <w:rFonts w:ascii="Symbol" w:hAnsi="Symbol" w:cs="Symbol" w:hint="default"/>
        <w:lang w:val="es-ES" w:eastAsia="en-US" w:bidi="ar-SA"/>
      </w:rPr>
    </w:lvl>
  </w:abstractNum>
  <w:abstractNum w:abstractNumId="3">
    <w:lvl w:ilvl="0">
      <w:start w:val="1"/>
      <w:numFmt w:val="lowerLetter"/>
      <w:lvlText w:val="%1)"/>
      <w:lvlJc w:val="left"/>
      <w:pPr>
        <w:tabs>
          <w:tab w:val="num" w:pos="0"/>
        </w:tabs>
        <w:ind w:left="2762" w:hanging="710"/>
      </w:pPr>
      <w:rPr/>
    </w:lvl>
    <w:lvl w:ilvl="1">
      <w:start w:val="0"/>
      <w:numFmt w:val="bullet"/>
      <w:lvlText w:val=""/>
      <w:lvlJc w:val="left"/>
      <w:pPr>
        <w:tabs>
          <w:tab w:val="num" w:pos="0"/>
        </w:tabs>
        <w:ind w:left="3590" w:hanging="710"/>
      </w:pPr>
      <w:rPr>
        <w:rFonts w:ascii="Symbol" w:hAnsi="Symbol" w:cs="Symbol" w:hint="default"/>
        <w:lang w:val="es-ES" w:eastAsia="en-US" w:bidi="ar-SA"/>
      </w:rPr>
    </w:lvl>
    <w:lvl w:ilvl="2">
      <w:start w:val="0"/>
      <w:numFmt w:val="bullet"/>
      <w:lvlText w:val=""/>
      <w:lvlJc w:val="left"/>
      <w:pPr>
        <w:tabs>
          <w:tab w:val="num" w:pos="0"/>
        </w:tabs>
        <w:ind w:left="4420" w:hanging="710"/>
      </w:pPr>
      <w:rPr>
        <w:rFonts w:ascii="Symbol" w:hAnsi="Symbol" w:cs="Symbol" w:hint="default"/>
        <w:lang w:val="es-ES" w:eastAsia="en-US" w:bidi="ar-SA"/>
      </w:rPr>
    </w:lvl>
    <w:lvl w:ilvl="3">
      <w:start w:val="0"/>
      <w:numFmt w:val="bullet"/>
      <w:lvlText w:val=""/>
      <w:lvlJc w:val="left"/>
      <w:pPr>
        <w:tabs>
          <w:tab w:val="num" w:pos="0"/>
        </w:tabs>
        <w:ind w:left="5250" w:hanging="710"/>
      </w:pPr>
      <w:rPr>
        <w:rFonts w:ascii="Symbol" w:hAnsi="Symbol" w:cs="Symbol" w:hint="default"/>
        <w:lang w:val="es-ES" w:eastAsia="en-US" w:bidi="ar-SA"/>
      </w:rPr>
    </w:lvl>
    <w:lvl w:ilvl="4">
      <w:start w:val="0"/>
      <w:numFmt w:val="bullet"/>
      <w:lvlText w:val=""/>
      <w:lvlJc w:val="left"/>
      <w:pPr>
        <w:tabs>
          <w:tab w:val="num" w:pos="0"/>
        </w:tabs>
        <w:ind w:left="6080" w:hanging="710"/>
      </w:pPr>
      <w:rPr>
        <w:rFonts w:ascii="Symbol" w:hAnsi="Symbol" w:cs="Symbol" w:hint="default"/>
        <w:lang w:val="es-ES" w:eastAsia="en-US" w:bidi="ar-SA"/>
      </w:rPr>
    </w:lvl>
    <w:lvl w:ilvl="5">
      <w:start w:val="0"/>
      <w:numFmt w:val="bullet"/>
      <w:lvlText w:val=""/>
      <w:lvlJc w:val="left"/>
      <w:pPr>
        <w:tabs>
          <w:tab w:val="num" w:pos="0"/>
        </w:tabs>
        <w:ind w:left="6910" w:hanging="710"/>
      </w:pPr>
      <w:rPr>
        <w:rFonts w:ascii="Symbol" w:hAnsi="Symbol" w:cs="Symbol" w:hint="default"/>
        <w:lang w:val="es-ES" w:eastAsia="en-US" w:bidi="ar-SA"/>
      </w:rPr>
    </w:lvl>
    <w:lvl w:ilvl="6">
      <w:start w:val="0"/>
      <w:numFmt w:val="bullet"/>
      <w:lvlText w:val=""/>
      <w:lvlJc w:val="left"/>
      <w:pPr>
        <w:tabs>
          <w:tab w:val="num" w:pos="0"/>
        </w:tabs>
        <w:ind w:left="7740" w:hanging="710"/>
      </w:pPr>
      <w:rPr>
        <w:rFonts w:ascii="Symbol" w:hAnsi="Symbol" w:cs="Symbol" w:hint="default"/>
        <w:lang w:val="es-ES" w:eastAsia="en-US" w:bidi="ar-SA"/>
      </w:rPr>
    </w:lvl>
    <w:lvl w:ilvl="7">
      <w:start w:val="0"/>
      <w:numFmt w:val="bullet"/>
      <w:lvlText w:val=""/>
      <w:lvlJc w:val="left"/>
      <w:pPr>
        <w:tabs>
          <w:tab w:val="num" w:pos="0"/>
        </w:tabs>
        <w:ind w:left="8570" w:hanging="710"/>
      </w:pPr>
      <w:rPr>
        <w:rFonts w:ascii="Symbol" w:hAnsi="Symbol" w:cs="Symbol" w:hint="default"/>
        <w:lang w:val="es-ES" w:eastAsia="en-US" w:bidi="ar-SA"/>
      </w:rPr>
    </w:lvl>
    <w:lvl w:ilvl="8">
      <w:start w:val="0"/>
      <w:numFmt w:val="bullet"/>
      <w:lvlText w:val=""/>
      <w:lvlJc w:val="left"/>
      <w:pPr>
        <w:tabs>
          <w:tab w:val="num" w:pos="0"/>
        </w:tabs>
        <w:ind w:left="9400" w:hanging="710"/>
      </w:pPr>
      <w:rPr>
        <w:rFonts w:ascii="Symbol" w:hAnsi="Symbol" w:cs="Symbol" w:hint="default"/>
        <w:lang w:val="es-ES" w:eastAsia="en-US" w:bidi="ar-SA"/>
      </w:rPr>
    </w:lvl>
  </w:abstractNum>
  <w:abstractNum w:abstractNumId="4">
    <w:lvl w:ilvl="0">
      <w:start w:val="1"/>
      <w:numFmt w:val="lowerRoman"/>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hi-IN"/>
    </w:rPr>
  </w:style>
  <w:style w:type="paragraph" w:styleId="Ttulo3">
    <w:name w:val="Heading 3"/>
    <w:basedOn w:val="Ttulo"/>
    <w:next w:val="Cuerpodetexto"/>
    <w:qFormat/>
    <w:pPr>
      <w:numPr>
        <w:ilvl w:val="2"/>
        <w:numId w:val="1"/>
      </w:numPr>
      <w:spacing w:before="140" w:after="120"/>
      <w:outlineLvl w:val="2"/>
    </w:pPr>
    <w:rPr>
      <w:rFonts w:ascii="Liberation Serif;Times New Roman" w:hAnsi="Liberation Serif;Times New Roman" w:eastAsia="NSimSun" w:cs="Arial"/>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eastAsia="Arial MT" w:cs="Arial MT"/>
      <w:w w:val="100"/>
      <w:sz w:val="24"/>
      <w:szCs w:val="24"/>
      <w:lang w:val="es-ES" w:eastAsia="en-US" w:bidi="ar-SA"/>
    </w:rPr>
  </w:style>
  <w:style w:type="character" w:styleId="WW8Num2z1">
    <w:name w:val="WW8Num2z1"/>
    <w:qFormat/>
    <w:rPr>
      <w:rFonts w:eastAsia="Arial MT" w:cs="Arial MT"/>
      <w:spacing w:val="-2"/>
      <w:w w:val="100"/>
      <w:sz w:val="24"/>
      <w:szCs w:val="24"/>
      <w:lang w:val="es-ES" w:eastAsia="en-US" w:bidi="ar-SA"/>
    </w:rPr>
  </w:style>
  <w:style w:type="character" w:styleId="WW8Num2z2">
    <w:name w:val="WW8Num2z2"/>
    <w:qFormat/>
    <w:rPr/>
  </w:style>
  <w:style w:type="character" w:styleId="WW8Num2z3">
    <w:name w:val="WW8Num2z3"/>
    <w:qFormat/>
    <w:rPr>
      <w:rFonts w:ascii="Symbol" w:hAnsi="Symbol" w:cs="Symbol"/>
      <w:lang w:val="es-ES" w:eastAsia="en-US" w:bidi="ar-SA"/>
    </w:rPr>
  </w:style>
  <w:style w:type="character" w:styleId="WW8Num3z0">
    <w:name w:val="WW8Num3z0"/>
    <w:qFormat/>
    <w:rPr/>
  </w:style>
  <w:style w:type="character" w:styleId="WW8Num3z1">
    <w:name w:val="WW8Num3z1"/>
    <w:qFormat/>
    <w:rPr>
      <w:rFonts w:ascii="Symbol" w:hAnsi="Symbol" w:cs="Symbol"/>
      <w:lang w:val="es-ES" w:eastAsia="en-US" w:bidi="ar-SA"/>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DefaultParagraphFont">
    <w:name w:val="Default Paragraph Font"/>
    <w:qFormat/>
    <w:rPr/>
  </w:style>
  <w:style w:type="character" w:styleId="Caracteresdenotaalpie">
    <w:name w:val="Caracteres de nota al pie"/>
    <w:qFormat/>
    <w:rPr>
      <w:vertAlign w:val="superscript"/>
    </w:rPr>
  </w:style>
  <w:style w:type="character" w:styleId="Normal0Car">
    <w:name w:val="Normal_0 Car"/>
    <w:qFormat/>
    <w:rPr>
      <w:sz w:val="24"/>
      <w:szCs w:val="24"/>
      <w:lang w:val="es-ES" w:bidi="ar-SA"/>
    </w:rPr>
  </w:style>
  <w:style w:type="character" w:styleId="TextonotapieCar">
    <w:name w:val="Texto nota pie Car"/>
    <w:qFormat/>
    <w:rPr>
      <w:lang w:val="es-ES" w:bidi="ar-SA"/>
    </w:rPr>
  </w:style>
  <w:style w:type="character" w:styleId="Ancladenotaalpie">
    <w:name w:val="Ancla de nota al pie"/>
    <w:rPr>
      <w:vertAlign w:val="superscript"/>
    </w:rPr>
  </w:style>
  <w:style w:type="character" w:styleId="Caracteresdenotafinal">
    <w:name w:val="Caracteres de nota final"/>
    <w:qFormat/>
    <w:rPr>
      <w:vertAlign w:val="superscript"/>
    </w:rPr>
  </w:style>
  <w:style w:type="character" w:styleId="WWCaracteresdenotafinal">
    <w:name w:val="WW-Caracteres de nota final"/>
    <w:qFormat/>
    <w:rPr/>
  </w:style>
  <w:style w:type="character" w:styleId="Smbolosdenumeracin">
    <w:name w:val="Símbolos de numeración"/>
    <w:qFormat/>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0">
    <w:name w:val="Normal_0"/>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Notaalpie">
    <w:name w:val="Footnote Text"/>
    <w:basedOn w:val="Normal0"/>
    <w:pPr/>
    <w:rPr>
      <w:sz w:val="20"/>
      <w:szCs w:val="20"/>
    </w:rPr>
  </w:style>
  <w:style w:type="paragraph" w:styleId="Normal2">
    <w:name w:val="Normal_2"/>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Piedepgina">
    <w:name w:val="Footer"/>
    <w:basedOn w:val="Normal2"/>
    <w:pPr>
      <w:tabs>
        <w:tab w:val="clear" w:pos="720"/>
        <w:tab w:val="center" w:pos="4252" w:leader="none"/>
        <w:tab w:val="right" w:pos="8504" w:leader="none"/>
      </w:tabs>
    </w:pPr>
    <w:rPr/>
  </w:style>
  <w:style w:type="paragraph" w:styleId="Cabecera">
    <w:name w:val="Header"/>
    <w:basedOn w:val="Cabeceraypie"/>
    <w:pPr>
      <w:suppressLineNumbers/>
    </w:pPr>
    <w:rPr/>
  </w:style>
  <w:style w:type="paragraph" w:styleId="ListParagraph">
    <w:name w:val="List Paragraph"/>
    <w:basedOn w:val="Normal"/>
    <w:qFormat/>
    <w:pPr>
      <w:ind w:left="1344" w:right="0" w:hanging="0"/>
      <w:jc w:val="both"/>
    </w:pPr>
    <w:rPr>
      <w:rFonts w:ascii="Arial MT" w:hAnsi="Arial MT" w:eastAsia="Arial MT" w:cs="Arial MT"/>
      <w:lang w:val="es-ES" w:eastAsia="en-US" w:bidi="ar-SA"/>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transparency/1469190d-daef-420d-8b3d-7816b0cd9fb7/" TargetMode="External"/><Relationship Id="rId3" Type="http://schemas.openxmlformats.org/officeDocument/2006/relationships/hyperlink" Target="../../transparency/1469190d-daef-420d-8b3d-7816b0cd9fb7/"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350</TotalTime>
  <Application>LibreOffice/7.2.6.2$Windows_X86_64 LibreOffice_project/b0ec3a565991f7569a5a7f5d24fed7f52653d754</Application>
  <AppVersion>15.0000</AppVersion>
  <Pages>6</Pages>
  <Words>1685</Words>
  <Characters>9302</Characters>
  <CharactersWithSpaces>10929</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2021-02-26T12:23:00Z</dcterms:created>
  <dc:creator>esPublico</dc:creator>
  <dc:description>AVISO LEGAL: Queda prohibida la reproducción, transformación, comercialización y distribución de este documento</dc:description>
  <dc:language>es-ES</dc:language>
  <cp:lastModifiedBy/>
  <cp:lastPrinted>1995-11-21T17:41:00Z</cp:lastPrinted>
  <dcterms:modified xsi:type="dcterms:W3CDTF">2023-01-27T14:49:48Z</dcterms:modified>
  <cp:revision>30</cp:revision>
  <dc:subject/>
  <dc:title/>
</cp:coreProperties>
</file>