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</w:pPr>
    </w:p>
    <w:p>
      <w:pPr>
        <w:jc w:val="center"/>
      </w:pPr>
    </w:p>
    <w:p>
      <w:pPr>
        <w:jc w:val="center"/>
      </w:pPr>
    </w:p>
    <w:p>
      <w:pPr>
        <w:jc w:val="center"/>
      </w:pPr>
    </w:p>
    <w:p>
      <w:pPr>
        <w:jc w:val="left"/>
        <w:rPr>
          <w:rFonts w:hint="default"/>
          <w:b/>
          <w:bCs/>
          <w:lang w:val="es-ES"/>
        </w:rPr>
      </w:pPr>
      <w:r>
        <w:rPr>
          <w:rFonts w:hint="default"/>
          <w:b/>
          <w:bCs/>
          <w:lang w:val="es-ES"/>
        </w:rPr>
        <w:t>ORDENANZA PARA LA CONCESIÓN DE SUBVENCIONES ECONÓMICAS PARA EL PAGO PARCIAL , CONCRETAMENTE LA MITAD  DE LA TASA DE AGUA , BASURA Y  ALCANTARILLADO A LOS VECINOS DEL MUNICIPIO DE BÁRCENA DE CAMPOS</w:t>
      </w:r>
    </w:p>
    <w:p>
      <w:pPr>
        <w:jc w:val="left"/>
        <w:rPr>
          <w:rFonts w:hint="default"/>
          <w:lang w:val="es-ES"/>
        </w:rPr>
      </w:pPr>
    </w:p>
    <w:p>
      <w:pPr>
        <w:jc w:val="left"/>
        <w:rPr>
          <w:rFonts w:hint="default"/>
          <w:lang w:val="es-ES"/>
        </w:rPr>
      </w:pPr>
      <w:r>
        <w:rPr>
          <w:rFonts w:hint="default"/>
          <w:lang w:val="es-ES"/>
        </w:rPr>
        <w:t>Mediante la presente Ordenanza se establece la política para la concesión de subvenciones para el pago de la mitad de la tasa de agua , basura y alcantarillado, reflejado en ordenanza fiscal anual , siendo su cobro cuatrimestral , a los vecinos del municipio de Bárcena de Campos</w:t>
      </w:r>
    </w:p>
    <w:p>
      <w:pPr>
        <w:jc w:val="left"/>
        <w:rPr>
          <w:rFonts w:hint="default"/>
          <w:lang w:val="es-ES"/>
        </w:rPr>
      </w:pPr>
    </w:p>
    <w:p>
      <w:pPr>
        <w:jc w:val="left"/>
        <w:rPr>
          <w:rFonts w:hint="default"/>
          <w:u w:val="single"/>
          <w:lang w:val="es-ES"/>
        </w:rPr>
      </w:pPr>
      <w:r>
        <w:rPr>
          <w:rFonts w:hint="default"/>
          <w:u w:val="single"/>
          <w:lang w:val="es-ES"/>
        </w:rPr>
        <w:t xml:space="preserve">ARTICULO 1: Mediante la presente Ordenanza se establece la politica para la concesión de subvención parcial de las tasas cuatrimestrales de agua , basura y alcantarillado , siempre y cuándo cumplan con los siguientes requisito </w:t>
      </w:r>
    </w:p>
    <w:p>
      <w:pPr>
        <w:jc w:val="left"/>
        <w:rPr>
          <w:rFonts w:hint="default"/>
          <w:b/>
          <w:bCs/>
          <w:lang w:val="es-ES"/>
        </w:rPr>
      </w:pPr>
    </w:p>
    <w:p>
      <w:pPr>
        <w:jc w:val="left"/>
        <w:rPr>
          <w:rFonts w:hint="default"/>
          <w:b/>
          <w:bCs/>
          <w:lang w:val="es-ES"/>
        </w:rPr>
      </w:pPr>
      <w:r>
        <w:rPr>
          <w:rFonts w:hint="default"/>
          <w:b/>
          <w:bCs/>
          <w:lang w:val="es-ES"/>
        </w:rPr>
        <w:t>Artículo 2: Personas beneficiarias :</w:t>
      </w:r>
    </w:p>
    <w:p>
      <w:pPr>
        <w:jc w:val="left"/>
        <w:rPr>
          <w:rFonts w:hint="default"/>
          <w:lang w:val="es-ES"/>
        </w:rPr>
      </w:pPr>
    </w:p>
    <w:p>
      <w:pPr>
        <w:jc w:val="left"/>
        <w:rPr>
          <w:rFonts w:hint="default"/>
          <w:lang w:val="es-ES"/>
        </w:rPr>
      </w:pPr>
      <w:r>
        <w:rPr>
          <w:rFonts w:hint="default"/>
          <w:lang w:val="es-ES"/>
        </w:rPr>
        <w:t>Será preciso el cumplimiento de los condicionantes siguientes :</w:t>
      </w:r>
    </w:p>
    <w:p>
      <w:pPr>
        <w:numPr>
          <w:ilvl w:val="0"/>
          <w:numId w:val="1"/>
        </w:numPr>
        <w:ind w:left="420" w:leftChars="0" w:hanging="420" w:firstLineChars="0"/>
        <w:jc w:val="left"/>
        <w:rPr>
          <w:rFonts w:hint="default"/>
          <w:lang w:val="es-ES"/>
        </w:rPr>
      </w:pPr>
      <w:r>
        <w:rPr>
          <w:rFonts w:hint="default"/>
          <w:lang w:val="es-ES"/>
        </w:rPr>
        <w:t>Ser vecino en el Municipio de Bárcena de Campos .</w:t>
      </w:r>
    </w:p>
    <w:p>
      <w:pPr>
        <w:numPr>
          <w:ilvl w:val="0"/>
          <w:numId w:val="2"/>
        </w:numPr>
        <w:ind w:left="420" w:leftChars="0" w:hanging="420" w:firstLineChars="0"/>
        <w:jc w:val="left"/>
        <w:rPr>
          <w:rFonts w:hint="default"/>
          <w:lang w:val="es-ES"/>
        </w:rPr>
      </w:pPr>
      <w:r>
        <w:rPr>
          <w:rFonts w:hint="default"/>
          <w:lang w:val="es-ES"/>
        </w:rPr>
        <w:t xml:space="preserve">La ayuda será destinada a subvencionar la mitad  de la tasa de agua, basura y alcantarillado que se cobra cuatrimestralmente tal y cómo consta en la Ordenanza fiscales </w:t>
      </w:r>
    </w:p>
    <w:p>
      <w:pPr>
        <w:numPr>
          <w:ilvl w:val="0"/>
          <w:numId w:val="2"/>
        </w:numPr>
        <w:ind w:left="420" w:leftChars="0" w:hanging="420" w:firstLineChars="0"/>
        <w:jc w:val="left"/>
        <w:rPr>
          <w:rFonts w:hint="default"/>
          <w:lang w:val="es-ES"/>
        </w:rPr>
      </w:pPr>
      <w:r>
        <w:rPr>
          <w:rFonts w:hint="default"/>
          <w:lang w:val="es-ES"/>
        </w:rPr>
        <w:t xml:space="preserve">De conformidad con lo establecido en la Ley 38/2003 de 17 de Noviembre , general de Subvenciones  los/as personas beneficiñarias de estas ayudas deberán hallarse al corriente en el cumplimiento de las obligaciones tributarias con la Hacienda  Local del AYUNTAMIENTO DE BÁRCENA DE CAMPOS , con carácter previo a que se dicte la resolución de concesión de las mismas . A estos efectos se entenderá por hallarse al corriente del citado cumplimiento la inexistencia de deuda vencida en periodo voluntario y no pagada, o en su caso , que la citada deuda se encuentra sujeta a un plan de pagos por aplazamiento o fraccionamiento ante la Recaudación Municipal , sin que sobre el mismo exista incumplimiento </w:t>
      </w:r>
    </w:p>
    <w:p>
      <w:pPr>
        <w:numPr>
          <w:numId w:val="0"/>
        </w:numPr>
        <w:jc w:val="left"/>
        <w:rPr>
          <w:rFonts w:hint="default"/>
          <w:lang w:val="es-ES"/>
        </w:rPr>
      </w:pPr>
    </w:p>
    <w:p>
      <w:pPr>
        <w:numPr>
          <w:numId w:val="0"/>
        </w:numPr>
        <w:jc w:val="left"/>
        <w:rPr>
          <w:rFonts w:hint="default"/>
          <w:b/>
          <w:bCs/>
          <w:lang w:val="es-ES"/>
        </w:rPr>
      </w:pPr>
      <w:r>
        <w:rPr>
          <w:rFonts w:hint="default"/>
          <w:b/>
          <w:bCs/>
          <w:lang w:val="es-ES"/>
        </w:rPr>
        <w:t>Artículo 3: Cuantía de la subvención .</w:t>
      </w:r>
    </w:p>
    <w:p>
      <w:pPr>
        <w:numPr>
          <w:ilvl w:val="0"/>
          <w:numId w:val="2"/>
        </w:numPr>
        <w:ind w:left="420" w:leftChars="0" w:hanging="420" w:firstLineChars="0"/>
        <w:jc w:val="left"/>
        <w:rPr>
          <w:rFonts w:hint="default"/>
          <w:lang w:val="es-ES"/>
        </w:rPr>
      </w:pPr>
      <w:r>
        <w:rPr>
          <w:rFonts w:hint="default"/>
          <w:lang w:val="es-ES"/>
        </w:rPr>
        <w:t xml:space="preserve">La consignación anual de las subvenciones estará recogida en el presupuesto municipal de Bárcena . De tal forma que si la cuantía resultara insuficiente para satisfacer la solicitud de la subvención de todas las personas que tuviesen derecho a ella , se procederá , previo informe de intervención , a realizar una incorporación de crédito en la mencionada partida </w:t>
      </w:r>
    </w:p>
    <w:p>
      <w:pPr>
        <w:numPr>
          <w:numId w:val="0"/>
        </w:numPr>
        <w:jc w:val="left"/>
        <w:rPr>
          <w:rFonts w:hint="default"/>
          <w:lang w:val="es-ES"/>
        </w:rPr>
      </w:pPr>
      <w:r>
        <w:rPr>
          <w:rFonts w:hint="default"/>
          <w:b/>
          <w:bCs/>
          <w:lang w:val="es-ES"/>
        </w:rPr>
        <w:t xml:space="preserve">Artículo 4 : Plazo y lugar de presentación de solicitudes </w:t>
      </w:r>
    </w:p>
    <w:p>
      <w:pPr>
        <w:numPr>
          <w:numId w:val="0"/>
        </w:numPr>
        <w:jc w:val="left"/>
        <w:rPr>
          <w:rFonts w:hint="default"/>
          <w:lang w:val="es-ES"/>
        </w:rPr>
      </w:pPr>
    </w:p>
    <w:p>
      <w:pPr>
        <w:numPr>
          <w:numId w:val="0"/>
        </w:numPr>
        <w:jc w:val="left"/>
        <w:rPr>
          <w:rFonts w:hint="default"/>
          <w:lang w:val="es-ES"/>
        </w:rPr>
      </w:pPr>
      <w:r>
        <w:rPr>
          <w:rFonts w:hint="default"/>
          <w:lang w:val="es-ES"/>
        </w:rPr>
        <w:t>Las solicitudes deberán ser presentadas en el Registro Municipal de Bárcena de Campos . Cuándo la solicitud no acompañe la documentación que de acuerdo a esta ordenanza resulte exigible , se requerirá al interesado para que en el plazo de 10 días subsane la falta o acompañe los documentos preceptivos, con indicación  de que si así no lo hiciere , se le tendrá por desistido la petición .</w:t>
      </w:r>
    </w:p>
    <w:p>
      <w:pPr>
        <w:numPr>
          <w:numId w:val="0"/>
        </w:numPr>
        <w:jc w:val="left"/>
        <w:rPr>
          <w:rFonts w:hint="default"/>
          <w:lang w:val="es-ES"/>
        </w:rPr>
      </w:pPr>
    </w:p>
    <w:p>
      <w:pPr>
        <w:numPr>
          <w:numId w:val="0"/>
        </w:numPr>
        <w:jc w:val="left"/>
        <w:rPr>
          <w:rFonts w:hint="default"/>
          <w:b/>
          <w:bCs/>
          <w:lang w:val="es-ES"/>
        </w:rPr>
      </w:pPr>
      <w:r>
        <w:rPr>
          <w:rFonts w:hint="default"/>
          <w:b/>
          <w:bCs/>
          <w:lang w:val="es-ES"/>
        </w:rPr>
        <w:t>Artículo 5: Documentación requerida :</w:t>
      </w:r>
    </w:p>
    <w:p>
      <w:pPr>
        <w:numPr>
          <w:numId w:val="0"/>
        </w:numPr>
        <w:jc w:val="left"/>
        <w:rPr>
          <w:rFonts w:hint="default"/>
          <w:lang w:val="es-ES"/>
        </w:rPr>
      </w:pPr>
    </w:p>
    <w:p>
      <w:pPr>
        <w:numPr>
          <w:ilvl w:val="0"/>
          <w:numId w:val="3"/>
        </w:numPr>
        <w:tabs>
          <w:tab w:val="clear" w:pos="425"/>
        </w:tabs>
        <w:ind w:left="425" w:leftChars="0" w:hanging="425" w:firstLineChars="0"/>
        <w:jc w:val="left"/>
        <w:rPr>
          <w:rFonts w:hint="default"/>
          <w:lang w:val="es-ES"/>
        </w:rPr>
      </w:pPr>
      <w:r>
        <w:rPr>
          <w:rFonts w:hint="default"/>
          <w:lang w:val="es-ES"/>
        </w:rPr>
        <w:t>La persona solicitante deberá acompañar a la instancia de petición de subvención la siguiente documentación :</w:t>
      </w:r>
    </w:p>
    <w:p>
      <w:pPr>
        <w:numPr>
          <w:ilvl w:val="1"/>
          <w:numId w:val="3"/>
        </w:numPr>
        <w:tabs>
          <w:tab w:val="clear" w:pos="840"/>
        </w:tabs>
        <w:ind w:left="845" w:leftChars="0" w:hanging="425" w:firstLineChars="0"/>
        <w:jc w:val="left"/>
        <w:rPr>
          <w:rFonts w:hint="default"/>
          <w:lang w:val="es-ES"/>
        </w:rPr>
      </w:pPr>
      <w:r>
        <w:rPr>
          <w:rFonts w:hint="default"/>
          <w:lang w:val="es-ES"/>
        </w:rPr>
        <w:t xml:space="preserve">Impreso de solicitud debidamente cumplimentado . </w:t>
      </w:r>
    </w:p>
    <w:p>
      <w:pPr>
        <w:numPr>
          <w:ilvl w:val="1"/>
          <w:numId w:val="3"/>
        </w:numPr>
        <w:tabs>
          <w:tab w:val="clear" w:pos="840"/>
        </w:tabs>
        <w:ind w:left="845" w:leftChars="0" w:hanging="425" w:firstLineChars="0"/>
        <w:jc w:val="left"/>
        <w:rPr>
          <w:rFonts w:hint="default"/>
          <w:lang w:val="es-ES"/>
        </w:rPr>
      </w:pPr>
      <w:r>
        <w:rPr>
          <w:rFonts w:hint="default"/>
          <w:lang w:val="es-ES"/>
        </w:rPr>
        <w:t xml:space="preserve">Fotocopia del DNI de la persona solicitante </w:t>
      </w:r>
    </w:p>
    <w:p>
      <w:pPr>
        <w:numPr>
          <w:ilvl w:val="1"/>
          <w:numId w:val="3"/>
        </w:numPr>
        <w:tabs>
          <w:tab w:val="clear" w:pos="840"/>
        </w:tabs>
        <w:ind w:left="845" w:leftChars="0" w:hanging="425" w:firstLineChars="0"/>
        <w:jc w:val="left"/>
        <w:rPr>
          <w:rFonts w:hint="default"/>
          <w:lang w:val="es-ES"/>
        </w:rPr>
      </w:pPr>
      <w:r>
        <w:rPr>
          <w:rFonts w:hint="default"/>
          <w:lang w:val="es-ES"/>
        </w:rPr>
        <w:t xml:space="preserve">Acreditación de la titularidad del bien inmueble sobre el que se va a proceder a ser beneficiario de la subvención </w:t>
      </w:r>
    </w:p>
    <w:p>
      <w:pPr>
        <w:numPr>
          <w:numId w:val="0"/>
        </w:numPr>
        <w:ind w:leftChars="0"/>
        <w:jc w:val="left"/>
        <w:rPr>
          <w:rFonts w:hint="default"/>
          <w:lang w:val="es-ES"/>
        </w:rPr>
      </w:pPr>
    </w:p>
    <w:p>
      <w:pPr>
        <w:numPr>
          <w:numId w:val="0"/>
        </w:numPr>
        <w:ind w:leftChars="0"/>
        <w:jc w:val="left"/>
        <w:rPr>
          <w:rFonts w:hint="default"/>
          <w:lang w:val="es-ES"/>
        </w:rPr>
      </w:pPr>
      <w:r>
        <w:rPr>
          <w:rFonts w:hint="default"/>
          <w:b/>
          <w:bCs/>
          <w:lang w:val="es-ES"/>
        </w:rPr>
        <w:t>Artículo 6: Procedimiento de concesión .</w:t>
      </w:r>
      <w:r>
        <w:rPr>
          <w:rFonts w:hint="default"/>
          <w:lang w:val="es-ES"/>
        </w:rPr>
        <w:t xml:space="preserve"> </w:t>
      </w:r>
    </w:p>
    <w:p>
      <w:pPr>
        <w:numPr>
          <w:numId w:val="0"/>
        </w:numPr>
        <w:ind w:leftChars="0"/>
        <w:jc w:val="left"/>
        <w:rPr>
          <w:rFonts w:hint="default"/>
          <w:lang w:val="es-ES"/>
        </w:rPr>
      </w:pPr>
      <w:r>
        <w:rPr>
          <w:rFonts w:hint="default"/>
          <w:lang w:val="es-ES"/>
        </w:rPr>
        <w:t>El procedimiento de concesión será de forma directa .</w:t>
      </w:r>
    </w:p>
    <w:p>
      <w:pPr>
        <w:numPr>
          <w:numId w:val="0"/>
        </w:numPr>
        <w:ind w:leftChars="0"/>
        <w:jc w:val="left"/>
        <w:rPr>
          <w:rFonts w:hint="default"/>
          <w:lang w:val="es-ES"/>
        </w:rPr>
      </w:pPr>
    </w:p>
    <w:p>
      <w:pPr>
        <w:numPr>
          <w:numId w:val="0"/>
        </w:numPr>
        <w:ind w:leftChars="0"/>
        <w:jc w:val="left"/>
        <w:rPr>
          <w:rFonts w:hint="default"/>
          <w:b/>
          <w:bCs/>
          <w:lang w:val="es-ES"/>
        </w:rPr>
      </w:pPr>
    </w:p>
    <w:p>
      <w:pPr>
        <w:numPr>
          <w:numId w:val="0"/>
        </w:numPr>
        <w:ind w:leftChars="0"/>
        <w:jc w:val="left"/>
        <w:rPr>
          <w:rFonts w:hint="default"/>
          <w:b/>
          <w:bCs/>
          <w:lang w:val="es-ES"/>
        </w:rPr>
      </w:pPr>
    </w:p>
    <w:p>
      <w:pPr>
        <w:numPr>
          <w:numId w:val="0"/>
        </w:numPr>
        <w:ind w:leftChars="0"/>
        <w:jc w:val="left"/>
        <w:rPr>
          <w:rFonts w:hint="default"/>
          <w:b/>
          <w:bCs/>
          <w:lang w:val="es-ES"/>
        </w:rPr>
      </w:pPr>
    </w:p>
    <w:p>
      <w:pPr>
        <w:numPr>
          <w:numId w:val="0"/>
        </w:numPr>
        <w:ind w:leftChars="0"/>
        <w:jc w:val="left"/>
        <w:rPr>
          <w:rFonts w:hint="default"/>
          <w:b/>
          <w:bCs/>
          <w:lang w:val="es-ES"/>
        </w:rPr>
      </w:pPr>
    </w:p>
    <w:p>
      <w:pPr>
        <w:numPr>
          <w:numId w:val="0"/>
        </w:numPr>
        <w:ind w:leftChars="0"/>
        <w:jc w:val="left"/>
        <w:rPr>
          <w:rFonts w:hint="default"/>
          <w:b/>
          <w:bCs/>
          <w:lang w:val="es-ES"/>
        </w:rPr>
      </w:pPr>
    </w:p>
    <w:p>
      <w:pPr>
        <w:numPr>
          <w:numId w:val="0"/>
        </w:numPr>
        <w:ind w:leftChars="0"/>
        <w:jc w:val="left"/>
        <w:rPr>
          <w:rFonts w:hint="default"/>
          <w:b/>
          <w:bCs/>
          <w:lang w:val="es-ES"/>
        </w:rPr>
      </w:pPr>
    </w:p>
    <w:p>
      <w:pPr>
        <w:numPr>
          <w:numId w:val="0"/>
        </w:numPr>
        <w:ind w:leftChars="0"/>
        <w:jc w:val="left"/>
        <w:rPr>
          <w:rFonts w:hint="default"/>
          <w:b/>
          <w:bCs/>
          <w:lang w:val="es-ES"/>
        </w:rPr>
      </w:pPr>
      <w:r>
        <w:rPr>
          <w:rFonts w:hint="default"/>
          <w:b/>
          <w:bCs/>
          <w:lang w:val="es-ES"/>
        </w:rPr>
        <w:t>Artículo 7 :Tramitación de la subvención .</w:t>
      </w:r>
    </w:p>
    <w:p>
      <w:pPr>
        <w:numPr>
          <w:numId w:val="0"/>
        </w:numPr>
        <w:ind w:leftChars="0"/>
        <w:jc w:val="left"/>
        <w:rPr>
          <w:rFonts w:hint="default"/>
          <w:lang w:val="es-ES"/>
        </w:rPr>
      </w:pPr>
    </w:p>
    <w:p>
      <w:pPr>
        <w:numPr>
          <w:numId w:val="0"/>
        </w:numPr>
        <w:ind w:leftChars="0"/>
        <w:jc w:val="left"/>
        <w:rPr>
          <w:rFonts w:hint="default"/>
          <w:lang w:val="es-ES"/>
        </w:rPr>
      </w:pPr>
      <w:r>
        <w:rPr>
          <w:rFonts w:hint="default"/>
          <w:lang w:val="es-ES"/>
        </w:rPr>
        <w:tab/>
        <w:t>Una vez examinadas las diversas solicitudes presentadas , se procederá a la concesión de la subvención directa .</w:t>
      </w:r>
    </w:p>
    <w:p>
      <w:pPr>
        <w:numPr>
          <w:numId w:val="0"/>
        </w:numPr>
        <w:ind w:leftChars="0"/>
        <w:jc w:val="left"/>
        <w:rPr>
          <w:rFonts w:hint="default"/>
          <w:lang w:val="es-ES"/>
        </w:rPr>
      </w:pPr>
    </w:p>
    <w:p>
      <w:pPr>
        <w:numPr>
          <w:numId w:val="0"/>
        </w:numPr>
        <w:ind w:leftChars="0"/>
        <w:jc w:val="left"/>
        <w:rPr>
          <w:rFonts w:hint="default"/>
          <w:lang w:val="es-ES"/>
        </w:rPr>
      </w:pPr>
    </w:p>
    <w:p>
      <w:pPr>
        <w:numPr>
          <w:numId w:val="0"/>
        </w:numPr>
        <w:ind w:leftChars="0"/>
        <w:jc w:val="left"/>
        <w:rPr>
          <w:rFonts w:hint="default"/>
          <w:lang w:val="es-ES"/>
        </w:rPr>
      </w:pPr>
    </w:p>
    <w:p>
      <w:pPr>
        <w:numPr>
          <w:numId w:val="0"/>
        </w:numPr>
        <w:ind w:leftChars="0"/>
        <w:jc w:val="left"/>
        <w:rPr>
          <w:rFonts w:hint="default"/>
          <w:b/>
          <w:bCs/>
          <w:lang w:val="es-ES"/>
        </w:rPr>
      </w:pPr>
      <w:r>
        <w:rPr>
          <w:rFonts w:hint="default"/>
          <w:b/>
          <w:bCs/>
          <w:lang w:val="es-ES"/>
        </w:rPr>
        <w:t>Artículo 8: Organos competentes .</w:t>
      </w:r>
    </w:p>
    <w:p>
      <w:pPr>
        <w:numPr>
          <w:numId w:val="0"/>
        </w:numPr>
        <w:ind w:leftChars="0"/>
        <w:jc w:val="left"/>
        <w:rPr>
          <w:rFonts w:hint="default"/>
          <w:lang w:val="es-ES"/>
        </w:rPr>
      </w:pPr>
      <w:r>
        <w:rPr>
          <w:rFonts w:hint="default"/>
          <w:lang w:val="es-ES"/>
        </w:rPr>
        <w:t>El órgano competente para la concesión de la Subvención en el Pleno(Asamblea Vecinal ) del Ayuntamiento de Bárcena de Campos .</w:t>
      </w:r>
    </w:p>
    <w:p>
      <w:pPr>
        <w:numPr>
          <w:numId w:val="0"/>
        </w:numPr>
        <w:ind w:leftChars="0"/>
        <w:jc w:val="left"/>
        <w:rPr>
          <w:rFonts w:hint="default"/>
          <w:lang w:val="es-ES"/>
        </w:rPr>
      </w:pPr>
    </w:p>
    <w:p>
      <w:pPr>
        <w:numPr>
          <w:numId w:val="0"/>
        </w:numPr>
        <w:ind w:leftChars="0"/>
        <w:jc w:val="left"/>
        <w:rPr>
          <w:rFonts w:hint="default"/>
          <w:b/>
          <w:bCs/>
          <w:lang w:val="es-ES"/>
        </w:rPr>
      </w:pPr>
      <w:r>
        <w:rPr>
          <w:rFonts w:hint="default"/>
          <w:b/>
          <w:bCs/>
          <w:lang w:val="es-ES"/>
        </w:rPr>
        <w:t>Artículo 9: Pago de la subvención .</w:t>
      </w:r>
      <w:bookmarkStart w:id="0" w:name="_GoBack"/>
      <w:bookmarkEnd w:id="0"/>
    </w:p>
    <w:p>
      <w:pPr>
        <w:numPr>
          <w:numId w:val="0"/>
        </w:numPr>
        <w:ind w:leftChars="0"/>
        <w:jc w:val="left"/>
        <w:rPr>
          <w:rFonts w:hint="default"/>
          <w:b/>
          <w:bCs/>
          <w:lang w:val="es-ES"/>
        </w:rPr>
      </w:pPr>
    </w:p>
    <w:p>
      <w:pPr>
        <w:numPr>
          <w:numId w:val="0"/>
        </w:numPr>
        <w:ind w:leftChars="0"/>
        <w:jc w:val="left"/>
        <w:rPr>
          <w:rFonts w:hint="default"/>
          <w:lang w:val="es-ES"/>
        </w:rPr>
      </w:pPr>
      <w:r>
        <w:rPr>
          <w:rFonts w:hint="default"/>
          <w:lang w:val="es-ES"/>
        </w:rPr>
        <w:t>En el momento de la aprobación se realizará el pago . El pago se realizará mediante el ingreso en el número de cuenta facilitado por la persona beneficiaria .</w:t>
      </w:r>
    </w:p>
    <w:p>
      <w:pPr>
        <w:numPr>
          <w:numId w:val="0"/>
        </w:numPr>
        <w:ind w:leftChars="0"/>
        <w:jc w:val="left"/>
        <w:rPr>
          <w:rFonts w:hint="default"/>
          <w:lang w:val="es-ES"/>
        </w:rPr>
      </w:pPr>
    </w:p>
    <w:p>
      <w:pPr>
        <w:numPr>
          <w:numId w:val="0"/>
        </w:numPr>
        <w:ind w:leftChars="0"/>
        <w:jc w:val="left"/>
        <w:rPr>
          <w:rFonts w:hint="default"/>
          <w:lang w:val="es-ES"/>
        </w:rPr>
      </w:pPr>
      <w:r>
        <w:rPr>
          <w:rFonts w:hint="default"/>
          <w:b/>
          <w:bCs/>
          <w:lang w:val="es-ES"/>
        </w:rPr>
        <w:t xml:space="preserve">Artículo 10 : Modificación de circunstancias </w:t>
      </w:r>
    </w:p>
    <w:p>
      <w:pPr>
        <w:numPr>
          <w:numId w:val="0"/>
        </w:numPr>
        <w:ind w:leftChars="0"/>
        <w:jc w:val="left"/>
        <w:rPr>
          <w:rFonts w:hint="default"/>
          <w:lang w:val="es-ES"/>
        </w:rPr>
      </w:pPr>
    </w:p>
    <w:p>
      <w:pPr>
        <w:numPr>
          <w:numId w:val="0"/>
        </w:numPr>
        <w:ind w:leftChars="0"/>
        <w:jc w:val="left"/>
        <w:rPr>
          <w:rFonts w:hint="default"/>
          <w:lang w:val="es-ES"/>
        </w:rPr>
      </w:pPr>
      <w:r>
        <w:rPr>
          <w:rFonts w:hint="default"/>
          <w:lang w:val="es-ES"/>
        </w:rPr>
        <w:t xml:space="preserve">La modificación sustancial de las condiciones tenidas en cuenta para el otorgamiento de la subvención podrá dar lugar a la modificación de la resolución </w:t>
      </w:r>
    </w:p>
    <w:p>
      <w:pPr>
        <w:numPr>
          <w:numId w:val="0"/>
        </w:numPr>
        <w:ind w:leftChars="0"/>
        <w:jc w:val="left"/>
        <w:rPr>
          <w:rFonts w:hint="default"/>
          <w:lang w:val="es-ES"/>
        </w:rPr>
      </w:pPr>
    </w:p>
    <w:p>
      <w:pPr>
        <w:numPr>
          <w:numId w:val="0"/>
        </w:numPr>
        <w:ind w:leftChars="0"/>
        <w:jc w:val="left"/>
        <w:rPr>
          <w:rFonts w:hint="default"/>
          <w:lang w:val="es-ES"/>
        </w:rPr>
      </w:pPr>
      <w:r>
        <w:rPr>
          <w:rFonts w:hint="default"/>
          <w:lang w:val="es-ES"/>
        </w:rPr>
        <w:t xml:space="preserve">Artículo 11: Compatibilidad con otras subvenciones o ingresos </w:t>
      </w:r>
    </w:p>
    <w:p>
      <w:pPr>
        <w:numPr>
          <w:numId w:val="0"/>
        </w:numPr>
        <w:ind w:leftChars="0"/>
        <w:jc w:val="left"/>
        <w:rPr>
          <w:rFonts w:hint="default"/>
          <w:lang w:val="es-ES"/>
        </w:rPr>
      </w:pPr>
    </w:p>
    <w:p>
      <w:pPr>
        <w:numPr>
          <w:numId w:val="0"/>
        </w:numPr>
        <w:ind w:leftChars="0"/>
        <w:jc w:val="left"/>
        <w:rPr>
          <w:rFonts w:hint="default"/>
          <w:lang w:val="es-ES"/>
        </w:rPr>
      </w:pPr>
      <w:r>
        <w:rPr>
          <w:rFonts w:hint="default"/>
          <w:lang w:val="es-ES"/>
        </w:rPr>
        <w:t xml:space="preserve">Estas ayudas no son compatibles con las otorgadas por otros organismos para la misma finalidad </w:t>
      </w:r>
    </w:p>
    <w:p>
      <w:pPr>
        <w:numPr>
          <w:numId w:val="0"/>
        </w:numPr>
        <w:ind w:leftChars="0"/>
        <w:jc w:val="left"/>
        <w:rPr>
          <w:rFonts w:hint="default"/>
          <w:lang w:val="es-ES"/>
        </w:rPr>
      </w:pPr>
    </w:p>
    <w:p>
      <w:pPr>
        <w:numPr>
          <w:numId w:val="0"/>
        </w:numPr>
        <w:ind w:leftChars="0"/>
        <w:jc w:val="left"/>
        <w:rPr>
          <w:rFonts w:hint="default"/>
          <w:lang w:val="es-ES"/>
        </w:rPr>
      </w:pPr>
      <w:r>
        <w:rPr>
          <w:rFonts w:hint="default"/>
          <w:lang w:val="es-ES"/>
        </w:rPr>
        <w:t xml:space="preserve">Artículo 12: Normativa reguladora </w:t>
      </w:r>
    </w:p>
    <w:p>
      <w:pPr>
        <w:numPr>
          <w:numId w:val="0"/>
        </w:numPr>
        <w:ind w:leftChars="0"/>
        <w:jc w:val="left"/>
        <w:rPr>
          <w:rFonts w:hint="default"/>
          <w:lang w:val="es-ES"/>
        </w:rPr>
      </w:pPr>
    </w:p>
    <w:p>
      <w:pPr>
        <w:numPr>
          <w:numId w:val="0"/>
        </w:numPr>
        <w:ind w:leftChars="0"/>
        <w:jc w:val="left"/>
        <w:rPr>
          <w:rFonts w:hint="default"/>
          <w:lang w:val="es-ES"/>
        </w:rPr>
      </w:pPr>
      <w:r>
        <w:rPr>
          <w:rFonts w:hint="default"/>
          <w:lang w:val="es-ES"/>
        </w:rPr>
        <w:t>Además de la presente Ordenanza, las subvenciones se regirán por lo dispuesto en la Ley 38/2003 de 17 de Noviembre, general de subvencnioens y su reglamento .</w:t>
      </w:r>
    </w:p>
    <w:p>
      <w:pPr>
        <w:numPr>
          <w:numId w:val="0"/>
        </w:numPr>
        <w:ind w:leftChars="0"/>
        <w:jc w:val="left"/>
        <w:rPr>
          <w:rFonts w:hint="default"/>
          <w:lang w:val="es-ES"/>
        </w:rPr>
      </w:pPr>
    </w:p>
    <w:p>
      <w:pPr>
        <w:numPr>
          <w:numId w:val="0"/>
        </w:numPr>
        <w:ind w:leftChars="0"/>
        <w:jc w:val="left"/>
        <w:rPr>
          <w:rFonts w:hint="default"/>
          <w:lang w:val="es-ES"/>
        </w:rPr>
      </w:pPr>
      <w:r>
        <w:rPr>
          <w:rFonts w:hint="default"/>
          <w:lang w:val="es-ES"/>
        </w:rPr>
        <w:t xml:space="preserve">APROBACIÓN Y VIGENCIA : La presente subvención ha sido objeto de aprobación en el Ayuntamiento de Bárcena de Campos en el Pleno del día 4 de Diciembre de 2022, entrará en vigor desde su publicación en la sede electrónica y en la Base general de Subvenciones , hasta que se acuerde su modificación o derogación </w:t>
      </w:r>
    </w:p>
    <w:p>
      <w:pPr>
        <w:jc w:val="left"/>
        <w:rPr>
          <w:rFonts w:hint="default"/>
          <w:lang w:val="es-ES"/>
        </w:rPr>
      </w:pPr>
    </w:p>
    <w:sectPr>
      <w:headerReference r:id="rId3" w:type="default"/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rPr>
        <w:rFonts w:hint="default"/>
        <w:lang w:val="es-ES"/>
      </w:rPr>
    </w:pPr>
    <w:r>
      <w:rPr>
        <w:rFonts w:hint="default"/>
        <w:lang w:val="es-ES"/>
      </w:rPr>
      <w:t>AYUNTAMIENTO DE BARCENA DE CAMPOS</w:t>
    </w:r>
  </w:p>
  <w:p>
    <w:pPr>
      <w:pStyle w:val="4"/>
      <w:rPr>
        <w:rFonts w:hint="default"/>
        <w:lang w:val="es-ES"/>
      </w:rPr>
    </w:pPr>
    <w:r>
      <w:rPr>
        <w:rFonts w:hint="default"/>
        <w:lang w:val="es-ES"/>
      </w:rPr>
      <w:t>CALLE ENCARNACION CASTRILLO S/N</w:t>
    </w:r>
  </w:p>
  <w:p>
    <w:pPr>
      <w:pStyle w:val="4"/>
      <w:rPr>
        <w:rFonts w:hint="default"/>
        <w:lang w:val="es-ES"/>
      </w:rPr>
    </w:pPr>
    <w:r>
      <w:rPr>
        <w:rFonts w:hint="default"/>
        <w:lang w:val="es-ES"/>
      </w:rPr>
      <w:t>BARCENA DE CAMPOS(PALENIA).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59A6BD0"/>
    <w:multiLevelType w:val="multilevel"/>
    <w:tmpl w:val="B59A6BD0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leftChars="0" w:hanging="420" w:firstLineChars="0"/>
      </w:pPr>
      <w:rPr>
        <w:rFonts w:hint="default"/>
      </w:rPr>
    </w:lvl>
    <w:lvl w:ilvl="2" w:tentative="0">
      <w:start w:val="1"/>
      <w:numFmt w:val="lowerRoman"/>
      <w:lvlText w:val="%3."/>
      <w:lvlJc w:val="left"/>
      <w:pPr>
        <w:tabs>
          <w:tab w:val="left" w:pos="1260"/>
        </w:tabs>
        <w:ind w:left="1260" w:leftChars="0" w:hanging="420" w:firstLineChars="0"/>
      </w:pPr>
      <w:rPr>
        <w:rFonts w:hint="default"/>
      </w:r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leftChars="0" w:hanging="420" w:firstLineChars="0"/>
      </w:pPr>
      <w:rPr>
        <w:rFonts w:hint="default"/>
      </w:r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leftChars="0" w:hanging="420" w:firstLineChars="0"/>
      </w:pPr>
      <w:rPr>
        <w:rFonts w:hint="default"/>
      </w:rPr>
    </w:lvl>
    <w:lvl w:ilvl="5" w:tentative="0">
      <w:start w:val="1"/>
      <w:numFmt w:val="lowerRoman"/>
      <w:lvlText w:val="%6."/>
      <w:lvlJc w:val="left"/>
      <w:pPr>
        <w:tabs>
          <w:tab w:val="left" w:pos="2520"/>
        </w:tabs>
        <w:ind w:left="2520" w:leftChars="0" w:hanging="420" w:firstLineChars="0"/>
      </w:pPr>
      <w:rPr>
        <w:rFonts w:hint="default"/>
      </w:r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leftChars="0" w:hanging="420" w:firstLineChars="0"/>
      </w:pPr>
      <w:rPr>
        <w:rFonts w:hint="default"/>
      </w:r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leftChars="0" w:hanging="420" w:firstLineChars="0"/>
      </w:pPr>
      <w:rPr>
        <w:rFonts w:hint="default"/>
      </w:rPr>
    </w:lvl>
    <w:lvl w:ilvl="8" w:tentative="0">
      <w:start w:val="1"/>
      <w:numFmt w:val="lowerRoman"/>
      <w:lvlText w:val="%9."/>
      <w:lvlJc w:val="left"/>
      <w:pPr>
        <w:tabs>
          <w:tab w:val="left" w:pos="3780"/>
        </w:tabs>
        <w:ind w:left="3780" w:leftChars="0" w:hanging="420" w:firstLineChars="0"/>
      </w:pPr>
      <w:rPr>
        <w:rFonts w:hint="default"/>
      </w:rPr>
    </w:lvl>
  </w:abstractNum>
  <w:abstractNum w:abstractNumId="1">
    <w:nsid w:val="1031628F"/>
    <w:multiLevelType w:val="singleLevel"/>
    <w:tmpl w:val="1031628F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2">
    <w:nsid w:val="37EE2246"/>
    <w:multiLevelType w:val="singleLevel"/>
    <w:tmpl w:val="37EE2246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2991307"/>
    <w:rsid w:val="06E1636C"/>
    <w:rsid w:val="262A05E2"/>
    <w:rsid w:val="2F764E57"/>
    <w:rsid w:val="41750CAA"/>
    <w:rsid w:val="42991307"/>
    <w:rsid w:val="58E24E95"/>
    <w:rsid w:val="6B0B69BA"/>
    <w:rsid w:val="7EF33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header"/>
    <w:basedOn w:val="1"/>
    <w:uiPriority w:val="0"/>
    <w:pPr>
      <w:tabs>
        <w:tab w:val="center" w:pos="4153"/>
        <w:tab w:val="right" w:pos="8306"/>
      </w:tabs>
    </w:pPr>
  </w:style>
  <w:style w:type="paragraph" w:styleId="5">
    <w:name w:val="footer"/>
    <w:basedOn w:val="1"/>
    <w:uiPriority w:val="0"/>
    <w:pPr>
      <w:tabs>
        <w:tab w:val="center" w:pos="4153"/>
        <w:tab w:val="right" w:pos="8306"/>
      </w:tabs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335</TotalTime>
  <ScaleCrop>false</ScaleCrop>
  <LinksUpToDate>false</LinksUpToDate>
  <CharactersWithSpaces>0</CharactersWithSpaces>
  <Application>WPS Office_11.2.0.11440_F1E327BC-269C-435d-A152-05C5408002CA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2022-12-18T07:40:00Z</dcterms:created>
  <dc:creator>Usuario</dc:creator>
  <cp:lastModifiedBy>Usuario</cp:lastModifiedBy>
  <dcterms:modified xsi:type="dcterms:W3CDTF">2022-12-19T15:31:44Z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3082-11.2.0.11440</vt:lpwstr>
  </property>
  <property fmtid="{D5CDD505-2E9C-101B-9397-08002B2CF9AE}" pid="3" name="ICV">
    <vt:lpwstr>3C68A96431CD48C4BFEA3DD46BA0689F</vt:lpwstr>
  </property>
</Properties>
</file>