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gif" ContentType="image/gif"/>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Times New Roman" w:hAnsi="Times New Roman"/>
          <w:b/>
          <w:b/>
        </w:rPr>
      </w:pPr>
      <w:r>
        <w:rPr>
          <w:rFonts w:ascii="Times New Roman" w:hAnsi="Times New Roman"/>
          <w:b/>
        </w:rPr>
        <w:t xml:space="preserve">BASES REGULADORAS Y CONVOCATORIA PARA LA CONCESIÓN DE SUBVENCIONES, EN RÉGIMEN DE CONCURRENCIA COMPETITIVA,  A CENTROS, ENTIDADES O ASOCIACIONES </w:t>
      </w:r>
      <w:r>
        <w:rPr>
          <w:rFonts w:ascii="Times New Roman" w:hAnsi="Times New Roman"/>
          <w:b/>
        </w:rPr>
        <w:t>DEL AYUNTAMIENTO DE BAIONA, QUE CAREZCAN DE LUCRO, PARA LA REALIZACIÓN DE ACTIVIDADES</w:t>
      </w:r>
      <w:r>
        <w:rPr>
          <w:rFonts w:ascii="Times New Roman" w:hAnsi="Times New Roman"/>
          <w:b/>
        </w:rPr>
        <w:t xml:space="preserve"> CULTURALES PARA EL AÑO 20</w:t>
      </w:r>
      <w:r>
        <w:rPr>
          <w:rFonts w:ascii="Times New Roman" w:hAnsi="Times New Roman"/>
          <w:b/>
        </w:rPr>
        <w:t>22</w:t>
      </w:r>
      <w:r>
        <w:rPr>
          <w:rFonts w:ascii="Times New Roman" w:hAnsi="Times New Roman"/>
          <w:b/>
        </w:rPr>
        <w:t>.</w:t>
      </w:r>
    </w:p>
    <w:p>
      <w:pPr>
        <w:pStyle w:val="Normal"/>
        <w:rPr>
          <w:rFonts w:ascii="Times New Roman" w:hAnsi="Times New Roman"/>
          <w:b/>
          <w:b/>
        </w:rPr>
      </w:pPr>
      <w:r>
        <w:rPr>
          <w:rFonts w:ascii="Times New Roman" w:hAnsi="Times New Roman"/>
          <w:b/>
        </w:rPr>
      </w:r>
    </w:p>
    <w:p>
      <w:pPr>
        <w:pStyle w:val="Normal"/>
        <w:rPr>
          <w:rFonts w:ascii="Times New Roman" w:hAnsi="Times New Roman"/>
        </w:rPr>
      </w:pPr>
      <w:r>
        <w:rPr>
          <w:rFonts w:ascii="Times New Roman" w:hAnsi="Times New Roman"/>
        </w:rPr>
        <w:t>Según se establece en el artículo 232 del Real Decreto 2568/1986, del 28 de noviembre, por el que se aprueba el Reglamento de Organización, Funcionamiento y Régimen Jurídico de las Entidades Locales, en la medida en que lo permitan los recursos presupuesto, el Ayuntamiento podrá subvencionar económicamente las asociaciones para la defensa de sus intereses generales o sectoriales de los vecinos, tanto por lo que se refiere a sus gastos generales como a las actividades que realicen.</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 xml:space="preserve">A este respecto, teniendo en cuenta lo señalado en este artículo y al amparo de la Ley 38/2003 del 17 de noviembre, General de Subvenciones, de la Ley 9/2007. Del 13 de junio de Subvenciones de Galicia, reglamentos de desenvolvimiento, Ley 39/2015, del 1 de octubre, de Procedimiento Administrativo Común a las Administraciones Publicas y de la Ley 7/1985, del 2 de abril Reguladora de las Bases del Régimen Local, o Ayuntamiento de Baiona procede a la regulación de los criterios y al procedimiento de concesiones, en régimen de concurrencia competitiva, de ayudas económicas para promover, fomentar y difundir aquellas actividades </w:t>
      </w:r>
      <w:r>
        <w:rPr>
          <w:rFonts w:ascii="Times New Roman" w:hAnsi="Times New Roman"/>
        </w:rPr>
        <w:t>culturales que organicen las asociaciones sin ánimo de lucro en el ámbito territorial del Ayuntamiento de Baiona durante el año 2022.</w:t>
      </w:r>
    </w:p>
    <w:p>
      <w:pPr>
        <w:pStyle w:val="Normal"/>
        <w:rPr>
          <w:rFonts w:ascii="Times New Roman" w:hAnsi="Times New Roman"/>
        </w:rPr>
      </w:pPr>
      <w:r>
        <w:rPr>
          <w:rFonts w:ascii="Times New Roman" w:hAnsi="Times New Roman"/>
        </w:rPr>
      </w:r>
    </w:p>
    <w:p>
      <w:pPr>
        <w:pStyle w:val="Normal"/>
        <w:rPr>
          <w:rFonts w:ascii="Times New Roman" w:hAnsi="Times New Roman"/>
          <w:b/>
          <w:b/>
        </w:rPr>
      </w:pPr>
      <w:r>
        <w:rPr>
          <w:rFonts w:ascii="Times New Roman" w:hAnsi="Times New Roman"/>
          <w:b/>
        </w:rPr>
        <w:t>DISPOSICIONES GENERALES</w:t>
      </w:r>
    </w:p>
    <w:p>
      <w:pPr>
        <w:pStyle w:val="Normal"/>
        <w:rPr>
          <w:rFonts w:ascii="Times New Roman" w:hAnsi="Times New Roman"/>
          <w:b/>
          <w:b/>
        </w:rPr>
      </w:pPr>
      <w:r>
        <w:rPr>
          <w:rFonts w:ascii="Times New Roman" w:hAnsi="Times New Roman"/>
          <w:b/>
        </w:rPr>
      </w:r>
    </w:p>
    <w:p>
      <w:pPr>
        <w:pStyle w:val="Normal"/>
        <w:rPr/>
      </w:pPr>
      <w:r>
        <w:rPr>
          <w:rFonts w:ascii="Times New Roman" w:hAnsi="Times New Roman"/>
          <w:b/>
        </w:rPr>
        <w:t>PRIMERA.-</w:t>
      </w:r>
      <w:r>
        <w:rPr>
          <w:rFonts w:ascii="Times New Roman" w:hAnsi="Times New Roman"/>
        </w:rPr>
        <w:t xml:space="preserve"> OBJETO </w:t>
      </w:r>
    </w:p>
    <w:p>
      <w:pPr>
        <w:pStyle w:val="Normal"/>
        <w:rPr>
          <w:rFonts w:ascii="Times New Roman" w:hAnsi="Times New Roman"/>
        </w:rPr>
      </w:pPr>
      <w:r>
        <w:rPr>
          <w:rFonts w:ascii="Times New Roman" w:hAnsi="Times New Roman"/>
        </w:rPr>
      </w:r>
    </w:p>
    <w:p>
      <w:pPr>
        <w:pStyle w:val="Normal"/>
        <w:rPr/>
      </w:pPr>
      <w:r>
        <w:rPr>
          <w:rFonts w:ascii="Times New Roman" w:hAnsi="Times New Roman"/>
        </w:rPr>
        <w:t xml:space="preserve">La presente convocatoria tiene por finalidad apoyar y promover en régimen de concurrencia competitiva la concesión de subvenciones entre las entidades culturales del Ayuntamiento de Baiona, sin fines de lucro, que reúnan los requisitos establecidos en esta convocatoria y desarrollen proyectos o actividades culturales, relacionadas </w:t>
      </w:r>
      <w:r>
        <w:rPr>
          <w:rFonts w:ascii="Times New Roman" w:hAnsi="Times New Roman"/>
        </w:rPr>
        <w:t xml:space="preserve">con el acercamiento a la comunidad de las artes plásticas, la literatura, el teatro, la música, la divulgación de las ciencias y demás manifestaciones culturales y artísticas, </w:t>
      </w:r>
      <w:r>
        <w:rPr>
          <w:rFonts w:ascii="Times New Roman" w:hAnsi="Times New Roman"/>
        </w:rPr>
        <w:t>y que contribuyan al fomento de los intereses generales o sectoriales de l</w:t>
      </w:r>
      <w:r>
        <w:rPr>
          <w:rFonts w:ascii="Times New Roman" w:hAnsi="Times New Roman"/>
        </w:rPr>
        <w:t>os</w:t>
      </w:r>
      <w:r>
        <w:rPr>
          <w:rFonts w:ascii="Times New Roman" w:hAnsi="Times New Roman"/>
        </w:rPr>
        <w:t xml:space="preserve"> vecinos y </w:t>
      </w:r>
      <w:r>
        <w:rPr>
          <w:rFonts w:ascii="Times New Roman" w:hAnsi="Times New Roman"/>
        </w:rPr>
        <w:t>las</w:t>
      </w:r>
      <w:r>
        <w:rPr>
          <w:rFonts w:ascii="Times New Roman" w:hAnsi="Times New Roman"/>
        </w:rPr>
        <w:t xml:space="preserve"> vecinas del municipio y, en especial, a la promoción y recuperación de la cultura y tradiciones locales, y que se realicen durante el año 20</w:t>
      </w:r>
      <w:r>
        <w:rPr>
          <w:rFonts w:ascii="Times New Roman" w:hAnsi="Times New Roman"/>
        </w:rPr>
        <w:t>2</w:t>
      </w:r>
      <w:r>
        <w:rPr>
          <w:rFonts w:ascii="Times New Roman" w:hAnsi="Times New Roman"/>
        </w:rPr>
        <w:t>2</w:t>
      </w:r>
      <w:r>
        <w:rPr>
          <w:rFonts w:ascii="Times New Roman" w:hAnsi="Times New Roman"/>
        </w:rPr>
        <w:t>.</w:t>
      </w:r>
    </w:p>
    <w:p>
      <w:pPr>
        <w:pStyle w:val="Normal"/>
        <w:rPr>
          <w:rFonts w:ascii="Times New Roman" w:hAnsi="Times New Roman"/>
        </w:rPr>
      </w:pPr>
      <w:r>
        <w:rPr>
          <w:rFonts w:ascii="Times New Roman" w:hAnsi="Times New Roman"/>
        </w:rPr>
      </w:r>
    </w:p>
    <w:p>
      <w:pPr>
        <w:pStyle w:val="Normal"/>
        <w:rPr/>
      </w:pPr>
      <w:r>
        <w:rPr>
          <w:rFonts w:ascii="Times New Roman" w:hAnsi="Times New Roman"/>
          <w:b/>
          <w:bCs/>
        </w:rPr>
        <w:t>S</w:t>
      </w:r>
      <w:r>
        <w:rPr>
          <w:rFonts w:ascii="Times New Roman" w:hAnsi="Times New Roman"/>
          <w:b/>
          <w:bCs/>
        </w:rPr>
        <w:t>EGUNDA</w:t>
      </w:r>
      <w:r>
        <w:rPr>
          <w:rFonts w:ascii="Times New Roman" w:hAnsi="Times New Roman"/>
        </w:rPr>
        <w:t>.- GASTOS SUBVENCIONABLES</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Serán subvencionables los gastos derivados de la organización de actividades de carácter cultural, entre otras, l</w:t>
      </w:r>
      <w:r>
        <w:rPr>
          <w:rFonts w:ascii="Times New Roman" w:hAnsi="Times New Roman"/>
        </w:rPr>
        <w:t>o</w:t>
      </w:r>
      <w:r>
        <w:rPr>
          <w:rFonts w:ascii="Times New Roman" w:hAnsi="Times New Roman"/>
        </w:rPr>
        <w:t>s siguientes:</w:t>
      </w:r>
    </w:p>
    <w:p>
      <w:pPr>
        <w:pStyle w:val="Normal"/>
        <w:rPr>
          <w:rFonts w:ascii="Times New Roman" w:hAnsi="Times New Roman"/>
        </w:rPr>
      </w:pPr>
      <w:r>
        <w:rPr>
          <w:rFonts w:ascii="Times New Roman" w:hAnsi="Times New Roman"/>
        </w:rPr>
      </w:r>
    </w:p>
    <w:p>
      <w:pPr>
        <w:pStyle w:val="Normal"/>
        <w:numPr>
          <w:ilvl w:val="0"/>
          <w:numId w:val="11"/>
        </w:numPr>
        <w:rPr>
          <w:rFonts w:ascii="Times New Roman" w:hAnsi="Times New Roman"/>
        </w:rPr>
      </w:pPr>
      <w:r>
        <w:rPr>
          <w:rFonts w:ascii="Times New Roman" w:hAnsi="Times New Roman"/>
        </w:rPr>
        <w:t>Intercambios culturales</w:t>
      </w:r>
    </w:p>
    <w:p>
      <w:pPr>
        <w:pStyle w:val="Normal"/>
        <w:numPr>
          <w:ilvl w:val="0"/>
          <w:numId w:val="11"/>
        </w:numPr>
        <w:rPr>
          <w:rFonts w:ascii="Times New Roman" w:hAnsi="Times New Roman"/>
        </w:rPr>
      </w:pPr>
      <w:r>
        <w:rPr>
          <w:rFonts w:ascii="Times New Roman" w:hAnsi="Times New Roman"/>
        </w:rPr>
        <w:t>Excursiones, salidas didácticas, ect.</w:t>
      </w:r>
    </w:p>
    <w:p>
      <w:pPr>
        <w:pStyle w:val="Normal"/>
        <w:numPr>
          <w:ilvl w:val="0"/>
          <w:numId w:val="11"/>
        </w:numPr>
        <w:rPr>
          <w:rFonts w:ascii="Times New Roman" w:hAnsi="Times New Roman"/>
        </w:rPr>
      </w:pPr>
      <w:r>
        <w:rPr>
          <w:rFonts w:ascii="Times New Roman" w:hAnsi="Times New Roman"/>
        </w:rPr>
        <w:t>Festivales folclóricos, actuaciones de danza, de música, de canto, de teatro, ect.</w:t>
      </w:r>
    </w:p>
    <w:p>
      <w:pPr>
        <w:pStyle w:val="Normal"/>
        <w:numPr>
          <w:ilvl w:val="0"/>
          <w:numId w:val="11"/>
        </w:numPr>
        <w:rPr>
          <w:rFonts w:ascii="Times New Roman" w:hAnsi="Times New Roman"/>
        </w:rPr>
      </w:pPr>
      <w:r>
        <w:rPr>
          <w:rFonts w:ascii="Times New Roman" w:hAnsi="Times New Roman"/>
        </w:rPr>
        <w:t>Concursos, cert</w:t>
      </w:r>
      <w:r>
        <w:rPr>
          <w:rFonts w:ascii="Times New Roman" w:hAnsi="Times New Roman"/>
        </w:rPr>
        <w:t>ámenes</w:t>
      </w:r>
      <w:r>
        <w:rPr>
          <w:rFonts w:ascii="Times New Roman" w:hAnsi="Times New Roman"/>
        </w:rPr>
        <w:t>, exposiciones, ect.</w:t>
      </w:r>
    </w:p>
    <w:p>
      <w:pPr>
        <w:pStyle w:val="Normal"/>
        <w:numPr>
          <w:ilvl w:val="0"/>
          <w:numId w:val="11"/>
        </w:numPr>
        <w:rPr>
          <w:rFonts w:ascii="Times New Roman" w:hAnsi="Times New Roman"/>
        </w:rPr>
      </w:pPr>
      <w:r>
        <w:rPr>
          <w:rFonts w:ascii="Times New Roman" w:hAnsi="Times New Roman"/>
        </w:rPr>
        <w:t>Charlas, coloquios, ponencias, jornadas, ect.</w:t>
      </w:r>
    </w:p>
    <w:p>
      <w:pPr>
        <w:pStyle w:val="Normal"/>
        <w:numPr>
          <w:ilvl w:val="0"/>
          <w:numId w:val="11"/>
        </w:numPr>
        <w:rPr>
          <w:rFonts w:ascii="Times New Roman" w:hAnsi="Times New Roman"/>
        </w:rPr>
      </w:pPr>
      <w:r>
        <w:rPr>
          <w:rFonts w:ascii="Times New Roman" w:hAnsi="Times New Roman"/>
        </w:rPr>
        <w:t>Festejos populares (excepto las fiestas patronales).</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Así mismo, serán subvencionables los gastos de vestuario, cuando se acredite que dichos gastos resultan imprescindibles para la realización del proyecto, así como los gastos de alquiler de los locales de la entidad.</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En las actividades de viajes e intercambios culturales, podrán justificarse los gastos de desplazamiento, y organización de actividades culturales paralelas (guías, museos…), pero no serán admisibles los gastos de alimentación, comida o alojamiento.</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 xml:space="preserve">Quedan </w:t>
      </w:r>
      <w:r>
        <w:rPr>
          <w:rFonts w:ascii="Times New Roman" w:hAnsi="Times New Roman"/>
          <w:u w:val="single"/>
        </w:rPr>
        <w:t>exclu</w:t>
      </w:r>
      <w:r>
        <w:rPr>
          <w:rFonts w:ascii="Times New Roman" w:hAnsi="Times New Roman"/>
          <w:u w:val="single"/>
        </w:rPr>
        <w:t>í</w:t>
      </w:r>
      <w:r>
        <w:rPr>
          <w:rFonts w:ascii="Times New Roman" w:hAnsi="Times New Roman"/>
          <w:u w:val="single"/>
        </w:rPr>
        <w:t>dos</w:t>
      </w:r>
      <w:r>
        <w:rPr>
          <w:rFonts w:ascii="Times New Roman" w:hAnsi="Times New Roman"/>
        </w:rPr>
        <w:t xml:space="preserve"> de la presente convocatoria, y por </w:t>
      </w:r>
      <w:r>
        <w:rPr>
          <w:rFonts w:ascii="Times New Roman" w:hAnsi="Times New Roman"/>
        </w:rPr>
        <w:t>lo</w:t>
      </w:r>
      <w:r>
        <w:rPr>
          <w:rFonts w:ascii="Times New Roman" w:hAnsi="Times New Roman"/>
        </w:rPr>
        <w:t xml:space="preserve"> tanto no serán objeto de subvención, las siguientes actividades e inversiones:</w:t>
      </w:r>
    </w:p>
    <w:p>
      <w:pPr>
        <w:pStyle w:val="ListParagraph"/>
        <w:numPr>
          <w:ilvl w:val="0"/>
          <w:numId w:val="10"/>
        </w:numPr>
        <w:rPr>
          <w:rFonts w:ascii="Times New Roman" w:hAnsi="Times New Roman"/>
        </w:rPr>
      </w:pPr>
      <w:r>
        <w:rPr>
          <w:rFonts w:ascii="Times New Roman" w:hAnsi="Times New Roman"/>
        </w:rPr>
        <w:t>Las fiestas de fin de curso.</w:t>
      </w:r>
    </w:p>
    <w:p>
      <w:pPr>
        <w:pStyle w:val="ListParagraph"/>
        <w:numPr>
          <w:ilvl w:val="0"/>
          <w:numId w:val="10"/>
        </w:numPr>
        <w:rPr>
          <w:rFonts w:ascii="Times New Roman" w:hAnsi="Times New Roman"/>
        </w:rPr>
      </w:pPr>
      <w:r>
        <w:rPr>
          <w:rFonts w:ascii="Times New Roman" w:hAnsi="Times New Roman"/>
        </w:rPr>
        <w:t>La celebración de las fiestas parroquiales.</w:t>
      </w:r>
    </w:p>
    <w:p>
      <w:pPr>
        <w:pStyle w:val="ListParagraph"/>
        <w:numPr>
          <w:ilvl w:val="0"/>
          <w:numId w:val="10"/>
        </w:numPr>
        <w:rPr>
          <w:rFonts w:ascii="Times New Roman" w:hAnsi="Times New Roman"/>
        </w:rPr>
      </w:pPr>
      <w:r>
        <w:rPr>
          <w:rFonts w:ascii="Times New Roman" w:hAnsi="Times New Roman"/>
        </w:rPr>
        <w:t>Aquellas actividades que no estén organizadas directamente por la entidad solicitante o se subcontrate la organización de la misma a otra entidad o asociación.</w:t>
      </w:r>
    </w:p>
    <w:p>
      <w:pPr>
        <w:pStyle w:val="ListParagraph"/>
        <w:numPr>
          <w:ilvl w:val="0"/>
          <w:numId w:val="10"/>
        </w:numPr>
        <w:rPr>
          <w:rFonts w:ascii="Times New Roman" w:hAnsi="Times New Roman"/>
        </w:rPr>
      </w:pPr>
      <w:r>
        <w:rPr>
          <w:rFonts w:ascii="Times New Roman" w:hAnsi="Times New Roman"/>
        </w:rPr>
        <w:t>Las actividades subvencionadas, en el mismo ejercicio, a través de otras convocatorias de subvenciones del Ayuntamiento de Baiona, o a través de convenios firmados con el Ayuntamiento.</w:t>
      </w:r>
    </w:p>
    <w:p>
      <w:pPr>
        <w:pStyle w:val="ListParagraph"/>
        <w:numPr>
          <w:ilvl w:val="0"/>
          <w:numId w:val="10"/>
        </w:numPr>
        <w:rPr>
          <w:rFonts w:ascii="Times New Roman" w:hAnsi="Times New Roman"/>
        </w:rPr>
      </w:pPr>
      <w:r>
        <w:rPr>
          <w:rFonts w:ascii="Times New Roman" w:hAnsi="Times New Roman"/>
        </w:rPr>
        <w:t>Los gastos de inversiones: obras y bienes inventariables.</w:t>
      </w:r>
    </w:p>
    <w:p>
      <w:pPr>
        <w:pStyle w:val="ListParagraph"/>
        <w:numPr>
          <w:ilvl w:val="0"/>
          <w:numId w:val="10"/>
        </w:numPr>
        <w:rPr>
          <w:rFonts w:ascii="Times New Roman" w:hAnsi="Times New Roman" w:cs="Arial"/>
          <w:color w:val="000000"/>
          <w:lang w:val="gl-ES" w:eastAsia="es-ES"/>
        </w:rPr>
      </w:pPr>
      <w:r>
        <w:rPr>
          <w:rFonts w:cs="Arial" w:ascii="Times New Roman" w:hAnsi="Times New Roman"/>
          <w:color w:val="000000"/>
          <w:lang w:val="gl-ES" w:eastAsia="es-ES"/>
        </w:rPr>
        <w:t>Cualquier otra actividad que no sea cultural.</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Estas actividades deben ser iniciadas y terminadas durante el año 20</w:t>
      </w:r>
      <w:r>
        <w:rPr>
          <w:rFonts w:ascii="Times New Roman" w:hAnsi="Times New Roman"/>
        </w:rPr>
        <w:t>22</w:t>
      </w:r>
      <w:r>
        <w:rPr>
          <w:rFonts w:ascii="Times New Roman" w:hAnsi="Times New Roman"/>
        </w:rPr>
        <w:t>, abracando el período comprendido entre el 1 de enero hasta el 30 de noviembre de 20</w:t>
      </w:r>
      <w:r>
        <w:rPr>
          <w:rFonts w:ascii="Times New Roman" w:hAnsi="Times New Roman"/>
        </w:rPr>
        <w:t>22</w:t>
      </w:r>
      <w:r>
        <w:rPr>
          <w:rFonts w:ascii="Times New Roman" w:hAnsi="Times New Roman"/>
        </w:rPr>
        <w:t>.</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Los solicitantes deberán declarar todas las subvenciones que hayan obtenido o solicitado para el 202</w:t>
      </w:r>
      <w:r>
        <w:rPr>
          <w:rFonts w:ascii="Times New Roman" w:hAnsi="Times New Roman"/>
        </w:rPr>
        <w:t>2</w:t>
      </w:r>
      <w:r>
        <w:rPr>
          <w:rFonts w:ascii="Times New Roman" w:hAnsi="Times New Roman"/>
        </w:rPr>
        <w:t>.</w:t>
      </w:r>
    </w:p>
    <w:p>
      <w:pPr>
        <w:pStyle w:val="Normal"/>
        <w:rPr>
          <w:rFonts w:ascii="Times New Roman" w:hAnsi="Times New Roman"/>
        </w:rPr>
      </w:pPr>
      <w:r>
        <w:rPr>
          <w:rFonts w:ascii="Times New Roman" w:hAnsi="Times New Roman"/>
        </w:rPr>
      </w:r>
    </w:p>
    <w:p>
      <w:pPr>
        <w:pStyle w:val="Normal"/>
        <w:rPr>
          <w:rFonts w:ascii="Times New Roman" w:hAnsi="Times New Roman"/>
        </w:rPr>
      </w:pPr>
      <w:r>
        <w:rPr>
          <w:rFonts w:ascii="Times New Roman" w:hAnsi="Times New Roman"/>
        </w:rPr>
        <w:t>La subvención concedida se destinará en exclusiva a cubrir los gastos directamente relacionados con actividades culturales, según lo establecido en las Base 1ª.</w:t>
      </w:r>
    </w:p>
    <w:p>
      <w:pPr>
        <w:pStyle w:val="Normal"/>
        <w:rPr>
          <w:rFonts w:ascii="Times New Roman" w:hAnsi="Times New Roman"/>
        </w:rPr>
      </w:pPr>
      <w:r>
        <w:rPr>
          <w:rFonts w:ascii="Times New Roman" w:hAnsi="Times New Roman"/>
        </w:rPr>
      </w:r>
    </w:p>
    <w:p>
      <w:pPr>
        <w:pStyle w:val="Normal"/>
        <w:rPr/>
      </w:pPr>
      <w:r>
        <w:rPr>
          <w:rFonts w:ascii="Times New Roman" w:hAnsi="Times New Roman"/>
          <w:b/>
        </w:rPr>
        <w:t>TERCERO</w:t>
      </w:r>
      <w:r>
        <w:rPr>
          <w:rFonts w:ascii="Times New Roman" w:hAnsi="Times New Roman"/>
          <w:b/>
        </w:rPr>
        <w:t>.-</w:t>
      </w:r>
      <w:r>
        <w:rPr>
          <w:rFonts w:ascii="Times New Roman" w:hAnsi="Times New Roman"/>
        </w:rPr>
        <w:t xml:space="preserve"> FINANCIACIÓN </w:t>
      </w:r>
      <w:r>
        <w:rPr>
          <w:rFonts w:ascii="Times New Roman" w:hAnsi="Times New Roman"/>
        </w:rPr>
        <w:t>Y CUANTÍA</w:t>
      </w:r>
    </w:p>
    <w:p>
      <w:pPr>
        <w:pStyle w:val="Normal"/>
        <w:rPr>
          <w:rFonts w:ascii="Times New Roman" w:hAnsi="Times New Roman"/>
        </w:rPr>
      </w:pPr>
      <w:r>
        <w:rPr>
          <w:rFonts w:ascii="Times New Roman" w:hAnsi="Times New Roman"/>
        </w:rPr>
        <w:t xml:space="preserve"> </w:t>
      </w:r>
    </w:p>
    <w:p>
      <w:pPr>
        <w:pStyle w:val="Normal"/>
        <w:rPr/>
      </w:pPr>
      <w:r>
        <w:rPr>
          <w:rFonts w:ascii="Times New Roman" w:hAnsi="Times New Roman"/>
        </w:rPr>
        <w:t xml:space="preserve">La concesión de </w:t>
      </w:r>
      <w:r>
        <w:rPr>
          <w:rFonts w:ascii="Times New Roman" w:hAnsi="Times New Roman"/>
        </w:rPr>
        <w:t>las</w:t>
      </w:r>
      <w:r>
        <w:rPr>
          <w:rFonts w:ascii="Times New Roman" w:hAnsi="Times New Roman"/>
        </w:rPr>
        <w:t xml:space="preserve"> ayudas </w:t>
      </w:r>
      <w:r>
        <w:rPr>
          <w:rFonts w:ascii="Times New Roman" w:hAnsi="Times New Roman"/>
        </w:rPr>
        <w:t xml:space="preserve">reguladas en esta orden será atendida con cargo a la aplicación </w:t>
      </w:r>
      <w:r>
        <w:rPr>
          <w:rFonts w:ascii="Times New Roman" w:hAnsi="Times New Roman"/>
        </w:rPr>
        <w:t xml:space="preserve"> </w:t>
      </w:r>
      <w:r>
        <w:rPr>
          <w:rFonts w:ascii="Times New Roman" w:hAnsi="Times New Roman"/>
        </w:rPr>
        <w:t>presupuestaria 334-48900 del Presupuesto general de 20</w:t>
      </w:r>
      <w:r>
        <w:rPr>
          <w:rFonts w:ascii="Times New Roman" w:hAnsi="Times New Roman"/>
        </w:rPr>
        <w:t>2</w:t>
      </w:r>
      <w:r>
        <w:rPr>
          <w:rFonts w:ascii="Times New Roman" w:hAnsi="Times New Roman"/>
        </w:rPr>
        <w:t>2</w:t>
      </w:r>
      <w:r>
        <w:rPr>
          <w:rFonts w:ascii="Times New Roman" w:hAnsi="Times New Roman"/>
        </w:rPr>
        <w:t xml:space="preserve">, </w:t>
      </w:r>
      <w:r>
        <w:rPr>
          <w:rFonts w:ascii="Times New Roman" w:hAnsi="Times New Roman"/>
        </w:rPr>
        <w:t>en la que existe consignación po</w:t>
      </w:r>
      <w:r>
        <w:rPr>
          <w:rFonts w:ascii="Times New Roman" w:hAnsi="Times New Roman"/>
        </w:rPr>
        <w:t>r</w:t>
      </w:r>
      <w:r>
        <w:rPr>
          <w:rFonts w:ascii="Times New Roman" w:hAnsi="Times New Roman"/>
        </w:rPr>
        <w:t xml:space="preserve"> </w:t>
      </w:r>
      <w:r>
        <w:rPr>
          <w:rFonts w:ascii="Times New Roman" w:hAnsi="Times New Roman"/>
        </w:rPr>
        <w:t>por el importe de</w:t>
      </w:r>
      <w:r>
        <w:rPr>
          <w:rFonts w:ascii="Times New Roman" w:hAnsi="Times New Roman"/>
          <w:b/>
        </w:rPr>
        <w:t xml:space="preserve"> 1</w:t>
      </w:r>
      <w:r>
        <w:rPr>
          <w:rFonts w:ascii="Times New Roman" w:hAnsi="Times New Roman"/>
          <w:b/>
        </w:rPr>
        <w:t>0.625</w:t>
      </w:r>
      <w:r>
        <w:rPr>
          <w:rFonts w:ascii="Times New Roman" w:hAnsi="Times New Roman"/>
          <w:b/>
        </w:rPr>
        <w:t>€, seg</w:t>
      </w:r>
      <w:r>
        <w:rPr>
          <w:rFonts w:ascii="Times New Roman" w:hAnsi="Times New Roman"/>
          <w:b/>
        </w:rPr>
        <w:t>ún</w:t>
      </w:r>
      <w:r>
        <w:rPr>
          <w:rFonts w:ascii="Times New Roman" w:hAnsi="Times New Roman"/>
          <w:b/>
        </w:rPr>
        <w:t xml:space="preserve"> documento contable de retención de créditos nº </w:t>
      </w:r>
      <w:r>
        <w:rPr>
          <w:rFonts w:ascii="Times New Roman" w:hAnsi="Times New Roman"/>
          <w:b/>
        </w:rPr>
        <w:t>1</w:t>
      </w:r>
      <w:r>
        <w:rPr>
          <w:rFonts w:ascii="Times New Roman" w:hAnsi="Times New Roman"/>
          <w:b/>
        </w:rPr>
        <w:t>1566</w:t>
      </w:r>
      <w:r>
        <w:rPr>
          <w:rFonts w:ascii="Times New Roman" w:hAnsi="Times New Roman"/>
          <w:b/>
        </w:rPr>
        <w:t>.</w:t>
      </w:r>
    </w:p>
    <w:p>
      <w:pPr>
        <w:pStyle w:val="Normal"/>
        <w:rPr>
          <w:rFonts w:ascii="Times New Roman" w:hAnsi="Times New Roman"/>
          <w:b/>
          <w:b/>
        </w:rPr>
      </w:pPr>
      <w:r>
        <w:rPr>
          <w:rFonts w:ascii="Times New Roman" w:hAnsi="Times New Roman"/>
          <w:b/>
        </w:rPr>
      </w:r>
    </w:p>
    <w:p>
      <w:pPr>
        <w:pStyle w:val="Normal"/>
        <w:rPr>
          <w:b w:val="false"/>
          <w:b w:val="false"/>
          <w:bCs w:val="false"/>
        </w:rPr>
      </w:pPr>
      <w:r>
        <w:rPr>
          <w:rFonts w:ascii="Times New Roman" w:hAnsi="Times New Roman"/>
          <w:b w:val="false"/>
          <w:bCs w:val="false"/>
        </w:rPr>
        <w:t xml:space="preserve">1) Las entidades solicitantes solamente podrán recibir un máximo de </w:t>
      </w:r>
      <w:r>
        <w:rPr>
          <w:rFonts w:ascii="Times New Roman" w:hAnsi="Times New Roman"/>
          <w:b/>
          <w:bCs/>
        </w:rPr>
        <w:t>1.000€</w:t>
      </w:r>
      <w:r>
        <w:rPr>
          <w:rFonts w:ascii="Times New Roman" w:hAnsi="Times New Roman"/>
          <w:b w:val="false"/>
          <w:bCs w:val="false"/>
        </w:rPr>
        <w:t>. Con todo, este importe podrá aumentar en función del número de solicitudes presentadas.</w:t>
      </w:r>
    </w:p>
    <w:p>
      <w:pPr>
        <w:pStyle w:val="Normal"/>
        <w:rPr>
          <w:rFonts w:ascii="Times New Roman" w:hAnsi="Times New Roman"/>
          <w:b w:val="false"/>
          <w:b w:val="false"/>
          <w:bCs w:val="false"/>
        </w:rPr>
      </w:pPr>
      <w:r>
        <w:rPr>
          <w:rFonts w:ascii="Times New Roman" w:hAnsi="Times New Roman"/>
          <w:b w:val="false"/>
          <w:bCs w:val="false"/>
        </w:rPr>
      </w:r>
    </w:p>
    <w:p>
      <w:pPr>
        <w:pStyle w:val="Normal"/>
        <w:rPr>
          <w:b w:val="false"/>
          <w:b w:val="false"/>
          <w:bCs w:val="false"/>
        </w:rPr>
      </w:pPr>
      <w:r>
        <w:rPr>
          <w:rFonts w:ascii="Times New Roman" w:hAnsi="Times New Roman"/>
          <w:b w:val="false"/>
          <w:bCs w:val="false"/>
        </w:rPr>
        <w:t xml:space="preserve">2) El importe de la subvención concedida no podrá superar, en ningún caso, </w:t>
      </w:r>
      <w:r>
        <w:rPr>
          <w:rFonts w:ascii="Times New Roman" w:hAnsi="Times New Roman"/>
          <w:b/>
          <w:bCs/>
        </w:rPr>
        <w:t>el 80% del presupuesto</w:t>
      </w:r>
      <w:r>
        <w:rPr>
          <w:rFonts w:ascii="Times New Roman" w:hAnsi="Times New Roman"/>
          <w:b w:val="false"/>
          <w:bCs w:val="false"/>
        </w:rPr>
        <w:t xml:space="preserve"> presentado sobre los gastos subvencionables.</w:t>
      </w:r>
    </w:p>
    <w:p>
      <w:pPr>
        <w:pStyle w:val="Normal"/>
        <w:rPr>
          <w:rFonts w:ascii="Times New Roman" w:hAnsi="Times New Roman"/>
          <w:b/>
          <w:b/>
        </w:rPr>
      </w:pPr>
      <w:r>
        <w:rPr>
          <w:rFonts w:ascii="Times New Roman" w:hAnsi="Times New Roman"/>
          <w:b/>
        </w:rPr>
      </w:r>
    </w:p>
    <w:p>
      <w:pPr>
        <w:pStyle w:val="Normal"/>
        <w:rPr>
          <w:rFonts w:ascii="Times New Roman" w:hAnsi="Times New Roman"/>
        </w:rPr>
      </w:pPr>
      <w:r>
        <w:rPr>
          <w:rFonts w:ascii="Times New Roman" w:hAnsi="Times New Roman"/>
        </w:rPr>
        <w:t>3) En el caso de que la suma de las cantidades propuestas como subvención para las distintas solicitudes, excedan la consignación total, se modificarían las mismas aplicando reducciones proporcionales a cada una de ellas, para que la suma total no exceda de la consignación prevista en la aplicación presupuestaria señalada anteriormente.</w:t>
      </w:r>
    </w:p>
    <w:p>
      <w:pPr>
        <w:pStyle w:val="Normal"/>
        <w:rPr>
          <w:rFonts w:ascii="Times New Roman" w:hAnsi="Times New Roman"/>
        </w:rPr>
      </w:pPr>
      <w:r>
        <w:rPr>
          <w:rFonts w:ascii="Times New Roman" w:hAnsi="Times New Roman"/>
        </w:rPr>
      </w:r>
    </w:p>
    <w:p>
      <w:pPr>
        <w:pStyle w:val="Normal"/>
        <w:rPr/>
      </w:pPr>
      <w:r>
        <w:rPr>
          <w:rFonts w:ascii="Times New Roman" w:hAnsi="Times New Roman"/>
          <w:b/>
        </w:rPr>
        <w:t>CUARTO</w:t>
      </w:r>
      <w:r>
        <w:rPr>
          <w:rFonts w:ascii="Times New Roman" w:hAnsi="Times New Roman"/>
          <w:b/>
        </w:rPr>
        <w:t>.-</w:t>
      </w:r>
      <w:r>
        <w:rPr>
          <w:rFonts w:ascii="Times New Roman" w:hAnsi="Times New Roman"/>
        </w:rPr>
        <w:t xml:space="preserve"> BENEFICIARIOS Y REQUISITOS.</w:t>
      </w:r>
    </w:p>
    <w:p>
      <w:pPr>
        <w:pStyle w:val="Normal"/>
        <w:rPr>
          <w:rFonts w:ascii="Times New Roman" w:hAnsi="Times New Roman"/>
        </w:rPr>
      </w:pPr>
      <w:r>
        <w:rPr>
          <w:rFonts w:ascii="Times New Roman" w:hAnsi="Times New Roman"/>
        </w:rPr>
        <w:t>Serán beneficiarias de subvención los organismos, instituciones, asociaciones, grupos o colectivos que:</w:t>
      </w:r>
    </w:p>
    <w:p>
      <w:pPr>
        <w:pStyle w:val="Normal"/>
        <w:rPr>
          <w:rFonts w:ascii="Times New Roman" w:hAnsi="Times New Roman"/>
        </w:rPr>
      </w:pPr>
      <w:r>
        <w:rPr>
          <w:rFonts w:ascii="Times New Roman" w:hAnsi="Times New Roman"/>
        </w:rPr>
      </w:r>
    </w:p>
    <w:p>
      <w:pPr>
        <w:pStyle w:val="Normal"/>
        <w:numPr>
          <w:ilvl w:val="0"/>
          <w:numId w:val="12"/>
        </w:numPr>
        <w:ind w:left="0" w:right="0" w:firstLine="426"/>
        <w:rPr>
          <w:rFonts w:ascii="Times New Roman" w:hAnsi="Times New Roman"/>
        </w:rPr>
      </w:pPr>
      <w:r>
        <w:rPr>
          <w:rFonts w:ascii="Times New Roman" w:hAnsi="Times New Roman"/>
        </w:rPr>
        <w:t>No tengan fines lucrativos.</w:t>
      </w:r>
    </w:p>
    <w:p>
      <w:pPr>
        <w:pStyle w:val="Normal"/>
        <w:numPr>
          <w:ilvl w:val="0"/>
          <w:numId w:val="12"/>
        </w:numPr>
        <w:ind w:left="426" w:right="0" w:hanging="0"/>
        <w:rPr>
          <w:rFonts w:ascii="Times New Roman" w:hAnsi="Times New Roman"/>
        </w:rPr>
      </w:pPr>
      <w:r>
        <w:rPr>
          <w:rFonts w:ascii="Times New Roman" w:hAnsi="Times New Roman"/>
        </w:rPr>
        <w:t>Ten</w:t>
      </w:r>
      <w:r>
        <w:rPr>
          <w:rFonts w:ascii="Times New Roman" w:hAnsi="Times New Roman"/>
        </w:rPr>
        <w:t>gan</w:t>
      </w:r>
      <w:r>
        <w:rPr>
          <w:rFonts w:ascii="Times New Roman" w:hAnsi="Times New Roman"/>
        </w:rPr>
        <w:t xml:space="preserve"> su domicilio </w:t>
      </w:r>
      <w:r>
        <w:rPr>
          <w:rFonts w:ascii="Times New Roman" w:hAnsi="Times New Roman"/>
        </w:rPr>
        <w:t xml:space="preserve">fiscal, sede o oficina </w:t>
      </w:r>
      <w:r>
        <w:rPr>
          <w:rFonts w:ascii="Times New Roman" w:hAnsi="Times New Roman"/>
        </w:rPr>
        <w:t>en el término municipal de Baiona.</w:t>
      </w:r>
    </w:p>
    <w:p>
      <w:pPr>
        <w:pStyle w:val="Normal"/>
        <w:numPr>
          <w:ilvl w:val="0"/>
          <w:numId w:val="12"/>
        </w:numPr>
        <w:ind w:left="426" w:right="0" w:hanging="0"/>
        <w:rPr>
          <w:rFonts w:ascii="Times New Roman" w:hAnsi="Times New Roman"/>
        </w:rPr>
      </w:pPr>
      <w:r>
        <w:rPr>
          <w:rFonts w:ascii="Times New Roman" w:hAnsi="Times New Roman"/>
        </w:rPr>
        <w:t>Des</w:t>
      </w:r>
      <w:r>
        <w:rPr>
          <w:rFonts w:ascii="Times New Roman" w:hAnsi="Times New Roman"/>
        </w:rPr>
        <w:t>arrollen</w:t>
      </w:r>
      <w:r>
        <w:rPr>
          <w:rFonts w:ascii="Times New Roman" w:hAnsi="Times New Roman"/>
        </w:rPr>
        <w:t xml:space="preserve"> sus actuaciones en el ámbito territorial del municipio o que afecten a colectivos de este Ayuntamiento o versen sobre temas de interés para el Ayuntamiento.</w:t>
      </w:r>
    </w:p>
    <w:p>
      <w:pPr>
        <w:pStyle w:val="Normal"/>
        <w:numPr>
          <w:ilvl w:val="0"/>
          <w:numId w:val="12"/>
        </w:numPr>
        <w:ind w:left="426" w:right="0" w:hanging="0"/>
        <w:rPr>
          <w:rFonts w:ascii="Times New Roman" w:hAnsi="Times New Roman"/>
        </w:rPr>
      </w:pPr>
      <w:r>
        <w:rPr>
          <w:rFonts w:ascii="Times New Roman" w:hAnsi="Times New Roman"/>
        </w:rPr>
        <w:t>Desarrollen actividades culturales en general, y en especial la promoción o recuperación de la cultura y tradiciones locales, y el fomento de los intereses generales o sectoriales de los vecinos y vecinas del municipio.</w:t>
      </w:r>
    </w:p>
    <w:p>
      <w:pPr>
        <w:pStyle w:val="Normal"/>
        <w:numPr>
          <w:ilvl w:val="0"/>
          <w:numId w:val="12"/>
        </w:numPr>
        <w:ind w:left="426" w:right="0" w:hanging="0"/>
        <w:rPr>
          <w:rFonts w:ascii="Times New Roman" w:hAnsi="Times New Roman"/>
        </w:rPr>
      </w:pPr>
      <w:r>
        <w:rPr>
          <w:rFonts w:ascii="Times New Roman" w:hAnsi="Times New Roman"/>
        </w:rPr>
        <w:t>En ningún caso podrán ser beneficiarias de las subvenciones reguladas en estas bases aquellas en las que se de alguna circunstancia que se recoja en el artículo 10 de Ley 9/2007, del 13 de junio, de subvenciones de Galicia.</w:t>
      </w:r>
    </w:p>
    <w:p>
      <w:pPr>
        <w:pStyle w:val="Normal"/>
        <w:ind w:left="426" w:right="0" w:hanging="0"/>
        <w:rPr>
          <w:rFonts w:ascii="Times New Roman" w:hAnsi="Times New Roman"/>
        </w:rPr>
      </w:pPr>
      <w:r>
        <w:rPr>
          <w:rFonts w:ascii="Times New Roman" w:hAnsi="Times New Roman"/>
        </w:rPr>
      </w:r>
    </w:p>
    <w:p>
      <w:pPr>
        <w:pStyle w:val="Normal"/>
        <w:ind w:left="0" w:right="0" w:hanging="0"/>
        <w:rPr>
          <w:rFonts w:ascii="Times New Roman" w:hAnsi="Times New Roman"/>
        </w:rPr>
      </w:pPr>
      <w:r>
        <w:rPr>
          <w:rFonts w:ascii="Times New Roman" w:hAnsi="Times New Roman"/>
        </w:rPr>
        <w:t>Podrán solicitar ayudas mediante la presente convocatoria las entidades de carácter cultural, que  est</w:t>
      </w:r>
      <w:r>
        <w:rPr>
          <w:rFonts w:ascii="Times New Roman" w:hAnsi="Times New Roman"/>
        </w:rPr>
        <w:t>én</w:t>
      </w:r>
      <w:r>
        <w:rPr>
          <w:rFonts w:ascii="Times New Roman" w:hAnsi="Times New Roman"/>
        </w:rPr>
        <w:t xml:space="preserve"> inscritas en el Registro Municipal de Asociaciones del Ayuntamiento de Baiona, tengan personalidad jurídica propia y finalidad no lucrativa, que cumplan los siguientes </w:t>
      </w:r>
      <w:r>
        <w:rPr>
          <w:rFonts w:ascii="Times New Roman" w:hAnsi="Times New Roman"/>
          <w:u w:val="single"/>
        </w:rPr>
        <w:t>requisitos:</w:t>
      </w:r>
    </w:p>
    <w:p>
      <w:pPr>
        <w:pStyle w:val="Normal"/>
        <w:ind w:left="0" w:right="0" w:hanging="0"/>
        <w:rPr>
          <w:rFonts w:ascii="Times New Roman" w:hAnsi="Times New Roman"/>
        </w:rPr>
      </w:pPr>
      <w:r>
        <w:rPr>
          <w:rFonts w:ascii="Times New Roman" w:hAnsi="Times New Roman"/>
        </w:rPr>
      </w:r>
    </w:p>
    <w:p>
      <w:pPr>
        <w:pStyle w:val="Normal"/>
        <w:numPr>
          <w:ilvl w:val="0"/>
          <w:numId w:val="13"/>
        </w:numPr>
        <w:rPr>
          <w:rFonts w:ascii="Times New Roman" w:hAnsi="Times New Roman"/>
        </w:rPr>
      </w:pPr>
      <w:r>
        <w:rPr>
          <w:rFonts w:ascii="Times New Roman" w:hAnsi="Times New Roman"/>
        </w:rPr>
        <w:t>Estar al corriente con la AEAT, la Xunta de Galicia, la Seguridad Social y el Ayuntamiento de Baiona.</w:t>
      </w:r>
    </w:p>
    <w:p>
      <w:pPr>
        <w:pStyle w:val="Normal"/>
        <w:numPr>
          <w:ilvl w:val="0"/>
          <w:numId w:val="13"/>
        </w:numPr>
        <w:rPr>
          <w:rFonts w:ascii="Times New Roman" w:hAnsi="Times New Roman"/>
        </w:rPr>
      </w:pPr>
      <w:r>
        <w:rPr>
          <w:rFonts w:ascii="Times New Roman" w:hAnsi="Times New Roman"/>
        </w:rPr>
        <w:t>No estén incursas en ninguna de las causas de incompatibilidad o de incapacidad para ser beneficiarias o percibir subvenciones previstas en la LGS.</w:t>
      </w:r>
    </w:p>
    <w:p>
      <w:pPr>
        <w:pStyle w:val="Normal"/>
        <w:numPr>
          <w:ilvl w:val="0"/>
          <w:numId w:val="13"/>
        </w:numPr>
        <w:rPr>
          <w:rFonts w:ascii="Times New Roman" w:hAnsi="Times New Roman"/>
        </w:rPr>
      </w:pPr>
      <w:r>
        <w:rPr>
          <w:rFonts w:ascii="Times New Roman" w:hAnsi="Times New Roman"/>
        </w:rPr>
        <w:t>Que dicha entidad tenga debidamente justificadas las subvenciones concedidas en anteriores convocatorias, o tenga solicitada una prórroga debidamente justificada y aprobada, o renunciara por escrito a las justificaciones pendientes.</w:t>
      </w:r>
    </w:p>
    <w:p>
      <w:pPr>
        <w:pStyle w:val="Normal"/>
        <w:numPr>
          <w:ilvl w:val="0"/>
          <w:numId w:val="13"/>
        </w:numPr>
        <w:rPr>
          <w:rFonts w:ascii="Times New Roman" w:hAnsi="Times New Roman"/>
        </w:rPr>
      </w:pPr>
      <w:r>
        <w:rPr>
          <w:rFonts w:ascii="Times New Roman" w:hAnsi="Times New Roman"/>
        </w:rPr>
        <w:t>Únicamente se podrá conceder una subvención por cada entidad. Para estos efectos, se considera</w:t>
      </w:r>
      <w:r>
        <w:rPr>
          <w:rFonts w:ascii="Times New Roman" w:hAnsi="Times New Roman"/>
        </w:rPr>
        <w:t>rá</w:t>
      </w:r>
      <w:r>
        <w:rPr>
          <w:rFonts w:ascii="Times New Roman" w:hAnsi="Times New Roman"/>
        </w:rPr>
        <w:t xml:space="preserve"> una sola entidad todas aquellas en las que los socios y socias o miembros de la Junta Directiva sean comunes en un porcentaje superior al 50%, y vinculadas, en los términos establecidos en la LGS y en </w:t>
      </w:r>
      <w:r>
        <w:rPr>
          <w:rFonts w:ascii="Times New Roman" w:hAnsi="Times New Roman"/>
        </w:rPr>
        <w:t>sus</w:t>
      </w:r>
      <w:r>
        <w:rPr>
          <w:rFonts w:ascii="Times New Roman" w:hAnsi="Times New Roman"/>
        </w:rPr>
        <w:t xml:space="preserve"> normas de funcionamiento y las que pudieran encajar en concepto de grupo, en los términos dispuestos en el Código de Comercio.</w:t>
      </w:r>
    </w:p>
    <w:p>
      <w:pPr>
        <w:pStyle w:val="Normal"/>
        <w:ind w:left="426" w:right="0" w:hanging="0"/>
        <w:rPr>
          <w:rFonts w:ascii="Times New Roman" w:hAnsi="Times New Roman"/>
        </w:rPr>
      </w:pPr>
      <w:r>
        <w:rPr>
          <w:rFonts w:ascii="Times New Roman" w:hAnsi="Times New Roman"/>
        </w:rPr>
      </w:r>
    </w:p>
    <w:p>
      <w:pPr>
        <w:pStyle w:val="Normal"/>
        <w:rPr/>
      </w:pPr>
      <w:r>
        <w:rPr>
          <w:rFonts w:ascii="Times New Roman" w:hAnsi="Times New Roman"/>
          <w:b/>
        </w:rPr>
        <w:t>QUINTA</w:t>
      </w:r>
      <w:r>
        <w:rPr>
          <w:rFonts w:ascii="Times New Roman" w:hAnsi="Times New Roman"/>
          <w:b/>
        </w:rPr>
        <w:t>.-</w:t>
      </w:r>
      <w:r>
        <w:rPr>
          <w:rFonts w:ascii="Times New Roman" w:hAnsi="Times New Roman"/>
        </w:rPr>
        <w:t xml:space="preserve"> SOLICITUDES Y DOCUMENTACIÓN.</w:t>
      </w:r>
    </w:p>
    <w:p>
      <w:pPr>
        <w:pStyle w:val="Normal"/>
        <w:rPr>
          <w:rFonts w:ascii="Times New Roman" w:hAnsi="Times New Roman"/>
        </w:rPr>
      </w:pPr>
      <w:r>
        <w:rPr>
          <w:rFonts w:ascii="Times New Roman" w:hAnsi="Times New Roman"/>
        </w:rPr>
      </w:r>
    </w:p>
    <w:p>
      <w:pPr>
        <w:pStyle w:val="Normal"/>
        <w:rPr/>
      </w:pPr>
      <w:r>
        <w:rPr>
          <w:rFonts w:ascii="Times New Roman" w:hAnsi="Times New Roman"/>
        </w:rPr>
        <w:t xml:space="preserve">Las solicitudes se formalizaran en los modelos normativos disponibles en la página web del Ayuntamiento </w:t>
      </w:r>
      <w:hyperlink r:id="rId2">
        <w:r>
          <w:rPr>
            <w:rStyle w:val="EnlacedeInternet"/>
            <w:rFonts w:ascii="Times New Roman" w:hAnsi="Times New Roman"/>
          </w:rPr>
          <w:t>www.baiona.</w:t>
        </w:r>
      </w:hyperlink>
      <w:r>
        <w:rPr>
          <w:rStyle w:val="EnlacedeInternet"/>
          <w:rFonts w:ascii="Times New Roman" w:hAnsi="Times New Roman"/>
        </w:rPr>
        <w:t>gal</w:t>
      </w:r>
      <w:r>
        <w:rPr>
          <w:rFonts w:ascii="Times New Roman" w:hAnsi="Times New Roman"/>
        </w:rPr>
        <w:t>. Cada entidad solicitante presentara un único proyecto, en el cual s</w:t>
      </w:r>
      <w:r>
        <w:rPr>
          <w:rFonts w:ascii="Times New Roman" w:hAnsi="Times New Roman"/>
        </w:rPr>
        <w:t>e acompañará</w:t>
      </w:r>
      <w:r>
        <w:rPr>
          <w:rFonts w:ascii="Times New Roman" w:hAnsi="Times New Roman"/>
        </w:rPr>
        <w:t xml:space="preserve"> la siguiente documentación:</w:t>
      </w:r>
    </w:p>
    <w:p>
      <w:pPr>
        <w:pStyle w:val="Normal"/>
        <w:rPr>
          <w:rFonts w:ascii="Times New Roman" w:hAnsi="Times New Roman"/>
        </w:rPr>
      </w:pPr>
      <w:r>
        <w:rPr>
          <w:rFonts w:ascii="Times New Roman" w:hAnsi="Times New Roman"/>
        </w:rPr>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Solicitud de subvención: Anexo I.</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Declaración de responsable de la Entidad (Anexo II).</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 xml:space="preserve">Memoria explicativa de la actividad concreta que se pretende realizar, con </w:t>
      </w:r>
      <w:r>
        <w:rPr>
          <w:rFonts w:ascii="Times New Roman" w:hAnsi="Times New Roman"/>
        </w:rPr>
        <w:t>presupuesto equilibrado de ingresos y gastos</w:t>
      </w:r>
      <w:r>
        <w:rPr>
          <w:rFonts w:ascii="Times New Roman" w:hAnsi="Times New Roman"/>
        </w:rPr>
        <w:t xml:space="preserve"> (Anexo III).</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Copia del acto de constitución de la actual junta directiva.</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Copia del DNI del representante de la entidad que firma la solicitud.</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 xml:space="preserve">Certificado original de la cuenta bancaria de la entidad, </w:t>
      </w:r>
      <w:r>
        <w:rPr>
          <w:rFonts w:ascii="Times New Roman" w:hAnsi="Times New Roman"/>
        </w:rPr>
        <w:t>con una antigüedad no superior a 6 meses.</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 xml:space="preserve">Copia del CIF de la </w:t>
      </w:r>
      <w:r>
        <w:rPr>
          <w:rFonts w:ascii="Times New Roman" w:hAnsi="Times New Roman"/>
        </w:rPr>
        <w:t>entidad solicitante.</w:t>
      </w:r>
    </w:p>
    <w:p>
      <w:pPr>
        <w:pStyle w:val="ListParagraph"/>
        <w:numPr>
          <w:ilvl w:val="0"/>
          <w:numId w:val="2"/>
        </w:numPr>
        <w:spacing w:lineRule="auto" w:line="276" w:before="0" w:after="200"/>
        <w:contextualSpacing/>
        <w:rPr>
          <w:rFonts w:ascii="Times New Roman" w:hAnsi="Times New Roman"/>
        </w:rPr>
      </w:pPr>
      <w:r>
        <w:rPr>
          <w:rFonts w:ascii="Times New Roman" w:hAnsi="Times New Roman"/>
        </w:rPr>
        <w:t>Certificaciones acreditativas de estar al corriente de las obligaciones tributarias (del Estado, Comunidad Autónoma), y con la Seguridad Social.</w:t>
      </w:r>
    </w:p>
    <w:p>
      <w:pPr>
        <w:pStyle w:val="Normal"/>
        <w:widowControl w:val="false"/>
        <w:suppressAutoHyphens w:val="true"/>
        <w:spacing w:before="0" w:after="240"/>
        <w:ind w:left="1068" w:right="0" w:hanging="0"/>
        <w:contextualSpacing/>
        <w:jc w:val="left"/>
        <w:textAlignment w:val="top"/>
        <w:rPr>
          <w:rFonts w:ascii="Times New Roman" w:hAnsi="Times New Roman" w:eastAsia="Times New Roman"/>
          <w:color w:val="231F20"/>
          <w:kern w:val="2"/>
          <w:lang w:eastAsia="es-ES"/>
        </w:rPr>
      </w:pPr>
      <w:r>
        <w:rPr>
          <w:rFonts w:eastAsia="Times New Roman" w:ascii="Times New Roman" w:hAnsi="Times New Roman"/>
          <w:color w:val="231F20"/>
          <w:kern w:val="2"/>
          <w:lang w:eastAsia="es-ES"/>
        </w:rPr>
      </w:r>
    </w:p>
    <w:p>
      <w:pPr>
        <w:pStyle w:val="Normal"/>
        <w:widowControl w:val="false"/>
        <w:suppressAutoHyphens w:val="true"/>
        <w:spacing w:lineRule="atLeast" w:line="288"/>
        <w:textAlignment w:val="top"/>
        <w:rPr/>
      </w:pPr>
      <w:r>
        <w:rPr>
          <w:rFonts w:eastAsia="Times New Roman" w:ascii="Times New Roman" w:hAnsi="Times New Roman"/>
          <w:b/>
          <w:iCs/>
          <w:color w:val="231F20"/>
          <w:kern w:val="2"/>
          <w:lang w:val="gl-ES" w:eastAsia="es-ES"/>
        </w:rPr>
        <w:t>SEXTA</w:t>
      </w:r>
      <w:r>
        <w:rPr>
          <w:rFonts w:eastAsia="Times New Roman" w:ascii="Times New Roman" w:hAnsi="Times New Roman"/>
          <w:b/>
          <w:iCs/>
          <w:color w:val="231F20"/>
          <w:kern w:val="2"/>
          <w:lang w:val="gl-ES" w:eastAsia="es-ES"/>
        </w:rPr>
        <w:t>.</w:t>
      </w:r>
      <w:r>
        <w:rPr>
          <w:rFonts w:eastAsia="Times New Roman" w:ascii="Times New Roman" w:hAnsi="Times New Roman"/>
          <w:iCs/>
          <w:color w:val="231F20"/>
          <w:kern w:val="2"/>
          <w:lang w:val="gl-ES" w:eastAsia="es-ES"/>
        </w:rPr>
        <w:t>—PLAZO, LUGAR Y FORMAS DE PRESENTACIÓN.</w:t>
      </w:r>
    </w:p>
    <w:p>
      <w:pPr>
        <w:pStyle w:val="Normal"/>
        <w:widowControl w:val="false"/>
        <w:suppressAutoHyphens w:val="true"/>
        <w:spacing w:lineRule="atLeast" w:line="288"/>
        <w:textAlignment w:val="top"/>
        <w:rPr>
          <w:rFonts w:ascii="Times New Roman" w:hAnsi="Times New Roman" w:eastAsia="Times New Roman"/>
          <w:iCs/>
          <w:color w:val="231F20"/>
          <w:kern w:val="2"/>
          <w:lang w:val="gl-ES" w:eastAsia="es-ES"/>
        </w:rPr>
      </w:pPr>
      <w:r>
        <w:rPr>
          <w:rFonts w:eastAsia="Times New Roman" w:ascii="Times New Roman" w:hAnsi="Times New Roman"/>
          <w:iCs/>
          <w:color w:val="231F20"/>
          <w:kern w:val="2"/>
          <w:lang w:val="gl-ES" w:eastAsia="es-ES"/>
        </w:rPr>
      </w:r>
    </w:p>
    <w:p>
      <w:pPr>
        <w:pStyle w:val="Normal"/>
        <w:widowControl w:val="false"/>
        <w:suppressAutoHyphens w:val="true"/>
        <w:spacing w:lineRule="atLeast" w:line="288"/>
        <w:textAlignment w:val="top"/>
        <w:rPr/>
      </w:pPr>
      <w:r>
        <w:rPr>
          <w:rFonts w:ascii="Times New Roman" w:hAnsi="Times New Roman"/>
          <w:color w:val="333333"/>
          <w:highlight w:val="white"/>
        </w:rPr>
        <w:t xml:space="preserve">Las solicitudes se presentarán en un plazo de </w:t>
      </w:r>
      <w:r>
        <w:rPr>
          <w:rFonts w:ascii="Times New Roman" w:hAnsi="Times New Roman"/>
          <w:color w:val="333333"/>
          <w:highlight w:val="white"/>
        </w:rPr>
        <w:t>quince</w:t>
      </w:r>
      <w:r>
        <w:rPr>
          <w:rFonts w:ascii="Times New Roman" w:hAnsi="Times New Roman"/>
          <w:b/>
          <w:color w:val="333333"/>
          <w:highlight w:val="white"/>
        </w:rPr>
        <w:t xml:space="preserve"> (</w:t>
      </w:r>
      <w:r>
        <w:rPr>
          <w:rFonts w:ascii="Times New Roman" w:hAnsi="Times New Roman"/>
          <w:b/>
          <w:color w:val="333333"/>
          <w:highlight w:val="white"/>
        </w:rPr>
        <w:t>15</w:t>
      </w:r>
      <w:r>
        <w:rPr>
          <w:rFonts w:ascii="Times New Roman" w:hAnsi="Times New Roman"/>
          <w:b/>
          <w:color w:val="333333"/>
          <w:highlight w:val="white"/>
        </w:rPr>
        <w:t>) días naturales</w:t>
      </w:r>
      <w:r>
        <w:rPr>
          <w:rFonts w:ascii="Times New Roman" w:hAnsi="Times New Roman"/>
          <w:color w:val="333333"/>
          <w:highlight w:val="white"/>
        </w:rPr>
        <w:t xml:space="preserve"> contados a partir del día siguiente </w:t>
      </w:r>
      <w:r>
        <w:rPr>
          <w:rFonts w:ascii="Times New Roman" w:hAnsi="Times New Roman"/>
          <w:color w:val="333333"/>
          <w:highlight w:val="white"/>
        </w:rPr>
        <w:t>a</w:t>
      </w:r>
      <w:r>
        <w:rPr>
          <w:rFonts w:ascii="Times New Roman" w:hAnsi="Times New Roman"/>
          <w:color w:val="333333"/>
          <w:highlight w:val="white"/>
        </w:rPr>
        <w:t xml:space="preserve"> la publicación del extracto de la convocatoria en el BOPP</w:t>
      </w:r>
      <w:r>
        <w:rPr>
          <w:rFonts w:ascii="Times New Roman" w:hAnsi="Times New Roman"/>
          <w:color w:val="333333"/>
          <w:highlight w:val="white"/>
        </w:rPr>
        <w:t>O</w:t>
      </w:r>
      <w:r>
        <w:rPr>
          <w:rFonts w:ascii="Times New Roman" w:hAnsi="Times New Roman"/>
          <w:color w:val="333333"/>
          <w:highlight w:val="white"/>
          <w:u w:val="single"/>
        </w:rPr>
        <w:t xml:space="preserve">, y únicamente podrán presentarse  a través de la Sede Electrónica, </w:t>
      </w:r>
      <w:hyperlink r:id="rId3">
        <w:r>
          <w:rPr>
            <w:rStyle w:val="EnlacedeInternet"/>
            <w:rFonts w:ascii="Times New Roman" w:hAnsi="Times New Roman"/>
            <w:highlight w:val="white"/>
          </w:rPr>
          <w:t>http://baiona.sedelectronica.gal</w:t>
        </w:r>
      </w:hyperlink>
    </w:p>
    <w:p>
      <w:pPr>
        <w:pStyle w:val="Normal"/>
        <w:widowControl w:val="false"/>
        <w:suppressAutoHyphens w:val="true"/>
        <w:spacing w:lineRule="atLeast" w:line="288"/>
        <w:textAlignment w:val="top"/>
        <w:rPr>
          <w:rFonts w:ascii="robotoregular" w:hAnsi="robotoregular"/>
          <w:color w:val="333333"/>
          <w:sz w:val="27"/>
          <w:szCs w:val="27"/>
          <w:highlight w:val="white"/>
        </w:rPr>
      </w:pPr>
      <w:r>
        <w:rPr>
          <w:rFonts w:ascii="robotoregular" w:hAnsi="robotoregular"/>
          <w:color w:val="333333"/>
          <w:sz w:val="27"/>
          <w:szCs w:val="27"/>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La presentación de la solicitud implicará que se autoriza al Ayuntamiento de Baiona para el tratamiento automatizado de todos los datos contenidos en ella.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Si la solicitud no reuniera los datos exigidos o cualquiera de los previstos en el artículo 66 de la Ley 39/2015, de 1 de octubre, del Procedimiento Administrativo Común de las Administraciones Públicas, se requerirá a los interesados para que, en un plazo de diez (10) días hábiles, e</w:t>
      </w:r>
      <w:r>
        <w:rPr>
          <w:rFonts w:ascii="Times New Roman" w:hAnsi="Times New Roman"/>
          <w:color w:val="333333"/>
          <w:highlight w:val="white"/>
        </w:rPr>
        <w:t>n</w:t>
      </w:r>
      <w:r>
        <w:rPr>
          <w:rFonts w:ascii="Times New Roman" w:hAnsi="Times New Roman"/>
          <w:color w:val="333333"/>
          <w:highlight w:val="white"/>
        </w:rPr>
        <w:t xml:space="preserve">menden las anomalías advertidas o presenten los documentos preceptivos, indicando que, en caso de no hacerlo, se tendrán por desistidos y se archivarán las solicitudes sin más trámite. </w:t>
      </w:r>
    </w:p>
    <w:p>
      <w:pPr>
        <w:pStyle w:val="Normal"/>
        <w:widowControl w:val="false"/>
        <w:suppressAutoHyphens w:val="true"/>
        <w:spacing w:lineRule="atLeast" w:line="288"/>
        <w:textAlignment w:val="top"/>
        <w:rPr>
          <w:rFonts w:ascii="robotoregular" w:hAnsi="robotoregular"/>
          <w:color w:val="333333"/>
          <w:sz w:val="27"/>
          <w:szCs w:val="27"/>
          <w:highlight w:val="white"/>
        </w:rPr>
      </w:pPr>
      <w:r>
        <w:rPr>
          <w:rFonts w:ascii="robotoregular" w:hAnsi="robotoregular"/>
          <w:color w:val="333333"/>
          <w:sz w:val="27"/>
          <w:szCs w:val="27"/>
          <w:highlight w:val="white"/>
        </w:rPr>
      </w:r>
    </w:p>
    <w:p>
      <w:pPr>
        <w:pStyle w:val="Normal"/>
        <w:widowControl w:val="false"/>
        <w:suppressAutoHyphens w:val="true"/>
        <w:spacing w:lineRule="atLeast" w:line="288"/>
        <w:textAlignment w:val="top"/>
        <w:rPr/>
      </w:pPr>
      <w:r>
        <w:rPr>
          <w:rFonts w:ascii="robotoregular" w:hAnsi="robotoregular"/>
          <w:b/>
          <w:color w:val="333333"/>
          <w:highlight w:val="white"/>
        </w:rPr>
        <w:t>S</w:t>
      </w:r>
      <w:r>
        <w:rPr>
          <w:rFonts w:ascii="robotoregular" w:hAnsi="robotoregular"/>
          <w:b/>
          <w:color w:val="333333"/>
          <w:highlight w:val="white"/>
        </w:rPr>
        <w:t>ÉPTIMA</w:t>
      </w:r>
      <w:r>
        <w:rPr>
          <w:rFonts w:ascii="robotoregular" w:hAnsi="robotoregular"/>
          <w:b/>
          <w:color w:val="333333"/>
          <w:highlight w:val="white"/>
        </w:rPr>
        <w:t>.—</w:t>
      </w:r>
      <w:r>
        <w:rPr>
          <w:rFonts w:ascii="robotoregular" w:hAnsi="robotoregular"/>
          <w:color w:val="333333"/>
          <w:highlight w:val="white"/>
        </w:rPr>
        <w:t xml:space="preserve">COMPATIBILIDAD DE LAS SUBVENCIONES. </w:t>
      </w:r>
    </w:p>
    <w:p>
      <w:pPr>
        <w:pStyle w:val="Normal"/>
        <w:widowControl w:val="false"/>
        <w:suppressAutoHyphens w:val="true"/>
        <w:spacing w:lineRule="atLeast" w:line="288"/>
        <w:textAlignment w:val="top"/>
        <w:rPr>
          <w:rFonts w:ascii="robotoregular" w:hAnsi="robotoregular"/>
          <w:color w:val="333333"/>
          <w:highlight w:val="white"/>
        </w:rPr>
      </w:pPr>
      <w:r>
        <w:rPr>
          <w:rFonts w:ascii="robotoregular" w:hAnsi="robotoregular"/>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1.- Estas subvenciones serán compatibles con cualquier otra subvención o ayuda para la misma finalidad, procedente de cualquier otra administración , o de entes públicos o privados, nacionales, de la Unión Europea o de organismos internacionales, aunque serán incompatibles con las subvenciones tramitadas a través de convenios nominativos de colaboración en relación a una concepto análogo al del objeto de la convocatoria, tramitados a través de la Concejalía de Cultura para el año 2021.</w:t>
      </w:r>
    </w:p>
    <w:p>
      <w:pPr>
        <w:pStyle w:val="Normal"/>
        <w:widowControl w:val="false"/>
        <w:suppressAutoHyphens w:val="true"/>
        <w:spacing w:lineRule="atLeast" w:line="288"/>
        <w:textAlignment w:val="top"/>
        <w:rPr/>
      </w:pPr>
      <w:r>
        <w:rPr>
          <w:rFonts w:ascii="Times New Roman" w:hAnsi="Times New Roman"/>
          <w:color w:val="333333"/>
          <w:highlight w:val="white"/>
        </w:rPr>
        <w:t xml:space="preserve">2.- </w:t>
      </w:r>
      <w:r>
        <w:rPr>
          <w:rFonts w:ascii="Times New Roman" w:hAnsi="Times New Roman"/>
          <w:color w:val="333333"/>
          <w:highlight w:val="white"/>
        </w:rPr>
        <w:t>La entidad beneficiaria deberá comunicar al Ayuntamiento de Baiona la obtención de otras subvenciones, ayudas, ingresos o recursos que financien la actividad subvencionada. Esta comunicación deberá efectuarse en el momento en el que se conozca y, en todo caso, con anterioridad a la justificación de la aplicación dada a los fondos recibidos.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3.- En cualquier caso, el importe total de la subvención o subvenciones no podrá superar el de la actividad subvencionada; caso en el que se procederá en la forma prevista en el artículo 34 del RD 887/2006, de 21 de junio, por el que se aprueba el Reglamento de la Ley General de Subvenciones.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b/>
          <w:bCs/>
          <w:color w:val="333333"/>
          <w:highlight w:val="white"/>
        </w:rPr>
        <w:t>OCTAVA</w:t>
      </w:r>
      <w:r>
        <w:rPr>
          <w:rFonts w:ascii="Times New Roman" w:hAnsi="Times New Roman"/>
          <w:b/>
          <w:bCs/>
          <w:color w:val="333333"/>
          <w:highlight w:val="white"/>
        </w:rPr>
        <w:t>.</w:t>
      </w:r>
      <w:r>
        <w:rPr>
          <w:rFonts w:ascii="Times New Roman" w:hAnsi="Times New Roman"/>
          <w:color w:val="333333"/>
          <w:highlight w:val="white"/>
        </w:rPr>
        <w:t>—CRITERIOS DE CONCESIÓN.</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La asignación de ayudas o subvenciones, se hará en función de los siguientes criterios: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 xml:space="preserve">1.- Características del proyecto: Número de población beneficiaria, </w:t>
      </w:r>
      <w:r>
        <w:rPr>
          <w:rFonts w:ascii="Times New Roman" w:hAnsi="Times New Roman"/>
          <w:color w:val="333333"/>
          <w:highlight w:val="white"/>
        </w:rPr>
        <w:t xml:space="preserve">o beneficiarios directos o indirectos de la actividad desarrollada. </w:t>
      </w:r>
      <w:r>
        <w:rPr>
          <w:rFonts w:ascii="Times New Roman" w:hAnsi="Times New Roman"/>
          <w:b/>
          <w:color w:val="333333"/>
          <w:highlight w:val="white"/>
        </w:rPr>
        <w:t>Hasta 30 puntos.</w:t>
      </w:r>
    </w:p>
    <w:p>
      <w:pPr>
        <w:pStyle w:val="ListParagraph"/>
        <w:widowControl w:val="false"/>
        <w:numPr>
          <w:ilvl w:val="0"/>
          <w:numId w:val="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Hasta 10 </w:t>
      </w:r>
      <w:r>
        <w:rPr>
          <w:rFonts w:ascii="Times New Roman" w:hAnsi="Times New Roman"/>
          <w:color w:val="333333"/>
          <w:highlight w:val="white"/>
        </w:rPr>
        <w:t>beneficiarios</w:t>
      </w:r>
      <w:r>
        <w:rPr>
          <w:rFonts w:ascii="Times New Roman" w:hAnsi="Times New Roman"/>
          <w:color w:val="333333"/>
          <w:highlight w:val="white"/>
        </w:rPr>
        <w:t xml:space="preserve">.................0 puntos </w:t>
      </w:r>
    </w:p>
    <w:p>
      <w:pPr>
        <w:pStyle w:val="ListParagraph"/>
        <w:widowControl w:val="false"/>
        <w:numPr>
          <w:ilvl w:val="0"/>
          <w:numId w:val="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11 a 25 “...................….............. 5 puntos </w:t>
      </w:r>
    </w:p>
    <w:p>
      <w:pPr>
        <w:pStyle w:val="ListParagraph"/>
        <w:widowControl w:val="false"/>
        <w:numPr>
          <w:ilvl w:val="0"/>
          <w:numId w:val="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26 a 50 “...................…….......... 10 puntos </w:t>
      </w:r>
    </w:p>
    <w:p>
      <w:pPr>
        <w:pStyle w:val="ListParagraph"/>
        <w:widowControl w:val="false"/>
        <w:numPr>
          <w:ilvl w:val="0"/>
          <w:numId w:val="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51 a 100 “.............................. 20 puntos </w:t>
      </w:r>
    </w:p>
    <w:p>
      <w:pPr>
        <w:pStyle w:val="ListParagraph"/>
        <w:widowControl w:val="false"/>
        <w:numPr>
          <w:ilvl w:val="0"/>
          <w:numId w:val="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más de 100 “........................ 30 puntos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 xml:space="preserve">2- Número de socios de la asociación. </w:t>
      </w:r>
      <w:r>
        <w:rPr>
          <w:rFonts w:ascii="Times New Roman" w:hAnsi="Times New Roman"/>
          <w:b/>
          <w:color w:val="333333"/>
          <w:highlight w:val="white"/>
        </w:rPr>
        <w:t>Hasta 3</w:t>
      </w:r>
      <w:r>
        <w:rPr>
          <w:rFonts w:ascii="Times New Roman" w:hAnsi="Times New Roman"/>
          <w:b/>
          <w:color w:val="333333"/>
          <w:highlight w:val="white"/>
        </w:rPr>
        <w:t>5</w:t>
      </w:r>
      <w:r>
        <w:rPr>
          <w:rFonts w:ascii="Times New Roman" w:hAnsi="Times New Roman"/>
          <w:b/>
          <w:color w:val="333333"/>
          <w:highlight w:val="white"/>
        </w:rPr>
        <w:t xml:space="preserve"> puntos.</w:t>
      </w:r>
    </w:p>
    <w:p>
      <w:pPr>
        <w:pStyle w:val="ListParagraph"/>
        <w:widowControl w:val="false"/>
        <w:numPr>
          <w:ilvl w:val="0"/>
          <w:numId w:val="3"/>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Hasta 50 socios……….....................10 puntos </w:t>
      </w:r>
    </w:p>
    <w:p>
      <w:pPr>
        <w:pStyle w:val="ListParagraph"/>
        <w:widowControl w:val="false"/>
        <w:numPr>
          <w:ilvl w:val="0"/>
          <w:numId w:val="3"/>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51 a 100 socios............................20 puntos</w:t>
      </w:r>
    </w:p>
    <w:p>
      <w:pPr>
        <w:pStyle w:val="ListParagraph"/>
        <w:widowControl w:val="false"/>
        <w:numPr>
          <w:ilvl w:val="0"/>
          <w:numId w:val="3"/>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De </w:t>
      </w:r>
      <w:r>
        <w:rPr>
          <w:rFonts w:ascii="Times New Roman" w:hAnsi="Times New Roman"/>
          <w:color w:val="333333"/>
          <w:highlight w:val="white"/>
        </w:rPr>
        <w:t xml:space="preserve">101  </w:t>
      </w:r>
      <w:r>
        <w:rPr>
          <w:rFonts w:ascii="Times New Roman" w:hAnsi="Times New Roman"/>
          <w:color w:val="333333"/>
          <w:highlight w:val="white"/>
        </w:rPr>
        <w:t xml:space="preserve">a 150 </w:t>
      </w:r>
      <w:r>
        <w:rPr>
          <w:rFonts w:ascii="Times New Roman" w:hAnsi="Times New Roman"/>
          <w:color w:val="333333"/>
          <w:highlight w:val="white"/>
        </w:rPr>
        <w:t>socios.........................30 puntos</w:t>
      </w:r>
    </w:p>
    <w:p>
      <w:pPr>
        <w:pStyle w:val="ListParagraph"/>
        <w:widowControl w:val="false"/>
        <w:numPr>
          <w:ilvl w:val="0"/>
          <w:numId w:val="3"/>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Más de 151 socios …………………35 puntos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3</w:t>
      </w:r>
      <w:r>
        <w:rPr>
          <w:rFonts w:ascii="Times New Roman" w:hAnsi="Times New Roman"/>
          <w:color w:val="333333"/>
          <w:highlight w:val="white"/>
        </w:rPr>
        <w:t>- Porcentaje de cofinanciación de la actividad por medio de aportaciones económicas de las entidades, patrocinios, etc. (a mayor porcentaje de cofinanciación, mayor puntuación</w:t>
      </w:r>
      <w:r>
        <w:rPr>
          <w:rFonts w:ascii="Times New Roman" w:hAnsi="Times New Roman"/>
          <w:b/>
          <w:color w:val="333333"/>
          <w:highlight w:val="white"/>
        </w:rPr>
        <w:t>). Hasta 1</w:t>
      </w:r>
      <w:r>
        <w:rPr>
          <w:rFonts w:ascii="Times New Roman" w:hAnsi="Times New Roman"/>
          <w:b/>
          <w:color w:val="333333"/>
          <w:highlight w:val="white"/>
        </w:rPr>
        <w:t>5</w:t>
      </w:r>
      <w:r>
        <w:rPr>
          <w:rFonts w:ascii="Times New Roman" w:hAnsi="Times New Roman"/>
          <w:b/>
          <w:color w:val="333333"/>
          <w:highlight w:val="white"/>
        </w:rPr>
        <w:t xml:space="preserve"> puntos. </w:t>
      </w:r>
    </w:p>
    <w:p>
      <w:pPr>
        <w:pStyle w:val="ListParagraph"/>
        <w:widowControl w:val="false"/>
        <w:numPr>
          <w:ilvl w:val="0"/>
          <w:numId w:val="6"/>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0 a </w:t>
      </w:r>
      <w:r>
        <w:rPr>
          <w:rFonts w:ascii="Times New Roman" w:hAnsi="Times New Roman"/>
          <w:color w:val="333333"/>
          <w:highlight w:val="white"/>
        </w:rPr>
        <w:t>35</w:t>
      </w:r>
      <w:r>
        <w:rPr>
          <w:rFonts w:ascii="Times New Roman" w:hAnsi="Times New Roman"/>
          <w:color w:val="333333"/>
          <w:highlight w:val="white"/>
        </w:rPr>
        <w:t xml:space="preserve"> %............................ 5 puntos </w:t>
      </w:r>
    </w:p>
    <w:p>
      <w:pPr>
        <w:pStyle w:val="ListParagraph"/>
        <w:widowControl w:val="false"/>
        <w:numPr>
          <w:ilvl w:val="0"/>
          <w:numId w:val="6"/>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36% a 70% …………..10 puntos</w:t>
      </w:r>
    </w:p>
    <w:p>
      <w:pPr>
        <w:pStyle w:val="ListParagraph"/>
        <w:widowControl w:val="false"/>
        <w:numPr>
          <w:ilvl w:val="0"/>
          <w:numId w:val="6"/>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71%</w:t>
      </w:r>
      <w:r>
        <w:rPr>
          <w:rFonts w:ascii="Times New Roman" w:hAnsi="Times New Roman"/>
          <w:color w:val="333333"/>
          <w:highlight w:val="white"/>
        </w:rPr>
        <w:t xml:space="preserve"> a 9</w:t>
      </w:r>
      <w:r>
        <w:rPr>
          <w:rFonts w:ascii="Times New Roman" w:hAnsi="Times New Roman"/>
          <w:color w:val="333333"/>
          <w:highlight w:val="white"/>
        </w:rPr>
        <w:t>0</w:t>
      </w:r>
      <w:r>
        <w:rPr>
          <w:rFonts w:ascii="Times New Roman" w:hAnsi="Times New Roman"/>
          <w:color w:val="333333"/>
          <w:highlight w:val="white"/>
        </w:rPr>
        <w:t xml:space="preserve"> %..................1</w:t>
      </w:r>
      <w:r>
        <w:rPr>
          <w:rFonts w:ascii="Times New Roman" w:hAnsi="Times New Roman"/>
          <w:color w:val="333333"/>
          <w:highlight w:val="white"/>
        </w:rPr>
        <w:t>5</w:t>
      </w:r>
      <w:r>
        <w:rPr>
          <w:rFonts w:ascii="Times New Roman" w:hAnsi="Times New Roman"/>
          <w:color w:val="333333"/>
          <w:highlight w:val="white"/>
        </w:rPr>
        <w:t xml:space="preserve"> puntos </w:t>
      </w:r>
    </w:p>
    <w:p>
      <w:pPr>
        <w:pStyle w:val="ListParagraph"/>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ListParagraph"/>
        <w:widowControl w:val="false"/>
        <w:suppressAutoHyphens w:val="true"/>
        <w:spacing w:lineRule="atLeast" w:line="288"/>
        <w:ind w:left="0" w:right="0" w:hanging="0"/>
        <w:textAlignment w:val="top"/>
        <w:rPr>
          <w:rFonts w:ascii="Times New Roman" w:hAnsi="Times New Roman"/>
          <w:color w:val="333333"/>
          <w:highlight w:val="white"/>
        </w:rPr>
      </w:pPr>
      <w:r>
        <w:rPr>
          <w:rFonts w:ascii="Times New Roman" w:hAnsi="Times New Roman"/>
          <w:color w:val="333333"/>
          <w:highlight w:val="white"/>
        </w:rPr>
        <w:t xml:space="preserve">4.- Uso y fomento de la lengua gallega en el ámbito de actuación de cada entidad. </w:t>
      </w:r>
      <w:r>
        <w:rPr>
          <w:rFonts w:ascii="Times New Roman" w:hAnsi="Times New Roman"/>
          <w:b/>
          <w:bCs/>
          <w:color w:val="333333"/>
          <w:highlight w:val="white"/>
        </w:rPr>
        <w:t>Hasta 10 puntos.</w:t>
      </w:r>
    </w:p>
    <w:p>
      <w:pPr>
        <w:pStyle w:val="ListParagraph"/>
        <w:widowControl w:val="false"/>
        <w:numPr>
          <w:ilvl w:val="0"/>
          <w:numId w:val="6"/>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Con acreditación del uso de la lengua gallega, a través de folletos, carteles, página web o publicidad en redes sociales o otros medios de comunicación…….10 puntos.</w:t>
      </w:r>
    </w:p>
    <w:p>
      <w:pPr>
        <w:pStyle w:val="ListParagraph"/>
        <w:widowControl w:val="false"/>
        <w:numPr>
          <w:ilvl w:val="0"/>
          <w:numId w:val="6"/>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No acredita el uso de la lengua gallega………………………………. 0 puntos.</w:t>
      </w:r>
    </w:p>
    <w:p>
      <w:pPr>
        <w:pStyle w:val="ListParagraph"/>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5</w:t>
      </w:r>
      <w:r>
        <w:rPr>
          <w:rFonts w:ascii="Times New Roman" w:hAnsi="Times New Roman"/>
          <w:color w:val="333333"/>
          <w:highlight w:val="white"/>
        </w:rPr>
        <w:t xml:space="preserve">.- Número de ediciones de la actividad: (este dato se acreditará mediante soporte gráfico en el que conste el nº de ediciones). </w:t>
      </w:r>
      <w:r>
        <w:rPr>
          <w:rFonts w:ascii="Times New Roman" w:hAnsi="Times New Roman"/>
          <w:b/>
          <w:color w:val="333333"/>
          <w:highlight w:val="white"/>
        </w:rPr>
        <w:t>Hasta 10 puntos</w:t>
      </w:r>
      <w:r>
        <w:rPr>
          <w:rFonts w:ascii="Times New Roman" w:hAnsi="Times New Roman"/>
          <w:color w:val="333333"/>
          <w:highlight w:val="white"/>
        </w:rPr>
        <w:t xml:space="preserve">. </w:t>
      </w:r>
    </w:p>
    <w:p>
      <w:pPr>
        <w:pStyle w:val="ListParagraph"/>
        <w:widowControl w:val="false"/>
        <w:numPr>
          <w:ilvl w:val="0"/>
          <w:numId w:val="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Más de 20.........................10 puntos</w:t>
      </w:r>
    </w:p>
    <w:p>
      <w:pPr>
        <w:pStyle w:val="ListParagraph"/>
        <w:widowControl w:val="false"/>
        <w:numPr>
          <w:ilvl w:val="0"/>
          <w:numId w:val="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15-19 .............................8 puntos</w:t>
      </w:r>
    </w:p>
    <w:p>
      <w:pPr>
        <w:pStyle w:val="ListParagraph"/>
        <w:widowControl w:val="false"/>
        <w:numPr>
          <w:ilvl w:val="0"/>
          <w:numId w:val="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10-14..............................5 puntos</w:t>
      </w:r>
    </w:p>
    <w:p>
      <w:pPr>
        <w:pStyle w:val="ListParagraph"/>
        <w:widowControl w:val="false"/>
        <w:numPr>
          <w:ilvl w:val="0"/>
          <w:numId w:val="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5-9..................................3 puntos</w:t>
      </w:r>
    </w:p>
    <w:p>
      <w:pPr>
        <w:pStyle w:val="ListParagraph"/>
        <w:widowControl w:val="false"/>
        <w:numPr>
          <w:ilvl w:val="0"/>
          <w:numId w:val="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menos de 5 .........................2 puntos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La cuantía de la subvención que se concederá a cada una de las solicitudes, será en función de la puntuación conseguida por cada una de ellas, ajustándose a los siguientes tramos: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Menos de 10 puntos: 0,00 €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1</w:t>
      </w:r>
      <w:r>
        <w:rPr>
          <w:rFonts w:ascii="Times New Roman" w:hAnsi="Times New Roman"/>
          <w:color w:val="333333"/>
          <w:highlight w:val="white"/>
        </w:rPr>
        <w:t>1</w:t>
      </w:r>
      <w:r>
        <w:rPr>
          <w:rFonts w:ascii="Times New Roman" w:hAnsi="Times New Roman"/>
          <w:color w:val="333333"/>
          <w:highlight w:val="white"/>
        </w:rPr>
        <w:t xml:space="preserve"> a 20 puntos: 200 €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2</w:t>
      </w:r>
      <w:r>
        <w:rPr>
          <w:rFonts w:ascii="Times New Roman" w:hAnsi="Times New Roman"/>
          <w:color w:val="333333"/>
          <w:highlight w:val="white"/>
        </w:rPr>
        <w:t>1</w:t>
      </w:r>
      <w:r>
        <w:rPr>
          <w:rFonts w:ascii="Times New Roman" w:hAnsi="Times New Roman"/>
          <w:color w:val="333333"/>
          <w:highlight w:val="white"/>
        </w:rPr>
        <w:t xml:space="preserve"> a 30 puntos: 300 €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3</w:t>
      </w:r>
      <w:r>
        <w:rPr>
          <w:rFonts w:ascii="Times New Roman" w:hAnsi="Times New Roman"/>
          <w:color w:val="333333"/>
          <w:highlight w:val="white"/>
        </w:rPr>
        <w:t>1</w:t>
      </w:r>
      <w:r>
        <w:rPr>
          <w:rFonts w:ascii="Times New Roman" w:hAnsi="Times New Roman"/>
          <w:color w:val="333333"/>
          <w:highlight w:val="white"/>
        </w:rPr>
        <w:t xml:space="preserve"> a 40 puntos: 400 €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4</w:t>
      </w:r>
      <w:r>
        <w:rPr>
          <w:rFonts w:ascii="Times New Roman" w:hAnsi="Times New Roman"/>
          <w:color w:val="333333"/>
          <w:highlight w:val="white"/>
        </w:rPr>
        <w:t>1</w:t>
      </w:r>
      <w:r>
        <w:rPr>
          <w:rFonts w:ascii="Times New Roman" w:hAnsi="Times New Roman"/>
          <w:color w:val="333333"/>
          <w:highlight w:val="white"/>
        </w:rPr>
        <w:t xml:space="preserve"> a 50 puntos: 500 €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5</w:t>
      </w:r>
      <w:r>
        <w:rPr>
          <w:rFonts w:ascii="Times New Roman" w:hAnsi="Times New Roman"/>
          <w:color w:val="333333"/>
          <w:highlight w:val="white"/>
        </w:rPr>
        <w:t>1</w:t>
      </w:r>
      <w:r>
        <w:rPr>
          <w:rFonts w:ascii="Times New Roman" w:hAnsi="Times New Roman"/>
          <w:color w:val="333333"/>
          <w:highlight w:val="white"/>
        </w:rPr>
        <w:t xml:space="preserve"> a 60 puntos: 600 €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6</w:t>
      </w:r>
      <w:r>
        <w:rPr>
          <w:rFonts w:ascii="Times New Roman" w:hAnsi="Times New Roman"/>
          <w:color w:val="333333"/>
          <w:highlight w:val="white"/>
        </w:rPr>
        <w:t>1</w:t>
      </w:r>
      <w:r>
        <w:rPr>
          <w:rFonts w:ascii="Times New Roman" w:hAnsi="Times New Roman"/>
          <w:color w:val="333333"/>
          <w:highlight w:val="white"/>
        </w:rPr>
        <w:t xml:space="preserve"> a 70 puntos: 700 €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7</w:t>
      </w:r>
      <w:r>
        <w:rPr>
          <w:rFonts w:ascii="Times New Roman" w:hAnsi="Times New Roman"/>
          <w:color w:val="333333"/>
          <w:highlight w:val="white"/>
        </w:rPr>
        <w:t>1</w:t>
      </w:r>
      <w:r>
        <w:rPr>
          <w:rFonts w:ascii="Times New Roman" w:hAnsi="Times New Roman"/>
          <w:color w:val="333333"/>
          <w:highlight w:val="white"/>
        </w:rPr>
        <w:t xml:space="preserve"> a 80 puntos: 800 €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8</w:t>
      </w:r>
      <w:r>
        <w:rPr>
          <w:rFonts w:ascii="Times New Roman" w:hAnsi="Times New Roman"/>
          <w:color w:val="333333"/>
          <w:highlight w:val="white"/>
        </w:rPr>
        <w:t>1</w:t>
      </w:r>
      <w:r>
        <w:rPr>
          <w:rFonts w:ascii="Times New Roman" w:hAnsi="Times New Roman"/>
          <w:color w:val="333333"/>
          <w:highlight w:val="white"/>
        </w:rPr>
        <w:t xml:space="preserve"> a 90 puntos: 900 € </w:t>
      </w:r>
    </w:p>
    <w:p>
      <w:pPr>
        <w:pStyle w:val="Normal"/>
        <w:widowControl w:val="false"/>
        <w:numPr>
          <w:ilvl w:val="0"/>
          <w:numId w:val="14"/>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De 9</w:t>
      </w:r>
      <w:r>
        <w:rPr>
          <w:rFonts w:ascii="Times New Roman" w:hAnsi="Times New Roman"/>
          <w:color w:val="333333"/>
          <w:highlight w:val="white"/>
        </w:rPr>
        <w:t>1</w:t>
      </w:r>
      <w:r>
        <w:rPr>
          <w:rFonts w:ascii="Times New Roman" w:hAnsi="Times New Roman"/>
          <w:color w:val="333333"/>
          <w:highlight w:val="white"/>
        </w:rPr>
        <w:t xml:space="preserve"> a 100 puntos: 1.000 €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 xml:space="preserve"> </w:t>
      </w:r>
      <w:r>
        <w:rPr>
          <w:rFonts w:ascii="Times New Roman" w:hAnsi="Times New Roman"/>
          <w:b/>
          <w:color w:val="333333"/>
          <w:highlight w:val="white"/>
        </w:rPr>
        <w:t>NOVENA</w:t>
      </w:r>
      <w:r>
        <w:rPr>
          <w:rFonts w:ascii="Times New Roman" w:hAnsi="Times New Roman"/>
          <w:color w:val="333333"/>
          <w:highlight w:val="white"/>
        </w:rPr>
        <w:t>.—INSTRUCCIÓN Y RESOLUCIÓN.</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1. La valoración de las solicitudes le corresponderá a la Comisión de Valoración, que estará constituida por </w:t>
      </w:r>
      <w:r>
        <w:rPr>
          <w:rFonts w:ascii="Times New Roman" w:hAnsi="Times New Roman"/>
          <w:color w:val="333333"/>
          <w:highlight w:val="white"/>
        </w:rPr>
        <w:t>los siguientes miembros:</w:t>
      </w:r>
    </w:p>
    <w:p>
      <w:pPr>
        <w:pStyle w:val="Normal"/>
        <w:widowControl w:val="false"/>
        <w:numPr>
          <w:ilvl w:val="0"/>
          <w:numId w:val="1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 </w:t>
      </w:r>
      <w:r>
        <w:rPr>
          <w:rFonts w:ascii="Times New Roman" w:hAnsi="Times New Roman"/>
          <w:color w:val="333333"/>
          <w:highlight w:val="white"/>
        </w:rPr>
        <w:t xml:space="preserve">El </w:t>
      </w:r>
      <w:r>
        <w:rPr>
          <w:rFonts w:ascii="Times New Roman" w:hAnsi="Times New Roman"/>
          <w:color w:val="333333"/>
          <w:highlight w:val="white"/>
        </w:rPr>
        <w:t xml:space="preserve">Alcalde, </w:t>
      </w:r>
      <w:r>
        <w:rPr>
          <w:rFonts w:ascii="Times New Roman" w:hAnsi="Times New Roman"/>
          <w:color w:val="333333"/>
          <w:highlight w:val="white"/>
        </w:rPr>
        <w:t>que actuará como presidente</w:t>
      </w:r>
    </w:p>
    <w:p>
      <w:pPr>
        <w:pStyle w:val="Normal"/>
        <w:widowControl w:val="false"/>
        <w:numPr>
          <w:ilvl w:val="0"/>
          <w:numId w:val="1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La</w:t>
      </w:r>
      <w:r>
        <w:rPr>
          <w:rFonts w:ascii="Times New Roman" w:hAnsi="Times New Roman"/>
          <w:color w:val="333333"/>
          <w:highlight w:val="white"/>
        </w:rPr>
        <w:t xml:space="preserve"> Concejala de </w:t>
      </w:r>
      <w:r>
        <w:rPr>
          <w:rFonts w:ascii="Times New Roman" w:hAnsi="Times New Roman"/>
          <w:color w:val="333333"/>
          <w:highlight w:val="white"/>
        </w:rPr>
        <w:t>Cultura</w:t>
      </w:r>
    </w:p>
    <w:p>
      <w:pPr>
        <w:pStyle w:val="Normal"/>
        <w:widowControl w:val="false"/>
        <w:numPr>
          <w:ilvl w:val="0"/>
          <w:numId w:val="1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La Técnico del Departamento de Cultura</w:t>
      </w:r>
    </w:p>
    <w:p>
      <w:pPr>
        <w:pStyle w:val="Normal"/>
        <w:widowControl w:val="false"/>
        <w:numPr>
          <w:ilvl w:val="0"/>
          <w:numId w:val="15"/>
        </w:numPr>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Un funcionario/a del área de Secretaría General, que actuará como Secretario/a de la Comisión.</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Todos y cada uno de los miembros de esta comisión podrán ser sustituidos por las personas en las que delegue cada uno de ellos.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2. La comisión examinará cada una de las solicitudes presentadas, y aplicará los criterios de valoración aprobados en las presentes bases, </w:t>
      </w:r>
      <w:r>
        <w:rPr>
          <w:rFonts w:ascii="Times New Roman" w:hAnsi="Times New Roman"/>
          <w:color w:val="333333"/>
          <w:highlight w:val="white"/>
        </w:rPr>
        <w:t>con el</w:t>
      </w:r>
      <w:r>
        <w:rPr>
          <w:rFonts w:ascii="Times New Roman" w:hAnsi="Times New Roman"/>
          <w:color w:val="333333"/>
          <w:highlight w:val="white"/>
        </w:rPr>
        <w:t xml:space="preserve"> fin de establecer una prelación entre las mismas y formular la correspondiente propuesta de adjudicación a favor de aquellas que </w:t>
      </w:r>
      <w:r>
        <w:rPr>
          <w:rFonts w:ascii="Times New Roman" w:hAnsi="Times New Roman"/>
          <w:color w:val="333333"/>
          <w:highlight w:val="white"/>
        </w:rPr>
        <w:t>obtuvieran</w:t>
      </w:r>
      <w:r>
        <w:rPr>
          <w:rFonts w:ascii="Times New Roman" w:hAnsi="Times New Roman"/>
          <w:color w:val="333333"/>
          <w:highlight w:val="white"/>
        </w:rPr>
        <w:t xml:space="preserve"> mayor valoración.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3. La cuantía de la subvención que se otorgará a cada beneficiario será directamente proporcional a la puntuación obtenida, sin que en ningún caso se pueda superar el límite de crédito presupuestario disponible.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4. La propuesta de adjudicación deberá expresar la relación de solicitantes para los que se propone la concesión de la subvención, su cuantía individual, así como la puntuación obtenida por cada uno, por aplicación de los criterios de valoración.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5. Posteriormente, la propuesta pasará a la Intervención Municipal para que realice su fiscalización, de acuerdo con el Real Decreto Legislativo 2/2004, de 5 de marzo, por </w:t>
      </w:r>
      <w:r>
        <w:rPr>
          <w:rFonts w:ascii="Times New Roman" w:hAnsi="Times New Roman"/>
          <w:color w:val="333333"/>
          <w:highlight w:val="white"/>
        </w:rPr>
        <w:t>el</w:t>
      </w:r>
      <w:r>
        <w:rPr>
          <w:rFonts w:ascii="Times New Roman" w:hAnsi="Times New Roman"/>
          <w:color w:val="333333"/>
          <w:highlight w:val="white"/>
        </w:rPr>
        <w:t xml:space="preserve"> que se aprueba el Texto refundido de la Ley reguladora de las haciendas locales. A partir de la propuesta y tras el informe de la Intervención Municipal, la Junta de Gobierno Local concederá las subvenciones mediante acuerdo en el que se especifique la relación de entidades a las que se les concede la ayuda y la desestimación de las restantes solicitudes.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6</w:t>
      </w:r>
      <w:r>
        <w:rPr>
          <w:rFonts w:ascii="Times New Roman" w:hAnsi="Times New Roman"/>
          <w:color w:val="333333"/>
          <w:highlight w:val="white"/>
        </w:rPr>
        <w:t xml:space="preserve">.- El otorgamiento de las subvenciones se notificará a las entidades interesadas de acuerdo con lo establecido en los artículos 40, 42 y 43 de la Ley 39/2015, de 1 de octubre, del procedimiento administrativo común de las Administraciones Públicas. Si en el plazo de diez días, la entidad beneficiaria no manifestó el contrario, se entenderá que acepta la subvención que queda sujeta a los deberes derivados de la normativa sobre ayudas y subvenciones a entidades sin fines de lucro.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7</w:t>
      </w:r>
      <w:r>
        <w:rPr>
          <w:rFonts w:ascii="Times New Roman" w:hAnsi="Times New Roman"/>
          <w:color w:val="333333"/>
          <w:highlight w:val="white"/>
        </w:rPr>
        <w:t xml:space="preserve">. El plazo máximo para resolver las solicitudes de subvención y notificar las resoluciones será de tres meses desde que finalice del plazo establecido en estas bases para la presentación de solicitudes, y el silencio administrativo será desestimatorio. </w:t>
      </w:r>
    </w:p>
    <w:p>
      <w:pPr>
        <w:pStyle w:val="Normal"/>
        <w:widowControl w:val="false"/>
        <w:suppressAutoHyphens w:val="true"/>
        <w:spacing w:lineRule="atLeast" w:line="288"/>
        <w:textAlignment w:val="top"/>
        <w:rPr>
          <w:rFonts w:ascii="Times New Roman" w:hAnsi="Times New Roman"/>
          <w:b/>
          <w:b/>
          <w:color w:val="333333"/>
          <w:highlight w:val="white"/>
        </w:rPr>
      </w:pPr>
      <w:r>
        <w:rPr>
          <w:rFonts w:ascii="Times New Roman" w:hAnsi="Times New Roman"/>
          <w:b/>
          <w:color w:val="333333"/>
          <w:highlight w:val="white"/>
        </w:rPr>
      </w:r>
    </w:p>
    <w:p>
      <w:pPr>
        <w:pStyle w:val="Normal"/>
        <w:widowControl w:val="false"/>
        <w:suppressAutoHyphens w:val="true"/>
        <w:spacing w:lineRule="atLeast" w:line="288"/>
        <w:textAlignment w:val="top"/>
        <w:rPr>
          <w:rFonts w:ascii="Times New Roman" w:hAnsi="Times New Roman"/>
          <w:b/>
          <w:b/>
          <w:color w:val="333333"/>
          <w:highlight w:val="white"/>
        </w:rPr>
      </w:pPr>
      <w:r>
        <w:rPr>
          <w:rFonts w:ascii="Times New Roman" w:hAnsi="Times New Roman"/>
          <w:b/>
          <w:color w:val="333333"/>
          <w:highlight w:val="white"/>
        </w:rPr>
        <w:t>DÉCIMA</w:t>
      </w:r>
      <w:r>
        <w:rPr>
          <w:rFonts w:ascii="Times New Roman" w:hAnsi="Times New Roman"/>
          <w:b/>
          <w:color w:val="333333"/>
          <w:highlight w:val="white"/>
        </w:rPr>
        <w:t>.—OBLIGACIONES DE LOS BENEFICIARIOS.</w:t>
      </w:r>
    </w:p>
    <w:p>
      <w:pPr>
        <w:pStyle w:val="Normal"/>
        <w:widowControl w:val="false"/>
        <w:suppressAutoHyphens w:val="true"/>
        <w:spacing w:lineRule="atLeast" w:line="288"/>
        <w:textAlignment w:val="top"/>
        <w:rPr>
          <w:rFonts w:ascii="Times New Roman" w:hAnsi="Times New Roman"/>
          <w:b/>
          <w:b/>
          <w:color w:val="333333"/>
          <w:highlight w:val="white"/>
        </w:rPr>
      </w:pPr>
      <w:r>
        <w:rPr>
          <w:rFonts w:ascii="Times New Roman" w:hAnsi="Times New Roman"/>
          <w:b/>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A parte de las que figuran en la cláusula tercera, los beneficiarios de subvenciones concedidas con cargo al Presupuesto municipal tienen la</w:t>
      </w:r>
      <w:bookmarkStart w:id="0" w:name="_GoBack"/>
      <w:bookmarkEnd w:id="0"/>
      <w:r>
        <w:rPr>
          <w:rFonts w:ascii="Times New Roman" w:hAnsi="Times New Roman"/>
          <w:color w:val="333333"/>
          <w:highlight w:val="white"/>
        </w:rPr>
        <w:t>s siguientes  obligaciones, de conformidad con lo señalado en el artículo 14 de la Ley General de subvenciones.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a.—Justificar el cumplimiento de los requisitos y condiciones, así como la realización de la actividad o inversión y el cumplimiento de la finalidad que determinen la concesión de subvención.</w:t>
      </w:r>
    </w:p>
    <w:p>
      <w:pPr>
        <w:pStyle w:val="Normal"/>
        <w:widowControl w:val="false"/>
        <w:suppressAutoHyphens w:val="true"/>
        <w:spacing w:lineRule="atLeast" w:line="288"/>
        <w:textAlignment w:val="top"/>
        <w:rPr/>
      </w:pPr>
      <w:r>
        <w:rPr>
          <w:rFonts w:ascii="Times New Roman" w:hAnsi="Times New Roman"/>
          <w:color w:val="333333"/>
        </w:rPr>
        <w:br/>
      </w:r>
      <w:r>
        <w:rPr>
          <w:rFonts w:ascii="Times New Roman" w:hAnsi="Times New Roman"/>
          <w:color w:val="333333"/>
          <w:highlight w:val="white"/>
        </w:rPr>
        <w:t>b.—Conservar los documentos justificativos de la aplicación dada a los fondos recibidos, en tanto puedan ser objeto de las actuaciones de comprobación y control.</w:t>
      </w:r>
    </w:p>
    <w:p>
      <w:pPr>
        <w:pStyle w:val="Normal"/>
        <w:widowControl w:val="false"/>
        <w:suppressAutoHyphens w:val="true"/>
        <w:spacing w:lineRule="atLeast" w:line="288"/>
        <w:textAlignment w:val="top"/>
        <w:rPr/>
      </w:pPr>
      <w:r>
        <w:rPr>
          <w:rFonts w:ascii="Times New Roman" w:hAnsi="Times New Roman"/>
          <w:color w:val="333333"/>
        </w:rPr>
        <w:br/>
      </w:r>
      <w:r>
        <w:rPr>
          <w:rFonts w:ascii="Times New Roman" w:hAnsi="Times New Roman"/>
          <w:color w:val="333333"/>
          <w:highlight w:val="white"/>
        </w:rPr>
        <w:t xml:space="preserve">c.—Dar adecuada publicidad de la ayuda concedida para la actividad o actuación objeto de subvención </w:t>
      </w:r>
      <w:r>
        <w:rPr>
          <w:rFonts w:ascii="Times New Roman" w:hAnsi="Times New Roman"/>
          <w:color w:val="333333"/>
          <w:highlight w:val="white"/>
        </w:rPr>
        <w:t>e incluir el logo del Ayuntamiento de Baiona</w:t>
      </w:r>
      <w:r>
        <w:rPr>
          <w:rFonts w:ascii="Times New Roman" w:hAnsi="Times New Roman"/>
          <w:color w:val="333333"/>
          <w:highlight w:val="white"/>
        </w:rPr>
        <w:t xml:space="preserve"> </w:t>
      </w:r>
      <w:r>
        <w:rPr>
          <w:rFonts w:ascii="Times New Roman" w:hAnsi="Times New Roman"/>
          <w:color w:val="333333"/>
          <w:highlight w:val="white"/>
        </w:rPr>
        <w:t xml:space="preserve">en la realización de </w:t>
      </w:r>
      <w:r>
        <w:rPr>
          <w:rFonts w:ascii="Times New Roman" w:hAnsi="Times New Roman"/>
          <w:color w:val="333333"/>
          <w:highlight w:val="white"/>
        </w:rPr>
        <w:t xml:space="preserve">cartelería, publicidad, recortes de prensa, vallados, pancartas, </w:t>
      </w:r>
      <w:r>
        <w:rPr>
          <w:rFonts w:ascii="Times New Roman" w:hAnsi="Times New Roman"/>
          <w:color w:val="333333"/>
          <w:highlight w:val="white"/>
        </w:rPr>
        <w:t>r</w:t>
      </w:r>
      <w:r>
        <w:rPr>
          <w:rFonts w:ascii="Times New Roman" w:hAnsi="Times New Roman"/>
          <w:color w:val="333333"/>
          <w:highlight w:val="white"/>
        </w:rPr>
        <w:t xml:space="preserve">edes </w:t>
      </w:r>
      <w:r>
        <w:rPr>
          <w:rFonts w:ascii="Times New Roman" w:hAnsi="Times New Roman"/>
          <w:color w:val="333333"/>
          <w:highlight w:val="white"/>
        </w:rPr>
        <w:t>s</w:t>
      </w:r>
      <w:r>
        <w:rPr>
          <w:rFonts w:ascii="Times New Roman" w:hAnsi="Times New Roman"/>
          <w:color w:val="333333"/>
          <w:highlight w:val="white"/>
        </w:rPr>
        <w:t>ociales, ect.</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d.—</w:t>
      </w:r>
      <w:r>
        <w:rPr>
          <w:rFonts w:ascii="Times New Roman" w:hAnsi="Times New Roman"/>
          <w:color w:val="333333"/>
          <w:highlight w:val="white"/>
        </w:rPr>
        <w:t xml:space="preserve">Abonar todas las facturas que figuren en la cuenta justificativa </w:t>
      </w:r>
      <w:r>
        <w:rPr>
          <w:rFonts w:ascii="Times New Roman" w:hAnsi="Times New Roman"/>
          <w:color w:val="333333"/>
          <w:highlight w:val="white"/>
        </w:rPr>
        <w:t xml:space="preserve">con anterioridad a presentación de la justificación de la subvención.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 xml:space="preserve">e.—Los beneficiarios de las subvenciones deberán utilizar, con carácter general, formas de pago a terceros que puedan acreditarse mediante documento expedido por una entidad financiera en el que quede identificado el beneficiario, el importe y la fecha de pago (Transferencias bancarias, talones nominativos.) y sólo excepcionalmente podrán utilizar el pago metálico cuando no sea posible otra forma alternativa y el importe no supere los </w:t>
      </w:r>
      <w:r>
        <w:rPr>
          <w:rFonts w:ascii="Times New Roman" w:hAnsi="Times New Roman"/>
          <w:b/>
          <w:bCs/>
          <w:color w:val="333333"/>
          <w:highlight w:val="white"/>
        </w:rPr>
        <w:t>100</w:t>
      </w:r>
      <w:r>
        <w:rPr>
          <w:rFonts w:ascii="Times New Roman" w:hAnsi="Times New Roman"/>
          <w:b/>
          <w:bCs/>
          <w:color w:val="333333"/>
          <w:highlight w:val="white"/>
        </w:rPr>
        <w:t>,00 €</w:t>
      </w:r>
      <w:r>
        <w:rPr>
          <w:rFonts w:ascii="Times New Roman" w:hAnsi="Times New Roman"/>
          <w:b/>
          <w:color w:val="333333"/>
          <w:highlight w:val="white"/>
        </w:rPr>
        <w:t>,</w:t>
      </w:r>
      <w:r>
        <w:rPr>
          <w:rFonts w:ascii="Times New Roman" w:hAnsi="Times New Roman"/>
          <w:color w:val="333333"/>
          <w:highlight w:val="white"/>
        </w:rPr>
        <w:t xml:space="preserve"> debiendo en este caso hacer constar en la propia factura el recibí del perceptor, con indicación del D.N.I., firma y nombre y apellidos del mismo. </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b/>
          <w:color w:val="333333"/>
          <w:highlight w:val="white"/>
        </w:rPr>
        <w:t xml:space="preserve">DÉCIMA </w:t>
      </w:r>
      <w:r>
        <w:rPr>
          <w:rFonts w:ascii="Times New Roman" w:hAnsi="Times New Roman"/>
          <w:b/>
          <w:color w:val="333333"/>
          <w:highlight w:val="white"/>
        </w:rPr>
        <w:t>PRIMERA</w:t>
      </w:r>
      <w:r>
        <w:rPr>
          <w:rFonts w:ascii="Times New Roman" w:hAnsi="Times New Roman"/>
          <w:color w:val="333333"/>
          <w:highlight w:val="white"/>
        </w:rPr>
        <w:t xml:space="preserve">.— </w:t>
      </w:r>
      <w:r>
        <w:rPr>
          <w:rFonts w:ascii="Times New Roman" w:hAnsi="Times New Roman"/>
          <w:color w:val="333333"/>
          <w:highlight w:val="white"/>
        </w:rPr>
        <w:t>J</w:t>
      </w:r>
      <w:r>
        <w:rPr>
          <w:rFonts w:ascii="Times New Roman" w:hAnsi="Times New Roman"/>
          <w:color w:val="333333"/>
          <w:highlight w:val="white"/>
        </w:rPr>
        <w:t>USTIFICACIÓN Y ABONO DE LAS SUBVENCIONES.</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pPr>
      <w:r>
        <w:rPr>
          <w:rFonts w:ascii="Times New Roman" w:hAnsi="Times New Roman"/>
          <w:color w:val="333333"/>
          <w:highlight w:val="white"/>
        </w:rPr>
        <w:t xml:space="preserve">1.- PLAZO.- </w:t>
      </w:r>
      <w:r>
        <w:rPr>
          <w:rFonts w:ascii="Times New Roman" w:hAnsi="Times New Roman"/>
          <w:color w:val="333333"/>
          <w:highlight w:val="white"/>
        </w:rPr>
        <w:t>Las entidades que resulten beneficiarias deberán remitir la justificació</w:t>
      </w:r>
      <w:r>
        <w:rPr>
          <w:rFonts w:ascii="Times New Roman" w:hAnsi="Times New Roman"/>
          <w:color w:val="333333"/>
          <w:highlight w:val="white"/>
        </w:rPr>
        <w:t xml:space="preserve">n, únicamente a través da Sede Electrónica, </w:t>
      </w:r>
      <w:hyperlink r:id="rId4">
        <w:r>
          <w:rPr>
            <w:rStyle w:val="EnlacedeInternet"/>
          </w:rPr>
          <w:t>http://baiona.sedelectronica.gal</w:t>
        </w:r>
      </w:hyperlink>
      <w:r>
        <w:rPr>
          <w:rFonts w:ascii="Times New Roman" w:hAnsi="Times New Roman"/>
          <w:color w:val="333333"/>
          <w:highlight w:val="white"/>
        </w:rPr>
        <w:t xml:space="preserve">, </w:t>
      </w:r>
      <w:r>
        <w:rPr>
          <w:rFonts w:ascii="Times New Roman" w:hAnsi="Times New Roman"/>
          <w:b/>
          <w:bCs/>
          <w:color w:val="333333"/>
          <w:highlight w:val="white"/>
        </w:rPr>
        <w:t>en el plazo máximo de 10 días hábiles</w:t>
      </w:r>
      <w:r>
        <w:rPr>
          <w:rFonts w:ascii="Times New Roman" w:hAnsi="Times New Roman"/>
          <w:color w:val="333333"/>
          <w:highlight w:val="white"/>
        </w:rPr>
        <w:t xml:space="preserve"> contados a partir del día siguiente a la recepción de la notificación de concesión de subvención, quedando anulada la subvención una vez transcurrido dicho plazo.</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Este plazo podrá prorrogarse hasta un máximo de </w:t>
      </w:r>
      <w:r>
        <w:rPr>
          <w:rFonts w:ascii="Times New Roman" w:hAnsi="Times New Roman"/>
          <w:color w:val="333333"/>
          <w:highlight w:val="white"/>
        </w:rPr>
        <w:t>CINCO</w:t>
      </w:r>
      <w:r>
        <w:rPr>
          <w:rFonts w:ascii="Times New Roman" w:hAnsi="Times New Roman"/>
          <w:color w:val="333333"/>
          <w:highlight w:val="white"/>
        </w:rPr>
        <w:t xml:space="preserve"> días naturales, a petición razonada de la entidad solicitante, y siempre que así lo acuerde el órgano que concedió la subvención, contando los </w:t>
      </w:r>
      <w:r>
        <w:rPr>
          <w:rFonts w:ascii="Times New Roman" w:hAnsi="Times New Roman"/>
          <w:color w:val="333333"/>
          <w:highlight w:val="white"/>
        </w:rPr>
        <w:t>CINCO</w:t>
      </w:r>
      <w:r>
        <w:rPr>
          <w:rFonts w:ascii="Times New Roman" w:hAnsi="Times New Roman"/>
          <w:color w:val="333333"/>
          <w:highlight w:val="white"/>
        </w:rPr>
        <w:t xml:space="preserve"> días desde la notificación del acuerdo de prórroga. Para esto, la petición de prórroga se realizará antes de la finalización del plazo de justificación de la subvención.</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Este plazo se entenderá sin perjuicio del plazo de diez días que se concederá en el caso de presentación incompleta o defectuosa para su rectificación.</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2.- CANTIDAD A JUSTIFICAR:  el beneficiario tendrá que presentar facturas equivalentes al 125% del importe concedido y además una </w:t>
      </w:r>
      <w:r>
        <w:rPr>
          <w:rFonts w:ascii="Times New Roman" w:hAnsi="Times New Roman"/>
          <w:b/>
          <w:bCs/>
          <w:color w:val="333333"/>
          <w:highlight w:val="white"/>
        </w:rPr>
        <w:t>cuenta justificativa de gastos de hasta el 100% del presupuesto del proyecto presentado.</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 xml:space="preserve">3.- DOCUMENTACIÓN. </w:t>
      </w:r>
      <w:r>
        <w:rPr>
          <w:rFonts w:ascii="Times New Roman" w:hAnsi="Times New Roman"/>
          <w:color w:val="333333"/>
          <w:highlight w:val="white"/>
        </w:rPr>
        <w:t>Para el cobro de las subvenciones las entidades presentarán la siguiente documentación:</w:t>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r>
    </w:p>
    <w:p>
      <w:pPr>
        <w:pStyle w:val="Normal"/>
        <w:widowControl w:val="false"/>
        <w:suppressAutoHyphens w:val="true"/>
        <w:spacing w:lineRule="atLeast" w:line="288"/>
        <w:textAlignment w:val="top"/>
        <w:rPr>
          <w:rFonts w:ascii="Times New Roman" w:hAnsi="Times New Roman"/>
          <w:highlight w:val="white"/>
        </w:rPr>
      </w:pPr>
      <w:r>
        <w:rPr>
          <w:rFonts w:ascii="Times New Roman" w:hAnsi="Times New Roman"/>
          <w:highlight w:val="white"/>
        </w:rPr>
        <w:t>3.1. Facturas justificativas, las cuales deberán recoger el número de CIF, la fecha, número de factura y el IVA. Los documentos justificativos tendrán que estar fechados en el periodo objeto de estas bases. Las facturas cumplirán los requisitos establecidos pa</w:t>
      </w:r>
      <w:r>
        <w:rPr>
          <w:rFonts w:ascii="Times New Roman" w:hAnsi="Times New Roman"/>
          <w:highlight w:val="white"/>
        </w:rPr>
        <w:t>r</w:t>
      </w:r>
      <w:r>
        <w:rPr>
          <w:rFonts w:ascii="Times New Roman" w:hAnsi="Times New Roman"/>
          <w:highlight w:val="white"/>
        </w:rPr>
        <w:t xml:space="preserve">a su expedición en el RD 1619/2012 de 30 de noviembre por lo que se regulan las obligaciones de facturación o las normas sobre la facturación  electrónica equivalentes. Las facturas o minutas por prestación de servicios profesionales deberán contener los mismos elementos que los especificados para las facturas y, tratándose de personas físicas, contendrán la correspondiente retención fiscal. </w:t>
      </w:r>
    </w:p>
    <w:p>
      <w:pPr>
        <w:pStyle w:val="Normal"/>
        <w:widowControl w:val="false"/>
        <w:suppressAutoHyphens w:val="true"/>
        <w:spacing w:lineRule="atLeast" w:line="288"/>
        <w:textAlignment w:val="top"/>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 xml:space="preserve">3.2.- Justificante del pago de las facturas, aportando el justificante de la transferencia bancaria en el caso de facturas de importe superior a 100 €. En el caso de facturas de importe inferior habrá que hacerse constar en la propia factura el recibí del perceptor, con indicación del DNI firma, nombre y apellidos del mismo. </w:t>
      </w:r>
    </w:p>
    <w:p>
      <w:pPr>
        <w:pStyle w:val="Normal"/>
        <w:rPr>
          <w:rFonts w:ascii="Times New Roman" w:hAnsi="Times New Roman"/>
        </w:rPr>
      </w:pPr>
      <w:r>
        <w:rPr>
          <w:rFonts w:ascii="Times New Roman" w:hAnsi="Times New Roman"/>
        </w:rPr>
      </w:r>
    </w:p>
    <w:p>
      <w:pPr>
        <w:pStyle w:val="Normal"/>
        <w:rPr>
          <w:rFonts w:ascii="Times New Roman" w:hAnsi="Times New Roman"/>
          <w:highlight w:val="white"/>
        </w:rPr>
      </w:pPr>
      <w:r>
        <w:rPr>
          <w:rFonts w:ascii="Times New Roman" w:hAnsi="Times New Roman"/>
          <w:highlight w:val="white"/>
        </w:rPr>
        <w:t xml:space="preserve">3.3. Cuenta justificativa. (Anexo IV) en la que conste la declaración de no haber recibido otras subvenciones de las administraciones públicas o entidades privadas para la finalidad subvencionada o, en su caso, detalle de la financiación obtenida y declaración responsable de que los ingresos no superaron el coste de la finalidad subvencionada.  </w:t>
      </w:r>
    </w:p>
    <w:p>
      <w:pPr>
        <w:pStyle w:val="Normal"/>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 xml:space="preserve">Los gastos justificados deberán ajustarse dentro de lo posible a los conceptos incluidos en el presupuesto inicial, no abonándose más que el importe justificado con el límite de la subvención concedida. </w:t>
      </w:r>
    </w:p>
    <w:p>
      <w:pPr>
        <w:pStyle w:val="Normal"/>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3.</w:t>
      </w:r>
      <w:r>
        <w:rPr>
          <w:rFonts w:ascii="Times New Roman" w:hAnsi="Times New Roman"/>
          <w:highlight w:val="white"/>
        </w:rPr>
        <w:t>4</w:t>
      </w:r>
      <w:r>
        <w:rPr>
          <w:rFonts w:ascii="Times New Roman" w:hAnsi="Times New Roman"/>
          <w:highlight w:val="white"/>
        </w:rPr>
        <w:t xml:space="preserve">. Certificaciones acreditativas de estar al corriente de sus obligaciones tributarias (del Estado y de la Comunidad Autónoma), y con la Seguridad Social. </w:t>
      </w:r>
    </w:p>
    <w:p>
      <w:pPr>
        <w:pStyle w:val="Normal"/>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3.</w:t>
      </w:r>
      <w:r>
        <w:rPr>
          <w:rFonts w:ascii="Times New Roman" w:hAnsi="Times New Roman"/>
          <w:highlight w:val="white"/>
        </w:rPr>
        <w:t>5</w:t>
      </w:r>
      <w:r>
        <w:rPr>
          <w:rFonts w:ascii="Times New Roman" w:hAnsi="Times New Roman"/>
          <w:highlight w:val="white"/>
        </w:rPr>
        <w:t>. Memoria de la actuación justificativa del cumplimiento de las condiciones impuestas en la concesión de la subvención, con indicación de la inversión realizada y los resultados obtenidos (Anexo V).</w:t>
      </w:r>
    </w:p>
    <w:p>
      <w:pPr>
        <w:pStyle w:val="Normal"/>
        <w:rPr>
          <w:rFonts w:ascii="Times New Roman" w:hAnsi="Times New Roman"/>
          <w:highlight w:val="white"/>
        </w:rPr>
      </w:pPr>
      <w:r>
        <w:rPr>
          <w:rFonts w:ascii="Times New Roman" w:hAnsi="Times New Roman"/>
          <w:highlight w:val="white"/>
        </w:rPr>
      </w:r>
    </w:p>
    <w:p>
      <w:pPr>
        <w:pStyle w:val="Normal"/>
        <w:widowControl w:val="false"/>
        <w:suppressAutoHyphens w:val="true"/>
        <w:spacing w:lineRule="atLeast" w:line="288"/>
        <w:textAlignment w:val="top"/>
        <w:rPr>
          <w:rFonts w:ascii="Times New Roman" w:hAnsi="Times New Roman"/>
          <w:color w:val="333333"/>
          <w:highlight w:val="white"/>
        </w:rPr>
      </w:pPr>
      <w:r>
        <w:rPr>
          <w:rFonts w:ascii="Times New Roman" w:hAnsi="Times New Roman"/>
          <w:color w:val="333333"/>
          <w:highlight w:val="white"/>
        </w:rPr>
        <w:t>3.</w:t>
      </w:r>
      <w:r>
        <w:rPr>
          <w:rFonts w:ascii="Times New Roman" w:hAnsi="Times New Roman"/>
          <w:color w:val="333333"/>
          <w:highlight w:val="white"/>
        </w:rPr>
        <w:t>6</w:t>
      </w:r>
      <w:r>
        <w:rPr>
          <w:rFonts w:ascii="Times New Roman" w:hAnsi="Times New Roman"/>
          <w:color w:val="333333"/>
          <w:highlight w:val="white"/>
        </w:rPr>
        <w:t xml:space="preserve">. Acreditar la debida divulgación de la financiación por parte del Ayuntamiento de Baiona de la actividad subvencionada. En el caso de no haberse editado ningún material publicitario, deberá indicarse tal circunstancia y justificarse mediante una declaración responsable incluida en la memoria (anexo V), debidamente firmada por el representante de la Asociación. </w:t>
      </w:r>
    </w:p>
    <w:p>
      <w:pPr>
        <w:pStyle w:val="Normal"/>
        <w:rPr>
          <w:rFonts w:ascii="Times New Roman" w:hAnsi="Times New Roman"/>
          <w:color w:val="333333"/>
          <w:highlight w:val="white"/>
        </w:rPr>
      </w:pPr>
      <w:r>
        <w:rPr>
          <w:rFonts w:ascii="Times New Roman" w:hAnsi="Times New Roman"/>
          <w:color w:val="333333"/>
          <w:highlight w:val="white"/>
        </w:rPr>
      </w:r>
    </w:p>
    <w:p>
      <w:pPr>
        <w:pStyle w:val="Normal"/>
        <w:rPr>
          <w:rFonts w:ascii="Times New Roman" w:hAnsi="Times New Roman"/>
          <w:color w:val="333333"/>
          <w:highlight w:val="white"/>
        </w:rPr>
      </w:pPr>
      <w:r>
        <w:rPr>
          <w:rFonts w:ascii="Times New Roman" w:hAnsi="Times New Roman"/>
          <w:color w:val="333333"/>
          <w:highlight w:val="white"/>
        </w:rPr>
        <w:t xml:space="preserve">Sólo se admitirán justificantes relativos a gastos de material y servicios necesarios para la realización de la actividad subvencionada, conforme a lo expresado en la memoria descriptiva y en el presupuesto presentados junto con la solicitud. </w:t>
      </w:r>
    </w:p>
    <w:p>
      <w:pPr>
        <w:pStyle w:val="Normal"/>
        <w:rPr>
          <w:rFonts w:ascii="Times New Roman" w:hAnsi="Times New Roman"/>
          <w:color w:val="333333"/>
          <w:highlight w:val="white"/>
        </w:rPr>
      </w:pPr>
      <w:r>
        <w:rPr>
          <w:rFonts w:ascii="Times New Roman" w:hAnsi="Times New Roman"/>
          <w:color w:val="333333"/>
          <w:highlight w:val="white"/>
        </w:rPr>
      </w:r>
    </w:p>
    <w:p>
      <w:pPr>
        <w:pStyle w:val="Normal"/>
        <w:rPr>
          <w:rFonts w:ascii="Times New Roman" w:hAnsi="Times New Roman"/>
          <w:color w:val="333333"/>
          <w:highlight w:val="white"/>
        </w:rPr>
      </w:pPr>
      <w:r>
        <w:rPr>
          <w:rFonts w:ascii="Times New Roman" w:hAnsi="Times New Roman"/>
          <w:color w:val="333333"/>
          <w:highlight w:val="white"/>
        </w:rPr>
        <w:t>4.-CONCEPTOS NO SUBVENCIONABLES.- Con carácter general, no tendrán la consideración de subvencionables los siguientes conceptos:</w:t>
      </w:r>
    </w:p>
    <w:p>
      <w:pPr>
        <w:pStyle w:val="Normal"/>
        <w:rPr>
          <w:rFonts w:ascii="Times New Roman" w:hAnsi="Times New Roman"/>
          <w:highlight w:val="white"/>
        </w:rPr>
      </w:pPr>
      <w:r>
        <w:rPr>
          <w:rFonts w:ascii="Times New Roman" w:hAnsi="Times New Roman"/>
          <w:highlight w:val="white"/>
        </w:rPr>
      </w:r>
    </w:p>
    <w:p>
      <w:pPr>
        <w:pStyle w:val="ListParagraph"/>
        <w:numPr>
          <w:ilvl w:val="0"/>
          <w:numId w:val="8"/>
        </w:numPr>
        <w:rPr>
          <w:rFonts w:ascii="Times New Roman" w:hAnsi="Times New Roman"/>
          <w:highlight w:val="white"/>
        </w:rPr>
      </w:pPr>
      <w:r>
        <w:rPr>
          <w:rFonts w:ascii="Times New Roman" w:hAnsi="Times New Roman"/>
          <w:highlight w:val="white"/>
        </w:rPr>
        <w:t>Non serán admitidas facturas por conceptos similares que sean del mismo proveedor, cuando sean de importe inferior a 100 €, pero la suma de las mismas excedan del dicho importe de 100 €.</w:t>
      </w:r>
    </w:p>
    <w:p>
      <w:pPr>
        <w:pStyle w:val="ListParagraph"/>
        <w:numPr>
          <w:ilvl w:val="0"/>
          <w:numId w:val="8"/>
        </w:numPr>
        <w:rPr>
          <w:rFonts w:ascii="Times New Roman" w:hAnsi="Times New Roman"/>
          <w:highlight w:val="white"/>
        </w:rPr>
      </w:pPr>
      <w:r>
        <w:rPr>
          <w:rFonts w:ascii="Times New Roman" w:hAnsi="Times New Roman"/>
          <w:highlight w:val="white"/>
        </w:rPr>
        <w:t xml:space="preserve">Adquisición de material consumible, tales cómo, cartuchos de tinta, disquetes, carretes de fotografías, cintas, etc.; material de oficina (bolígrafos, archivadores, etc.) </w:t>
      </w:r>
    </w:p>
    <w:p>
      <w:pPr>
        <w:pStyle w:val="ListParagraph"/>
        <w:numPr>
          <w:ilvl w:val="0"/>
          <w:numId w:val="7"/>
        </w:numPr>
        <w:rPr>
          <w:rFonts w:ascii="Times New Roman" w:hAnsi="Times New Roman"/>
          <w:highlight w:val="white"/>
        </w:rPr>
      </w:pPr>
      <w:r>
        <w:rPr>
          <w:rFonts w:ascii="Times New Roman" w:hAnsi="Times New Roman"/>
          <w:highlight w:val="white"/>
        </w:rPr>
        <w:t>Compra de libros, material didáctico con distintos fines dentro de las acciones que se propongan. Sólo se aceptará este tipo de gasto cuando se acredite que resulta imprescindible para la realización del proyecto (lo que se hará constar en la memoria que se adjunte a la solicitud) y siempre que en el concepto de las facturas que se presenten conste la actividad desarrollada.</w:t>
      </w:r>
    </w:p>
    <w:p>
      <w:pPr>
        <w:pStyle w:val="ListParagraph"/>
        <w:numPr>
          <w:ilvl w:val="0"/>
          <w:numId w:val="7"/>
        </w:numPr>
        <w:rPr>
          <w:rFonts w:ascii="Times New Roman" w:hAnsi="Times New Roman"/>
          <w:highlight w:val="white"/>
        </w:rPr>
      </w:pPr>
      <w:r>
        <w:rPr>
          <w:rFonts w:ascii="Times New Roman" w:hAnsi="Times New Roman"/>
          <w:highlight w:val="white"/>
        </w:rPr>
        <w:t>Gastos de teléfono.</w:t>
      </w:r>
    </w:p>
    <w:p>
      <w:pPr>
        <w:pStyle w:val="ListParagraph"/>
        <w:numPr>
          <w:ilvl w:val="0"/>
          <w:numId w:val="7"/>
        </w:numPr>
        <w:rPr>
          <w:rFonts w:ascii="Times New Roman" w:hAnsi="Times New Roman"/>
          <w:highlight w:val="white"/>
        </w:rPr>
      </w:pPr>
      <w:r>
        <w:rPr>
          <w:rFonts w:ascii="Times New Roman" w:hAnsi="Times New Roman"/>
          <w:highlight w:val="white"/>
        </w:rPr>
        <w:t xml:space="preserve">Gastos de manutención, alojamiento, </w:t>
      </w:r>
      <w:r>
        <w:rPr>
          <w:rFonts w:ascii="Times New Roman" w:hAnsi="Times New Roman"/>
          <w:highlight w:val="white"/>
        </w:rPr>
        <w:t>ki</w:t>
      </w:r>
      <w:r>
        <w:rPr>
          <w:rFonts w:ascii="Times New Roman" w:hAnsi="Times New Roman"/>
          <w:highlight w:val="white"/>
        </w:rPr>
        <w:t>lometraje o similares.</w:t>
      </w:r>
    </w:p>
    <w:p>
      <w:pPr>
        <w:pStyle w:val="ListParagraph"/>
        <w:numPr>
          <w:ilvl w:val="0"/>
          <w:numId w:val="7"/>
        </w:numPr>
        <w:rPr>
          <w:rFonts w:ascii="Times New Roman" w:hAnsi="Times New Roman"/>
          <w:highlight w:val="white"/>
        </w:rPr>
      </w:pPr>
      <w:r>
        <w:rPr>
          <w:rFonts w:ascii="Times New Roman" w:hAnsi="Times New Roman"/>
          <w:highlight w:val="white"/>
        </w:rPr>
        <w:t>G</w:t>
      </w:r>
      <w:r>
        <w:rPr>
          <w:rFonts w:ascii="Times New Roman" w:hAnsi="Times New Roman"/>
          <w:highlight w:val="white"/>
        </w:rPr>
        <w:t xml:space="preserve">astos corrientes de funcionamiento </w:t>
      </w:r>
      <w:r>
        <w:rPr>
          <w:rFonts w:ascii="Times New Roman" w:hAnsi="Times New Roman"/>
          <w:highlight w:val="white"/>
        </w:rPr>
        <w:t>de la entidad.</w:t>
      </w:r>
    </w:p>
    <w:p>
      <w:pPr>
        <w:pStyle w:val="ListParagraph"/>
        <w:numPr>
          <w:ilvl w:val="0"/>
          <w:numId w:val="7"/>
        </w:numPr>
        <w:rPr>
          <w:rFonts w:ascii="Times New Roman" w:hAnsi="Times New Roman"/>
          <w:highlight w:val="white"/>
        </w:rPr>
      </w:pPr>
      <w:r>
        <w:rPr>
          <w:rFonts w:ascii="Times New Roman" w:hAnsi="Times New Roman"/>
          <w:highlight w:val="white"/>
        </w:rPr>
        <w:t>Gastos gastronómicos, cualquiera que sea su finalidad. No se admitirán facturas de bebidas alcohólicas, tabaco o cualquier otro producto considerado lesivo para la salud.</w:t>
      </w:r>
    </w:p>
    <w:p>
      <w:pPr>
        <w:pStyle w:val="ListParagraph"/>
        <w:numPr>
          <w:ilvl w:val="0"/>
          <w:numId w:val="7"/>
        </w:numPr>
        <w:rPr>
          <w:rFonts w:ascii="Times New Roman" w:hAnsi="Times New Roman"/>
          <w:highlight w:val="white"/>
        </w:rPr>
      </w:pPr>
      <w:r>
        <w:rPr>
          <w:rFonts w:ascii="Times New Roman" w:hAnsi="Times New Roman"/>
          <w:highlight w:val="white"/>
        </w:rPr>
        <w:t>Los saldos deudores de las cuentas bancarias.</w:t>
      </w:r>
    </w:p>
    <w:p>
      <w:pPr>
        <w:pStyle w:val="ListParagraph"/>
        <w:numPr>
          <w:ilvl w:val="0"/>
          <w:numId w:val="7"/>
        </w:numPr>
        <w:rPr>
          <w:rFonts w:ascii="Times New Roman" w:hAnsi="Times New Roman"/>
          <w:highlight w:val="white"/>
        </w:rPr>
      </w:pPr>
      <w:r>
        <w:rPr>
          <w:rFonts w:ascii="Times New Roman" w:hAnsi="Times New Roman"/>
          <w:highlight w:val="white"/>
        </w:rPr>
        <w:t>Los impuestos, recargas y sanciones administrativas y penales.</w:t>
      </w:r>
    </w:p>
    <w:p>
      <w:pPr>
        <w:pStyle w:val="ListParagraph"/>
        <w:numPr>
          <w:ilvl w:val="0"/>
          <w:numId w:val="7"/>
        </w:numPr>
        <w:rPr>
          <w:rFonts w:ascii="Times New Roman" w:hAnsi="Times New Roman"/>
          <w:highlight w:val="white"/>
        </w:rPr>
      </w:pPr>
      <w:r>
        <w:rPr>
          <w:rFonts w:ascii="Times New Roman" w:hAnsi="Times New Roman"/>
          <w:highlight w:val="white"/>
        </w:rPr>
        <w:t>Los impuestos indirectos cando sean susceptibles de recuperación o compensación.</w:t>
      </w:r>
    </w:p>
    <w:p>
      <w:pPr>
        <w:pStyle w:val="ListParagraph"/>
        <w:numPr>
          <w:ilvl w:val="0"/>
          <w:numId w:val="7"/>
        </w:numPr>
        <w:rPr>
          <w:rFonts w:ascii="Times New Roman" w:hAnsi="Times New Roman"/>
          <w:highlight w:val="white"/>
        </w:rPr>
      </w:pPr>
      <w:r>
        <w:rPr>
          <w:rFonts w:ascii="Times New Roman" w:hAnsi="Times New Roman"/>
          <w:highlight w:val="white"/>
        </w:rPr>
        <w:t>Los gastos de procedimientos judiciales.</w:t>
      </w:r>
    </w:p>
    <w:p>
      <w:pPr>
        <w:pStyle w:val="ListParagraph"/>
        <w:numPr>
          <w:ilvl w:val="0"/>
          <w:numId w:val="7"/>
        </w:numPr>
        <w:rPr>
          <w:rFonts w:ascii="Times New Roman" w:hAnsi="Times New Roman"/>
          <w:highlight w:val="white"/>
        </w:rPr>
      </w:pPr>
      <w:r>
        <w:rPr>
          <w:rFonts w:ascii="Times New Roman" w:hAnsi="Times New Roman"/>
          <w:highlight w:val="white"/>
        </w:rPr>
        <w:t xml:space="preserve">Los gastos que no estén directamente vinculados a la actividad objeto de esta subvención, o que difícilmente puedan relacionarse con la misma. En este sentido se tendrá especialmente en cuenta los conceptos especificados en las facturas que se entregarán como justificantes de los gastos. </w:t>
      </w:r>
    </w:p>
    <w:p>
      <w:pPr>
        <w:pStyle w:val="Normal"/>
        <w:rPr>
          <w:rFonts w:ascii="Times New Roman" w:hAnsi="Times New Roman"/>
          <w:color w:val="333333"/>
          <w:highlight w:val="white"/>
        </w:rPr>
      </w:pPr>
      <w:r>
        <w:rPr>
          <w:rFonts w:ascii="Times New Roman" w:hAnsi="Times New Roman"/>
          <w:color w:val="333333"/>
          <w:highlight w:val="white"/>
        </w:rPr>
      </w:r>
    </w:p>
    <w:p>
      <w:pPr>
        <w:pStyle w:val="Normal"/>
        <w:rPr>
          <w:rFonts w:ascii="Times New Roman" w:hAnsi="Times New Roman"/>
          <w:highlight w:val="white"/>
        </w:rPr>
      </w:pPr>
      <w:r>
        <w:rPr>
          <w:rFonts w:ascii="Times New Roman" w:hAnsi="Times New Roman"/>
          <w:highlight w:val="white"/>
        </w:rPr>
        <w:t xml:space="preserve">En ningún caso se admitirán como justificantes de gastos: </w:t>
      </w:r>
    </w:p>
    <w:p>
      <w:pPr>
        <w:pStyle w:val="Normal"/>
        <w:rPr/>
      </w:pPr>
      <w:r>
        <w:rPr>
          <w:rFonts w:ascii="Times New Roman" w:hAnsi="Times New Roman"/>
          <w:highlight w:val="white"/>
        </w:rPr>
        <w:t>A) Facturas donde no consten claramente los conceptos objeto de la subvención.</w:t>
      </w:r>
      <w:r>
        <w:rPr>
          <w:rFonts w:ascii="Times New Roman" w:hAnsi="Times New Roman"/>
        </w:rPr>
        <w:br/>
      </w:r>
      <w:r>
        <w:rPr>
          <w:rFonts w:ascii="Times New Roman" w:hAnsi="Times New Roman"/>
          <w:highlight w:val="white"/>
        </w:rPr>
        <w:t>B)  Facturas que contengan conceptos no subvencionables, aunque dentro de las mismas    consten conceptos subvencionables, excepto si los importes vienen debidamente desglosados.</w:t>
      </w:r>
      <w:r>
        <w:rPr>
          <w:rFonts w:ascii="Times New Roman" w:hAnsi="Times New Roman"/>
        </w:rPr>
        <w:br/>
      </w:r>
      <w:r>
        <w:rPr>
          <w:rFonts w:ascii="Times New Roman" w:hAnsi="Times New Roman"/>
          <w:highlight w:val="white"/>
        </w:rPr>
        <w:t xml:space="preserve">C)   Facturas que no vengan presentadas en forma y modo. </w:t>
      </w:r>
    </w:p>
    <w:p>
      <w:pPr>
        <w:pStyle w:val="Normal"/>
        <w:rPr>
          <w:rFonts w:ascii="Times New Roman" w:hAnsi="Times New Roman"/>
          <w:color w:val="333333"/>
          <w:highlight w:val="white"/>
        </w:rPr>
      </w:pPr>
      <w:r>
        <w:rPr>
          <w:rFonts w:ascii="Times New Roman" w:hAnsi="Times New Roman"/>
          <w:color w:val="333333"/>
          <w:highlight w:val="white"/>
        </w:rPr>
        <w:t xml:space="preserve">D)   Las cantidades satisfechas al Ayuntamiento por cualquier concepto. </w:t>
      </w:r>
    </w:p>
    <w:p>
      <w:pPr>
        <w:pStyle w:val="Normal"/>
        <w:rPr>
          <w:rFonts w:ascii="Times New Roman" w:hAnsi="Times New Roman"/>
          <w:color w:val="333333"/>
          <w:highlight w:val="white"/>
        </w:rPr>
      </w:pPr>
      <w:r>
        <w:rPr>
          <w:rFonts w:ascii="Times New Roman" w:hAnsi="Times New Roman"/>
          <w:color w:val="333333"/>
          <w:highlight w:val="white"/>
        </w:rPr>
      </w:r>
    </w:p>
    <w:p>
      <w:pPr>
        <w:pStyle w:val="Normal"/>
        <w:rPr>
          <w:rFonts w:ascii="Times New Roman" w:hAnsi="Times New Roman"/>
          <w:highlight w:val="white"/>
        </w:rPr>
      </w:pPr>
      <w:r>
        <w:rPr>
          <w:rFonts w:ascii="Times New Roman" w:hAnsi="Times New Roman"/>
          <w:highlight w:val="white"/>
        </w:rPr>
        <w:t>5.- PAGO DE LA SUBVENCIÓN.- A la vista de la documentación justificativa presentada, previo informe de Intervención, el órgano competente estimará el cumplimiento de las actividades subvencionadas, y si la documentación es correcta se procederá al pago de la subvención. El pago de la subvención se efectuará mediante ingreso en la cuenta señalada por la entidad.</w:t>
      </w:r>
    </w:p>
    <w:p>
      <w:pPr>
        <w:pStyle w:val="Normal"/>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u w:val="single"/>
        </w:rPr>
      </w:pPr>
      <w:r>
        <w:rPr>
          <w:rFonts w:ascii="Times New Roman" w:hAnsi="Times New Roman"/>
          <w:highlight w:val="white"/>
          <w:u w:val="single"/>
        </w:rPr>
        <w:t xml:space="preserve"> </w:t>
      </w:r>
      <w:r>
        <w:rPr>
          <w:rFonts w:ascii="Times New Roman" w:hAnsi="Times New Roman"/>
          <w:highlight w:val="white"/>
          <w:u w:val="single"/>
        </w:rPr>
        <w:t>En caso de que la entidad beneficiaria no justifique el 125% del importe de la  subvención concedida, se realizará el pago de los fondos por el importe justificado, siempre y cuando se cumplan con el resto de los requisitos de estas Bases.</w:t>
      </w:r>
    </w:p>
    <w:p>
      <w:pPr>
        <w:pStyle w:val="Normal"/>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Si no se presenta la justificación dentro del plazo (inicial o prorrogado), se iniciará el expediente de anulación del correspondiente compromiso por revocación de la concesión de la subvención.</w:t>
      </w:r>
    </w:p>
    <w:p>
      <w:pPr>
        <w:pStyle w:val="Normal"/>
        <w:rPr>
          <w:rFonts w:ascii="Times New Roman" w:hAnsi="Times New Roman"/>
          <w:highlight w:val="white"/>
        </w:rPr>
      </w:pPr>
      <w:r>
        <w:rPr>
          <w:rFonts w:ascii="Times New Roman" w:hAnsi="Times New Roman"/>
          <w:highlight w:val="white"/>
        </w:rPr>
      </w:r>
    </w:p>
    <w:p>
      <w:pPr>
        <w:pStyle w:val="Normal"/>
        <w:rPr/>
      </w:pPr>
      <w:r>
        <w:rPr>
          <w:rFonts w:ascii="Times New Roman" w:hAnsi="Times New Roman"/>
          <w:b/>
          <w:highlight w:val="white"/>
        </w:rPr>
        <w:t>DÉCIMO SEGUNDA</w:t>
      </w:r>
      <w:r>
        <w:rPr>
          <w:rFonts w:ascii="Times New Roman" w:hAnsi="Times New Roman"/>
          <w:highlight w:val="white"/>
        </w:rPr>
        <w:t>.—DEVOLUCIÓN Y REINTEGRO.</w:t>
      </w:r>
    </w:p>
    <w:p>
      <w:pPr>
        <w:pStyle w:val="Normal"/>
        <w:rPr>
          <w:rFonts w:ascii="Times New Roman" w:hAnsi="Times New Roman"/>
          <w:highlight w:val="white"/>
        </w:rPr>
      </w:pPr>
      <w:r>
        <w:rPr>
          <w:rFonts w:ascii="Times New Roman" w:hAnsi="Times New Roman"/>
          <w:highlight w:val="white"/>
        </w:rPr>
        <w:t xml:space="preserve"> </w:t>
      </w:r>
    </w:p>
    <w:p>
      <w:pPr>
        <w:pStyle w:val="Normal"/>
        <w:rPr>
          <w:rFonts w:ascii="Times New Roman" w:hAnsi="Times New Roman"/>
          <w:highlight w:val="white"/>
        </w:rPr>
      </w:pPr>
      <w:r>
        <w:rPr>
          <w:rFonts w:ascii="Times New Roman" w:hAnsi="Times New Roman"/>
          <w:highlight w:val="white"/>
        </w:rPr>
        <w:t>Las ayudas concedidas deberán devolverlas o reintegrarlas en los siguientes casos:</w:t>
      </w:r>
    </w:p>
    <w:p>
      <w:pPr>
        <w:pStyle w:val="Normal"/>
        <w:rPr>
          <w:rFonts w:ascii="Times New Roman" w:hAnsi="Times New Roman"/>
          <w:highlight w:val="white"/>
        </w:rPr>
      </w:pPr>
      <w:r>
        <w:rPr>
          <w:rFonts w:ascii="Times New Roman" w:hAnsi="Times New Roman"/>
          <w:highlight w:val="white"/>
        </w:rPr>
      </w:r>
    </w:p>
    <w:p>
      <w:pPr>
        <w:pStyle w:val="ListParagraph"/>
        <w:numPr>
          <w:ilvl w:val="0"/>
          <w:numId w:val="9"/>
        </w:numPr>
        <w:spacing w:lineRule="auto" w:line="240"/>
        <w:jc w:val="left"/>
        <w:rPr>
          <w:rFonts w:ascii="Times New Roman" w:hAnsi="Times New Roman"/>
          <w:highlight w:val="white"/>
        </w:rPr>
      </w:pPr>
      <w:r>
        <w:rPr>
          <w:rFonts w:ascii="Times New Roman" w:hAnsi="Times New Roman"/>
          <w:highlight w:val="white"/>
        </w:rPr>
        <w:t>Por obtenerlas falseando las condiciones requeridas.</w:t>
      </w:r>
    </w:p>
    <w:p>
      <w:pPr>
        <w:pStyle w:val="Normal"/>
        <w:spacing w:lineRule="auto" w:line="240"/>
        <w:ind w:left="360" w:right="0" w:hanging="0"/>
        <w:jc w:val="left"/>
        <w:rPr/>
      </w:pPr>
      <w:r>
        <w:rPr>
          <w:rFonts w:ascii="Times New Roman" w:hAnsi="Times New Roman"/>
        </w:rPr>
        <w:br/>
      </w:r>
      <w:r>
        <w:rPr>
          <w:rFonts w:ascii="Times New Roman" w:hAnsi="Times New Roman"/>
          <w:highlight w:val="white"/>
        </w:rPr>
        <w:t xml:space="preserve">b. </w:t>
        <w:tab/>
        <w:t>Por no aplicarla a los fines para los que fue concedida.</w:t>
      </w:r>
    </w:p>
    <w:p>
      <w:pPr>
        <w:pStyle w:val="Normal"/>
        <w:spacing w:lineRule="auto" w:line="240"/>
        <w:ind w:left="360" w:right="0" w:hanging="0"/>
        <w:jc w:val="left"/>
        <w:rPr/>
      </w:pPr>
      <w:r>
        <w:rPr>
          <w:rFonts w:ascii="Times New Roman" w:hAnsi="Times New Roman"/>
        </w:rPr>
        <w:br/>
      </w:r>
      <w:r>
        <w:rPr>
          <w:rFonts w:ascii="Times New Roman" w:hAnsi="Times New Roman"/>
          <w:highlight w:val="white"/>
        </w:rPr>
        <w:t>c.</w:t>
        <w:tab/>
        <w:t xml:space="preserve"> Incumplimiento de las obligaciones de adoptar las medidas de difusión. </w:t>
      </w:r>
    </w:p>
    <w:p>
      <w:pPr>
        <w:pStyle w:val="Normal"/>
        <w:spacing w:lineRule="auto" w:line="240"/>
        <w:ind w:left="360" w:right="0" w:hanging="0"/>
        <w:jc w:val="left"/>
        <w:rPr>
          <w:rFonts w:ascii="Times New Roman" w:hAnsi="Times New Roman"/>
          <w:highlight w:val="white"/>
        </w:rPr>
      </w:pPr>
      <w:r>
        <w:rPr>
          <w:rFonts w:ascii="Times New Roman" w:hAnsi="Times New Roman"/>
          <w:highlight w:val="white"/>
        </w:rPr>
      </w:r>
    </w:p>
    <w:p>
      <w:pPr>
        <w:pStyle w:val="Normal"/>
        <w:spacing w:lineRule="auto" w:line="240"/>
        <w:ind w:left="704" w:right="0" w:hanging="420"/>
        <w:jc w:val="left"/>
        <w:rPr>
          <w:rFonts w:ascii="Times New Roman" w:hAnsi="Times New Roman"/>
          <w:highlight w:val="white"/>
        </w:rPr>
      </w:pPr>
      <w:r>
        <w:rPr>
          <w:rFonts w:ascii="Times New Roman" w:hAnsi="Times New Roman"/>
          <w:highlight w:val="white"/>
        </w:rPr>
        <w:t xml:space="preserve">d. </w:t>
        <w:tab/>
        <w:t>Resistencia, excusa u obstrucción o negativa a las actuaciones de comprobación y control.</w:t>
      </w:r>
    </w:p>
    <w:p>
      <w:pPr>
        <w:pStyle w:val="Normal"/>
        <w:spacing w:lineRule="auto" w:line="240"/>
        <w:jc w:val="left"/>
        <w:rPr>
          <w:rFonts w:ascii="Times New Roman" w:hAnsi="Times New Roman"/>
          <w:highlight w:val="white"/>
        </w:rPr>
      </w:pPr>
      <w:r>
        <w:rPr>
          <w:rFonts w:ascii="Times New Roman" w:hAnsi="Times New Roman"/>
          <w:highlight w:val="white"/>
        </w:rPr>
      </w:r>
    </w:p>
    <w:p>
      <w:pPr>
        <w:pStyle w:val="Normal"/>
        <w:spacing w:lineRule="auto" w:line="240"/>
        <w:ind w:left="704" w:right="0" w:hanging="420"/>
        <w:jc w:val="left"/>
        <w:rPr>
          <w:rFonts w:ascii="Times New Roman" w:hAnsi="Times New Roman"/>
          <w:highlight w:val="white"/>
        </w:rPr>
      </w:pPr>
      <w:r>
        <w:rPr>
          <w:rFonts w:ascii="Times New Roman" w:hAnsi="Times New Roman"/>
          <w:highlight w:val="white"/>
        </w:rPr>
        <w:t xml:space="preserve">e. </w:t>
        <w:tab/>
        <w:t xml:space="preserve">Por incumplir el beneficiario las obligaciones asumidas y las condiciones fijadas en estas bases. </w:t>
      </w:r>
    </w:p>
    <w:p>
      <w:pPr>
        <w:pStyle w:val="Normal"/>
        <w:spacing w:lineRule="auto" w:line="240"/>
        <w:jc w:val="left"/>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Las responsabilidades anteriormente citadas se exigirán de acuerdo con el procedimiento previsto en la Ley de régimen jurídico de las Administraciones Públicas. Asimismo, el reintegro de las cantidades se efectuará en el plazo y forma del Reglamento General de Recaudación. Las cantidades devueltas tendrán carácter de ingreso de derecho público.</w:t>
      </w:r>
    </w:p>
    <w:p>
      <w:pPr>
        <w:pStyle w:val="Normal"/>
        <w:jc w:val="left"/>
        <w:rPr>
          <w:rFonts w:ascii="Times New Roman" w:hAnsi="Times New Roman"/>
          <w:highlight w:val="white"/>
        </w:rPr>
      </w:pPr>
      <w:r>
        <w:rPr>
          <w:rFonts w:ascii="Times New Roman" w:hAnsi="Times New Roman"/>
          <w:highlight w:val="white"/>
        </w:rPr>
      </w:r>
    </w:p>
    <w:p>
      <w:pPr>
        <w:pStyle w:val="Normal"/>
        <w:jc w:val="left"/>
        <w:rPr/>
      </w:pPr>
      <w:r>
        <w:rPr>
          <w:rFonts w:ascii="Times New Roman" w:hAnsi="Times New Roman"/>
          <w:b/>
          <w:highlight w:val="white"/>
        </w:rPr>
        <w:t>DÉCIMO TERCERA</w:t>
      </w:r>
      <w:r>
        <w:rPr>
          <w:rFonts w:ascii="Times New Roman" w:hAnsi="Times New Roman"/>
          <w:highlight w:val="white"/>
        </w:rPr>
        <w:t>.—DERECHO SUPLETORIO.</w:t>
      </w:r>
    </w:p>
    <w:p>
      <w:pPr>
        <w:pStyle w:val="Normal"/>
        <w:jc w:val="left"/>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Para lo no dispuesto en las presentes bases, se contemplará lo establecido en las bases de ejecución del presupuesto general del Ayuntamiento de Baiona para 20</w:t>
      </w:r>
      <w:r>
        <w:rPr>
          <w:rFonts w:ascii="Times New Roman" w:hAnsi="Times New Roman"/>
          <w:highlight w:val="white"/>
        </w:rPr>
        <w:t>22</w:t>
      </w:r>
      <w:r>
        <w:rPr>
          <w:rFonts w:ascii="Times New Roman" w:hAnsi="Times New Roman"/>
          <w:highlight w:val="white"/>
        </w:rPr>
        <w:t>, en la Ley 38/2003, de 17 de noviembre, general de subvenciones, en el Real Decreto 887/2006, de 21 de julio, por el que se aprueba el Reglamento de la Ley 38/2003, de 17 de noviembre, y demás legislación aplicable.</w:t>
      </w:r>
    </w:p>
    <w:p>
      <w:pPr>
        <w:pStyle w:val="Normal"/>
        <w:jc w:val="left"/>
        <w:rPr>
          <w:rFonts w:ascii="Times New Roman" w:hAnsi="Times New Roman"/>
        </w:rPr>
      </w:pPr>
      <w:r>
        <w:rPr>
          <w:rFonts w:ascii="Times New Roman" w:hAnsi="Times New Roman"/>
        </w:rPr>
      </w:r>
    </w:p>
    <w:p>
      <w:pPr>
        <w:pStyle w:val="Normal"/>
        <w:jc w:val="left"/>
        <w:rPr/>
      </w:pPr>
      <w:r>
        <w:rPr>
          <w:rFonts w:ascii="Times New Roman" w:hAnsi="Times New Roman"/>
        </w:rPr>
        <w:br/>
      </w:r>
      <w:r>
        <w:rPr>
          <w:rFonts w:ascii="Times New Roman" w:hAnsi="Times New Roman"/>
          <w:b/>
          <w:highlight w:val="white"/>
        </w:rPr>
        <w:t>DÉCIMO CUARTA</w:t>
      </w:r>
      <w:r>
        <w:rPr>
          <w:rFonts w:ascii="Times New Roman" w:hAnsi="Times New Roman"/>
          <w:highlight w:val="white"/>
        </w:rPr>
        <w:t>.—RECLAMACIONES.</w:t>
      </w:r>
    </w:p>
    <w:p>
      <w:pPr>
        <w:pStyle w:val="Normal"/>
        <w:jc w:val="left"/>
        <w:rPr>
          <w:rFonts w:ascii="Times New Roman" w:hAnsi="Times New Roman"/>
          <w:highlight w:val="white"/>
        </w:rPr>
      </w:pPr>
      <w:r>
        <w:rPr>
          <w:rFonts w:ascii="Times New Roman" w:hAnsi="Times New Roman"/>
          <w:highlight w:val="white"/>
        </w:rPr>
      </w:r>
    </w:p>
    <w:p>
      <w:pPr>
        <w:pStyle w:val="Normal"/>
        <w:rPr>
          <w:rFonts w:ascii="Times New Roman" w:hAnsi="Times New Roman"/>
          <w:highlight w:val="white"/>
        </w:rPr>
      </w:pPr>
      <w:r>
        <w:rPr>
          <w:rFonts w:ascii="Times New Roman" w:hAnsi="Times New Roman"/>
          <w:highlight w:val="white"/>
        </w:rPr>
        <w:t xml:space="preserve">Contra estas bases y las resoluciones administrativas que se adopten en su ejecución podrá interponerse, potestativamente, un recurso de reposición ante el órgano que la dictó, en el plazo de un mes. Se entenderá desestimado si transcurre otro sin contestar; en este caso podrá interponerse un recurso contencioso-administrativo ante el Juzgado del Contencioso Administrativo, como se prevé en el artículo 8 de la Ley 29/1998, de 13 de julio, de la jurisdicción contencioso-administrativa (tras la modificación dada por la Ley 9/2003, de 23 de diciembre) en el plazo de dos meses. </w:t>
      </w:r>
    </w:p>
    <w:p>
      <w:pPr>
        <w:pStyle w:val="Normal"/>
        <w:rPr>
          <w:rFonts w:ascii="Times New Roman" w:hAnsi="Times New Roman"/>
          <w:highlight w:val="white"/>
        </w:rPr>
      </w:pPr>
      <w:r>
        <w:rPr>
          <w:rFonts w:ascii="Times New Roman" w:hAnsi="Times New Roman"/>
          <w:highlight w:val="white"/>
        </w:rPr>
        <w:t>Además, contra la presente resolución también podrá interponerse directamente dicho recurso contencioso-administrativo en el indicado plazo. En todos los casos, los plazos se contarán a partir del día siguiente a la recepción de la correspondiente notificación o desde la fecha en que el recurso de reposición se entiende desestimado.</w:t>
      </w:r>
    </w:p>
    <w:p>
      <w:pPr>
        <w:pStyle w:val="Normal"/>
        <w:rPr>
          <w:rFonts w:ascii="Times New Roman" w:hAnsi="Times New Roman"/>
          <w:highlight w:val="white"/>
        </w:rPr>
      </w:pPr>
      <w:r>
        <w:rPr>
          <w:rFonts w:ascii="Times New Roman" w:hAnsi="Times New Roman"/>
          <w:highlight w:val="white"/>
        </w:rPr>
      </w:r>
    </w:p>
    <w:p>
      <w:pPr>
        <w:pStyle w:val="Normal"/>
        <w:rPr/>
      </w:pPr>
      <w:r>
        <w:rPr>
          <w:rFonts w:ascii="Times New Roman" w:hAnsi="Times New Roman"/>
          <w:b/>
          <w:highlight w:val="white"/>
        </w:rPr>
        <w:t>ANEXOS.-</w:t>
      </w:r>
      <w:r>
        <w:rPr>
          <w:rFonts w:ascii="Times New Roman" w:hAnsi="Times New Roman"/>
          <w:highlight w:val="white"/>
        </w:rPr>
        <w:t xml:space="preserve"> Todos los anexos referidos en estas bases para la solicitud y la justificación de estas subvenciones, estarán disponibles en la página web del Ayuntamiento de Baiona: </w:t>
      </w:r>
      <w:hyperlink r:id="rId5">
        <w:r>
          <w:rPr>
            <w:rStyle w:val="EnlacedeInternet"/>
            <w:rFonts w:ascii="Times New Roman" w:hAnsi="Times New Roman"/>
            <w:color w:val="auto"/>
            <w:highlight w:val="white"/>
          </w:rPr>
          <w:t>www.baiona.</w:t>
        </w:r>
      </w:hyperlink>
      <w:r>
        <w:rPr>
          <w:rStyle w:val="EnlacedeInternet"/>
          <w:rFonts w:ascii="Times New Roman" w:hAnsi="Times New Roman"/>
          <w:color w:val="auto"/>
          <w:highlight w:val="white"/>
        </w:rPr>
        <w:t>gal</w:t>
      </w:r>
    </w:p>
    <w:p>
      <w:pPr>
        <w:pStyle w:val="Normal"/>
        <w:rPr>
          <w:rFonts w:ascii="Times New Roman" w:hAnsi="Times New Roman"/>
          <w:lang w:val="gl-ES"/>
        </w:rPr>
      </w:pPr>
      <w:r>
        <w:rPr>
          <w:rFonts w:ascii="Times New Roman" w:hAnsi="Times New Roman"/>
          <w:lang w:val="gl-ES"/>
        </w:rPr>
      </w:r>
    </w:p>
    <w:p>
      <w:pPr>
        <w:pStyle w:val="Normal"/>
        <w:rPr>
          <w:rFonts w:ascii="Times New Roman" w:hAnsi="Times New Roman"/>
          <w:lang w:val="es-ES_tradnl"/>
        </w:rPr>
      </w:pPr>
      <w:r>
        <w:rPr>
          <w:rFonts w:ascii="Times New Roman" w:hAnsi="Times New Roman"/>
          <w:lang w:val="es-ES_tradnl"/>
        </w:rPr>
      </w:r>
    </w:p>
    <w:sectPr>
      <w:headerReference w:type="default" r:id="rId6"/>
      <w:footerReference w:type="default" r:id="rId7"/>
      <w:type w:val="nextPage"/>
      <w:pgSz w:w="11906" w:h="16838"/>
      <w:pgMar w:left="1701" w:right="1701" w:header="708" w:top="2552" w:footer="283"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Tahoma">
    <w:charset w:val="00"/>
    <w:family w:val="roman"/>
    <w:pitch w:val="variable"/>
  </w:font>
  <w:font w:name="OpenSymbol">
    <w:altName w:val="Arial Unicode MS"/>
    <w:charset w:val="02"/>
    <w:family w:val="auto"/>
    <w:pitch w:val="default"/>
  </w:font>
  <w:font w:name="Liberation Sans">
    <w:altName w:val="Arial"/>
    <w:charset w:val="00"/>
    <w:family w:val="swiss"/>
    <w:pitch w:val="variable"/>
  </w:font>
  <w:font w:name="robotoregular">
    <w:charset w:val="00"/>
    <w:family w:val="roman"/>
    <w:pitch w:val="variable"/>
  </w:font>
  <w:font w:name="Helvetica">
    <w:altName w:val="Arial"/>
    <w:charset w:val="00"/>
    <w:family w:val="roman"/>
    <w:pitch w:val="variable"/>
  </w:font>
  <w:font w:name="Wingdings">
    <w:charset w:val="02"/>
    <w:family w:val="auto"/>
    <w:pitch w:val="variable"/>
  </w:font>
  <w:font w:name="Courier New">
    <w:charset w:val="00"/>
    <w:family w:val="modern"/>
    <w:pitch w:val="fixed"/>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center"/>
      <w:rPr>
        <w:rFonts w:ascii="Helvetica" w:hAnsi="Helvetica" w:cs="Helvetica"/>
        <w:color w:val="A6A6A6"/>
        <w:sz w:val="16"/>
        <w:szCs w:val="16"/>
        <w:highlight w:val="white"/>
      </w:rPr>
    </w:pPr>
    <w:r>
      <w:rPr>
        <w:rFonts w:cs="Helvetica" w:ascii="Helvetica" w:hAnsi="Helvetica"/>
        <w:color w:val="A6A6A6"/>
        <w:sz w:val="16"/>
        <w:szCs w:val="16"/>
        <w:highlight w:val="white"/>
      </w:rPr>
      <w:t>C/ Lorenzo de la Carrera, 17 36300 Baiona (Pontevedra)</w:t>
    </w:r>
  </w:p>
  <w:p>
    <w:pPr>
      <w:pStyle w:val="Piedepgina"/>
      <w:jc w:val="center"/>
      <w:rPr>
        <w:rFonts w:ascii="Helvetica" w:hAnsi="Helvetica" w:cs="Helvetica"/>
        <w:color w:val="A6A6A6"/>
        <w:sz w:val="16"/>
        <w:szCs w:val="16"/>
        <w:highlight w:val="white"/>
      </w:rPr>
    </w:pPr>
    <w:r>
      <w:rPr>
        <w:rFonts w:cs="Helvetica" w:ascii="Helvetica" w:hAnsi="Helvetica"/>
        <w:color w:val="A6A6A6"/>
        <w:sz w:val="16"/>
        <w:szCs w:val="16"/>
        <w:highlight w:val="white"/>
      </w:rPr>
      <w:t>Telf.: 986 385 050 Fax: 986 357 474</w:t>
    </w:r>
  </w:p>
  <w:p>
    <w:pPr>
      <w:pStyle w:val="Piedepgina"/>
      <w:jc w:val="center"/>
      <w:rPr>
        <w:rFonts w:ascii="Helvetica" w:hAnsi="Helvetica" w:cs="Helvetica"/>
        <w:color w:val="A6A6A6"/>
        <w:sz w:val="16"/>
        <w:szCs w:val="16"/>
        <w:highlight w:val="white"/>
      </w:rPr>
    </w:pPr>
    <w:r>
      <w:rPr>
        <w:rFonts w:cs="Helvetica" w:ascii="Helvetica" w:hAnsi="Helvetica"/>
        <w:color w:val="A6A6A6"/>
        <w:sz w:val="16"/>
        <w:szCs w:val="16"/>
        <w:highlight w:val="white"/>
      </w:rPr>
      <w:t>www.baiona.org</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color w:val="A6A6A6"/>
        <w:sz w:val="16"/>
        <w:szCs w:val="16"/>
      </w:rPr>
    </w:pPr>
    <w:r>
      <w:rPr>
        <w:color w:val="A6A6A6"/>
        <w:sz w:val="16"/>
        <w:szCs w:val="16"/>
      </w:rPr>
      <mc:AlternateContent>
        <mc:Choice Requires="wpg">
          <w:drawing>
            <wp:anchor behindDoc="1" distT="0" distB="8255" distL="0" distR="0" simplePos="0" locked="0" layoutInCell="1" allowOverlap="1" relativeHeight="11">
              <wp:simplePos x="0" y="0"/>
              <wp:positionH relativeFrom="column">
                <wp:posOffset>-657860</wp:posOffset>
              </wp:positionH>
              <wp:positionV relativeFrom="paragraph">
                <wp:posOffset>-267335</wp:posOffset>
              </wp:positionV>
              <wp:extent cx="828040" cy="1116330"/>
              <wp:effectExtent l="0" t="0" r="0" b="0"/>
              <wp:wrapNone/>
              <wp:docPr id="1" name="Grupo 1"/>
              <a:graphic xmlns:a="http://schemas.openxmlformats.org/drawingml/2006/main">
                <a:graphicData uri="http://schemas.microsoft.com/office/word/2010/wordprocessingGroup">
                  <wpg:wgp>
                    <wpg:cNvGrpSpPr/>
                    <wpg:grpSpPr>
                      <a:xfrm>
                        <a:off x="0" y="0"/>
                        <a:ext cx="827280" cy="1115640"/>
                      </a:xfrm>
                    </wpg:grpSpPr>
                    <pic:pic xmlns:pic="http://schemas.openxmlformats.org/drawingml/2006/picture">
                      <pic:nvPicPr>
                        <pic:cNvPr id="0" name="Imagen 16" descr=""/>
                        <pic:cNvPicPr/>
                      </pic:nvPicPr>
                      <pic:blipFill>
                        <a:blip r:embed="rId1"/>
                        <a:stretch/>
                      </pic:blipFill>
                      <pic:spPr>
                        <a:xfrm>
                          <a:off x="168840" y="0"/>
                          <a:ext cx="486360" cy="822240"/>
                        </a:xfrm>
                        <a:prstGeom prst="rect">
                          <a:avLst/>
                        </a:prstGeom>
                        <a:ln>
                          <a:noFill/>
                        </a:ln>
                      </pic:spPr>
                    </pic:pic>
                    <pic:pic xmlns:pic="http://schemas.openxmlformats.org/drawingml/2006/picture">
                      <pic:nvPicPr>
                        <pic:cNvPr id="1" name="Imagen 17" descr=""/>
                        <pic:cNvPicPr/>
                      </pic:nvPicPr>
                      <pic:blipFill>
                        <a:blip r:embed="rId2"/>
                        <a:stretch/>
                      </pic:blipFill>
                      <pic:spPr>
                        <a:xfrm>
                          <a:off x="0" y="888480"/>
                          <a:ext cx="827280" cy="227160"/>
                        </a:xfrm>
                        <a:prstGeom prst="rect">
                          <a:avLst/>
                        </a:prstGeom>
                        <a:ln>
                          <a:noFill/>
                        </a:ln>
                      </pic:spPr>
                    </pic:pic>
                  </wpg:wgp>
                </a:graphicData>
              </a:graphic>
            </wp:anchor>
          </w:drawing>
        </mc:Choice>
        <mc:Fallback>
          <w:pict>
            <v:group id="shape_0" alt="Grupo 1" style="position:absolute;margin-left:-51.8pt;margin-top:-21.05pt;width:65.15pt;height:87.85pt" coordorigin="-1036,-421" coordsize="1303,1757">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n 16" stroked="f" style="position:absolute;left:-770;top:-421;width:765;height:1294" type="shapetype_75">
                <v:imagedata r:id="rId3" o:detectmouseclick="t"/>
                <w10:wrap type="none"/>
                <v:stroke color="#3465a4" joinstyle="round" endcap="flat"/>
              </v:shape>
              <v:shape id="shape_0" ID="Imagen 17" stroked="f" style="position:absolute;left:-1036;top:978;width:1302;height:357" type="shapetype_75">
                <v:imagedata r:id="rId2" o:detectmouseclick="t"/>
                <w10:wrap type="none"/>
                <v:stroke color="#3465a4" joinstyle="round" endcap="flat"/>
              </v:shape>
            </v:group>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lowerLetter"/>
      <w:lvlText w:val="%1"/>
      <w:lvlJc w:val="left"/>
      <w:pPr>
        <w:ind w:left="1065" w:hanging="360"/>
      </w:pPr>
    </w:lvl>
    <w:lvl w:ilvl="1">
      <w:start w:val="1"/>
      <w:numFmt w:val="lowerLetter"/>
      <w:lvlText w:val="%1.%2"/>
      <w:lvlJc w:val="left"/>
      <w:pPr>
        <w:ind w:left="1785" w:hanging="360"/>
      </w:pPr>
    </w:lvl>
    <w:lvl w:ilvl="2">
      <w:start w:val="1"/>
      <w:numFmt w:val="lowerRoman"/>
      <w:lvlText w:val="%2.%3"/>
      <w:lvlJc w:val="right"/>
      <w:pPr>
        <w:ind w:left="2505" w:hanging="180"/>
      </w:pPr>
    </w:lvl>
    <w:lvl w:ilvl="3">
      <w:start w:val="1"/>
      <w:numFmt w:val="decimal"/>
      <w:lvlText w:val="%3.%4"/>
      <w:lvlJc w:val="left"/>
      <w:pPr>
        <w:ind w:left="3225" w:hanging="360"/>
      </w:pPr>
    </w:lvl>
    <w:lvl w:ilvl="4">
      <w:start w:val="1"/>
      <w:numFmt w:val="lowerLetter"/>
      <w:lvlText w:val="%4.%5"/>
      <w:lvlJc w:val="left"/>
      <w:pPr>
        <w:ind w:left="3945" w:hanging="360"/>
      </w:pPr>
    </w:lvl>
    <w:lvl w:ilvl="5">
      <w:start w:val="1"/>
      <w:numFmt w:val="lowerRoman"/>
      <w:lvlText w:val="%5.%6"/>
      <w:lvlJc w:val="right"/>
      <w:pPr>
        <w:ind w:left="4665" w:hanging="180"/>
      </w:pPr>
    </w:lvl>
    <w:lvl w:ilvl="6">
      <w:start w:val="1"/>
      <w:numFmt w:val="decimal"/>
      <w:lvlText w:val="%6.%7"/>
      <w:lvlJc w:val="left"/>
      <w:pPr>
        <w:ind w:left="5385" w:hanging="360"/>
      </w:pPr>
    </w:lvl>
    <w:lvl w:ilvl="7">
      <w:start w:val="1"/>
      <w:numFmt w:val="lowerLetter"/>
      <w:lvlText w:val="%7.%8"/>
      <w:lvlJc w:val="left"/>
      <w:pPr>
        <w:ind w:left="6105" w:hanging="360"/>
      </w:pPr>
    </w:lvl>
    <w:lvl w:ilvl="8">
      <w:start w:val="1"/>
      <w:numFmt w:val="lowerRoman"/>
      <w:lvlText w:val="%8.%9"/>
      <w:lvlJc w:val="right"/>
      <w:pPr>
        <w:ind w:left="6825" w:hanging="180"/>
      </w:pPr>
    </w:lvl>
  </w:abstractNum>
  <w:abstractNum w:abstractNumId="3">
    <w:lvl w:ilvl="0">
      <w:start w:val="1"/>
      <w:numFmt w:val="bullet"/>
      <w:lvlText w:val=""/>
      <w:lvlJc w:val="left"/>
      <w:pPr>
        <w:ind w:left="720" w:hanging="360"/>
      </w:pPr>
      <w:rPr>
        <w:rFonts w:ascii="Wingdings" w:hAnsi="Wingdings" w:cs="Wingdings" w:hint="default"/>
        <w:rFonts w:cs="ArialM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4">
    <w:lvl w:ilvl="0">
      <w:start w:val="1"/>
      <w:numFmt w:val="bullet"/>
      <w:lvlText w:val=""/>
      <w:lvlJc w:val="left"/>
      <w:pPr>
        <w:ind w:left="720" w:hanging="360"/>
      </w:pPr>
      <w:rPr>
        <w:rFonts w:ascii="Wingdings" w:hAnsi="Wingdings" w:cs="Wingdings" w:hint="default"/>
        <w:rFonts w:cs="ArialM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5">
    <w:lvl w:ilvl="0">
      <w:start w:val="1"/>
      <w:numFmt w:val="bullet"/>
      <w:lvlText w:val=""/>
      <w:lvlJc w:val="left"/>
      <w:pPr>
        <w:ind w:left="720" w:hanging="360"/>
      </w:pPr>
      <w:rPr>
        <w:rFonts w:ascii="Wingdings" w:hAnsi="Wingdings" w:cs="Wingdings" w:hint="default"/>
        <w:rFonts w:cs="ArialM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6">
    <w:lvl w:ilvl="0">
      <w:start w:val="1"/>
      <w:numFmt w:val="bullet"/>
      <w:lvlText w:val=""/>
      <w:lvlJc w:val="left"/>
      <w:pPr>
        <w:ind w:left="720" w:hanging="360"/>
      </w:pPr>
      <w:rPr>
        <w:rFonts w:ascii="Wingdings" w:hAnsi="Wingdings" w:cs="Wingdings" w:hint="default"/>
        <w:rFonts w:cs="ArialM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7">
    <w:lvl w:ilvl="0">
      <w:start w:val="1"/>
      <w:numFmt w:val="bullet"/>
      <w:lvlText w:val=""/>
      <w:lvlJc w:val="left"/>
      <w:pPr>
        <w:ind w:left="720" w:hanging="360"/>
      </w:pPr>
      <w:rPr>
        <w:rFonts w:ascii="Wingdings" w:hAnsi="Wingdings" w:cs="Wingdings" w:hint="default"/>
        <w:rFonts w:cs="ArialM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8">
    <w:lvl w:ilvl="0">
      <w:start w:val="1"/>
      <w:numFmt w:val="bullet"/>
      <w:lvlText w:val=""/>
      <w:lvlJc w:val="left"/>
      <w:pPr>
        <w:ind w:left="720" w:hanging="360"/>
      </w:pPr>
      <w:rPr>
        <w:rFonts w:ascii="Wingdings" w:hAnsi="Wingdings" w:cs="Wingdings" w:hint="default"/>
        <w:rFonts w:cs="ArialM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9">
    <w:lvl w:ilvl="0">
      <w:start w:val="1"/>
      <w:numFmt w:val="lowerLetter"/>
      <w:lvlText w:val="%1"/>
      <w:lvlJc w:val="left"/>
      <w:pPr>
        <w:ind w:left="720" w:hanging="360"/>
      </w:pPr>
    </w:lvl>
    <w:lvl w:ilvl="1">
      <w:start w:val="1"/>
      <w:numFmt w:val="lowerLetter"/>
      <w:lvlText w:val="%1.%2"/>
      <w:lvlJc w:val="left"/>
      <w:pPr>
        <w:ind w:left="1440" w:hanging="360"/>
      </w:pPr>
    </w:lvl>
    <w:lvl w:ilvl="2">
      <w:start w:val="1"/>
      <w:numFmt w:val="lowerRoman"/>
      <w:lvlText w:val="%2.%3"/>
      <w:lvlJc w:val="right"/>
      <w:pPr>
        <w:ind w:left="2160" w:hanging="180"/>
      </w:pPr>
    </w:lvl>
    <w:lvl w:ilvl="3">
      <w:start w:val="1"/>
      <w:numFmt w:val="decimal"/>
      <w:lvlText w:val="%3.%4"/>
      <w:lvlJc w:val="left"/>
      <w:pPr>
        <w:ind w:left="2880" w:hanging="360"/>
      </w:pPr>
    </w:lvl>
    <w:lvl w:ilvl="4">
      <w:start w:val="1"/>
      <w:numFmt w:val="lowerLetter"/>
      <w:lvlText w:val="%4.%5"/>
      <w:lvlJc w:val="left"/>
      <w:pPr>
        <w:ind w:left="3600" w:hanging="360"/>
      </w:pPr>
    </w:lvl>
    <w:lvl w:ilvl="5">
      <w:start w:val="1"/>
      <w:numFmt w:val="lowerRoman"/>
      <w:lvlText w:val="%5.%6"/>
      <w:lvlJc w:val="right"/>
      <w:pPr>
        <w:ind w:left="4320" w:hanging="180"/>
      </w:pPr>
    </w:lvl>
    <w:lvl w:ilvl="6">
      <w:start w:val="1"/>
      <w:numFmt w:val="decimal"/>
      <w:lvlText w:val="%6.%7"/>
      <w:lvlJc w:val="left"/>
      <w:pPr>
        <w:ind w:left="5040" w:hanging="360"/>
      </w:pPr>
    </w:lvl>
    <w:lvl w:ilvl="7">
      <w:start w:val="1"/>
      <w:numFmt w:val="lowerLetter"/>
      <w:lvlText w:val="%7.%8"/>
      <w:lvlJc w:val="left"/>
      <w:pPr>
        <w:ind w:left="5760" w:hanging="360"/>
      </w:pPr>
    </w:lvl>
    <w:lvl w:ilvl="8">
      <w:start w:val="1"/>
      <w:numFmt w:val="lowerRoman"/>
      <w:lvlText w:val="%8.%9"/>
      <w:lvlJc w:val="right"/>
      <w:pPr>
        <w:ind w:left="6480" w:hanging="180"/>
      </w:pPr>
    </w:lvl>
  </w:abstractNum>
  <w:abstractNum w:abstractNumId="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11">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2">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Symbol" w:hAnsi="Symbol" w:cs="Symbol" w:hint="default"/>
        <w:rFonts w:cs="OpenSymbol"/>
      </w:rPr>
    </w:lvl>
    <w:lvl w:ilvl="2">
      <w:start w:val="1"/>
      <w:numFmt w:val="bullet"/>
      <w:lvlText w:val=""/>
      <w:lvlJc w:val="left"/>
      <w:pPr>
        <w:tabs>
          <w:tab w:val="num" w:pos="1440"/>
        </w:tabs>
        <w:ind w:left="1440" w:hanging="360"/>
      </w:pPr>
      <w:rPr>
        <w:rFonts w:ascii="Symbol" w:hAnsi="Symbol" w:cs="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Symbol" w:hAnsi="Symbol" w:cs="Symbol" w:hint="default"/>
        <w:rFonts w:cs="OpenSymbol"/>
      </w:rPr>
    </w:lvl>
    <w:lvl w:ilvl="5">
      <w:start w:val="1"/>
      <w:numFmt w:val="bullet"/>
      <w:lvlText w:val=""/>
      <w:lvlJc w:val="left"/>
      <w:pPr>
        <w:tabs>
          <w:tab w:val="num" w:pos="2520"/>
        </w:tabs>
        <w:ind w:left="2520" w:hanging="360"/>
      </w:pPr>
      <w:rPr>
        <w:rFonts w:ascii="Symbol" w:hAnsi="Symbol" w:cs="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Symbol" w:hAnsi="Symbol" w:cs="Symbol" w:hint="default"/>
        <w:rFonts w:cs="OpenSymbol"/>
      </w:rPr>
    </w:lvl>
    <w:lvl w:ilvl="8">
      <w:start w:val="1"/>
      <w:numFmt w:val="bullet"/>
      <w:lvlText w:val=""/>
      <w:lvlJc w:val="left"/>
      <w:pPr>
        <w:tabs>
          <w:tab w:val="num" w:pos="3600"/>
        </w:tabs>
        <w:ind w:left="3600" w:hanging="360"/>
      </w:pPr>
      <w:rPr>
        <w:rFonts w:ascii="Symbol" w:hAnsi="Symbol" w:cs="Symbol" w:hint="default"/>
        <w:rFonts w:cs="OpenSymbol"/>
      </w:rPr>
    </w:lvl>
  </w:abstractNum>
  <w:abstractNum w:abstractNumId="1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w="http://schemas.openxmlformats.org/wordprocessingml/2006/main">
  <w:zoom w:percent="161"/>
  <w:defaultTabStop w:val="708"/>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pPrDefault>
  </w:docDefaults>
  <w:style w:type="paragraph" w:styleId="Normal">
    <w:name w:val="Normal"/>
    <w:qFormat/>
    <w:pPr>
      <w:widowControl/>
      <w:kinsoku w:val="true"/>
      <w:overflowPunct w:val="true"/>
      <w:autoSpaceDE w:val="true"/>
      <w:bidi w:val="0"/>
      <w:spacing w:before="0" w:after="0"/>
      <w:jc w:val="both"/>
    </w:pPr>
    <w:rPr>
      <w:rFonts w:ascii="Calibri" w:hAnsi="Calibri" w:eastAsia="Calibri" w:cs="Times New Roman"/>
      <w:color w:val="auto"/>
      <w:kern w:val="0"/>
      <w:sz w:val="22"/>
      <w:szCs w:val="22"/>
      <w:lang w:eastAsia="en-US" w:val="es-ES" w:bidi="ar-SA"/>
    </w:rPr>
  </w:style>
  <w:style w:type="paragraph" w:styleId="Ttulo2">
    <w:name w:val="Heading 2"/>
    <w:basedOn w:val="Normal"/>
    <w:next w:val="Normal"/>
    <w:qFormat/>
    <w:pPr>
      <w:keepNext w:val="true"/>
      <w:widowControl w:val="false"/>
      <w:numPr>
        <w:ilvl w:val="0"/>
        <w:numId w:val="0"/>
      </w:numPr>
      <w:jc w:val="left"/>
      <w:outlineLvl w:val="1"/>
    </w:pPr>
    <w:rPr>
      <w:rFonts w:ascii="Arial" w:hAnsi="Arial" w:cs="Arial"/>
      <w:b/>
      <w:bCs/>
      <w:sz w:val="24"/>
      <w:szCs w:val="24"/>
      <w:lang w:eastAsia="es-ES"/>
    </w:rPr>
  </w:style>
  <w:style w:type="character" w:styleId="DefaultParagraphFont">
    <w:name w:val="Default Paragraph Font"/>
    <w:qFormat/>
    <w:rPr/>
  </w:style>
  <w:style w:type="character" w:styleId="Ttulo2Car">
    <w:name w:val="Título 2 Car"/>
    <w:qFormat/>
    <w:rPr>
      <w:rFonts w:ascii="Cambria" w:hAnsi="Cambria"/>
      <w:b/>
      <w:i/>
      <w:sz w:val="28"/>
      <w:lang w:val="x-none" w:eastAsia="en-US"/>
    </w:rPr>
  </w:style>
  <w:style w:type="character" w:styleId="TextodegloboCar">
    <w:name w:val="Texto de globo Car"/>
    <w:qFormat/>
    <w:rPr>
      <w:rFonts w:ascii="Tahoma" w:hAnsi="Tahoma"/>
      <w:sz w:val="16"/>
    </w:rPr>
  </w:style>
  <w:style w:type="character" w:styleId="EncabezadoCar">
    <w:name w:val="Encabezado Car"/>
    <w:qFormat/>
    <w:rPr>
      <w:rFonts w:cs="Times New Roman"/>
    </w:rPr>
  </w:style>
  <w:style w:type="character" w:styleId="PiedepginaCar">
    <w:name w:val="Pie de página Car"/>
    <w:qFormat/>
    <w:rPr>
      <w:rFonts w:cs="Times New Roman"/>
    </w:rPr>
  </w:style>
  <w:style w:type="character" w:styleId="Pagenumber">
    <w:name w:val="page number"/>
    <w:qFormat/>
    <w:rPr>
      <w:rFonts w:cs="Times New Roman"/>
    </w:rPr>
  </w:style>
  <w:style w:type="character" w:styleId="BodyTextIndentChar1">
    <w:name w:val="Body Text Indent Char1"/>
    <w:qFormat/>
    <w:rPr>
      <w:rFonts w:ascii="Calibri" w:hAnsi="Calibri"/>
    </w:rPr>
  </w:style>
  <w:style w:type="character" w:styleId="SangradetextonormalCar">
    <w:name w:val="Sangría de texto normal Car"/>
    <w:qFormat/>
    <w:rPr>
      <w:lang w:val="x-none" w:eastAsia="en-US"/>
    </w:rPr>
  </w:style>
  <w:style w:type="character" w:styleId="EnlacedeInternet">
    <w:name w:val="Enlace de Internet"/>
    <w:basedOn w:val="DefaultParagraphFont"/>
    <w:rPr>
      <w:color w:val="0000FF"/>
      <w:u w:val="single"/>
    </w:rPr>
  </w:style>
  <w:style w:type="character" w:styleId="TextoindependienteCar">
    <w:name w:val="Texto independiente Car"/>
    <w:basedOn w:val="DefaultParagraphFont"/>
    <w:qFormat/>
    <w:rPr>
      <w:sz w:val="22"/>
      <w:szCs w:val="22"/>
      <w:lang w:eastAsia="en-US"/>
    </w:rPr>
  </w:style>
  <w:style w:type="character" w:styleId="Vietas">
    <w:name w:val="Viñetas"/>
    <w:qFormat/>
    <w:rPr>
      <w:rFonts w:ascii="OpenSymbol" w:hAnsi="OpenSymbol" w:eastAsia="OpenSymbol" w:cs="OpenSymbol"/>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before="0" w:after="12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Corpotexto">
    <w:name w:val="corpotexto"/>
    <w:basedOn w:val="Normal"/>
    <w:qFormat/>
    <w:pPr>
      <w:spacing w:before="280" w:after="280"/>
    </w:pPr>
    <w:rPr>
      <w:rFonts w:ascii="Arial" w:hAnsi="Arial" w:eastAsia="Arial Unicode MS" w:cs="Arial"/>
      <w:sz w:val="24"/>
      <w:szCs w:val="24"/>
      <w:lang w:eastAsia="es-ES"/>
    </w:rPr>
  </w:style>
  <w:style w:type="paragraph" w:styleId="Pefotobesq">
    <w:name w:val="pefotobesq"/>
    <w:basedOn w:val="Normal"/>
    <w:qFormat/>
    <w:pPr>
      <w:spacing w:before="280" w:after="280"/>
      <w:ind w:left="100" w:right="100" w:hanging="0"/>
      <w:jc w:val="right"/>
    </w:pPr>
    <w:rPr>
      <w:rFonts w:ascii="Arial" w:hAnsi="Arial" w:eastAsia="Arial Unicode MS" w:cs="Arial"/>
      <w:color w:val="0033CC"/>
      <w:sz w:val="20"/>
      <w:szCs w:val="20"/>
      <w:lang w:eastAsia="es-ES"/>
    </w:rPr>
  </w:style>
  <w:style w:type="paragraph" w:styleId="NormalWeb">
    <w:name w:val="Normal (Web)"/>
    <w:basedOn w:val="Normal"/>
    <w:qFormat/>
    <w:pPr>
      <w:spacing w:before="280" w:after="280"/>
      <w:jc w:val="left"/>
    </w:pPr>
    <w:rPr>
      <w:rFonts w:ascii="Times New Roman" w:hAnsi="Times New Roman"/>
      <w:sz w:val="24"/>
      <w:szCs w:val="24"/>
      <w:lang w:eastAsia="es-ES"/>
    </w:rPr>
  </w:style>
  <w:style w:type="paragraph" w:styleId="Cuerpodetextoconsangra">
    <w:name w:val="Body Text Indent"/>
    <w:basedOn w:val="Normal"/>
    <w:pPr>
      <w:ind w:left="0" w:right="0" w:firstLine="1440"/>
    </w:pPr>
    <w:rPr>
      <w:sz w:val="20"/>
      <w:szCs w:val="20"/>
      <w:lang w:eastAsia="es-ES"/>
    </w:rPr>
  </w:style>
  <w:style w:type="paragraph" w:styleId="Pargrafodelista">
    <w:name w:val="Parágrafo de lista"/>
    <w:basedOn w:val="Normal"/>
    <w:qFormat/>
    <w:pPr>
      <w:spacing w:before="0" w:after="0"/>
      <w:ind w:left="720" w:right="0" w:hanging="0"/>
      <w:contextualSpacing/>
      <w:jc w:val="left"/>
    </w:pPr>
    <w:rPr>
      <w:rFonts w:ascii="Arial" w:hAnsi="Arial"/>
      <w:lang w:eastAsia="es-ES"/>
    </w:rPr>
  </w:style>
  <w:style w:type="paragraph" w:styleId="ListParagraph">
    <w:name w:val="List Paragraph"/>
    <w:basedOn w:val="Normal"/>
    <w:qFormat/>
    <w:pPr>
      <w:spacing w:before="0" w:after="0"/>
      <w:ind w:left="720" w:right="0" w:hanging="0"/>
      <w:contextualSpacing/>
    </w:pPr>
    <w:rPr/>
  </w:style>
  <w:style w:type="paragraph" w:styleId="Default">
    <w:name w:val="Default"/>
    <w:qFormat/>
    <w:pPr>
      <w:widowControl/>
      <w:kinsoku w:val="true"/>
      <w:overflowPunct w:val="true"/>
      <w:autoSpaceDE w:val="true"/>
      <w:bidi w:val="0"/>
      <w:spacing w:before="0" w:after="0"/>
      <w:jc w:val="left"/>
    </w:pPr>
    <w:rPr>
      <w:rFonts w:ascii="Arial" w:hAnsi="Arial" w:eastAsia="Times New Roman" w:cs="Arial"/>
      <w:color w:val="000000"/>
      <w:kern w:val="0"/>
      <w:sz w:val="24"/>
      <w:szCs w:val="24"/>
      <w:lang w:val="es-ES" w:eastAsia="es-ES" w:bidi="ar-SA"/>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iona.org/" TargetMode="External"/><Relationship Id="rId3" Type="http://schemas.openxmlformats.org/officeDocument/2006/relationships/hyperlink" Target="http://baiona.sedelectronica.gal/" TargetMode="External"/><Relationship Id="rId4" Type="http://schemas.openxmlformats.org/officeDocument/2006/relationships/hyperlink" Target="http://baiona.sedelectronica.gal/" TargetMode="External"/><Relationship Id="rId5" Type="http://schemas.openxmlformats.org/officeDocument/2006/relationships/hyperlink" Target="http://www.baiona.org/"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png"/><Relationship Id="rId3" Type="http://schemas.openxmlformats.org/officeDocument/2006/relationships/image" Target="media/image3.png"/>
</Relationships>
</file>

<file path=docProps/app.xml><?xml version="1.0" encoding="utf-8"?>
<Properties xmlns="http://schemas.openxmlformats.org/officeDocument/2006/extended-properties" xmlns:vt="http://schemas.openxmlformats.org/officeDocument/2006/docPropsVTypes">
  <Template>Normal</Template>
  <TotalTime>199</TotalTime>
  <Application>LibreOffice/6.3.6.2$Windows_X86_64 LibreOffice_project/2196df99b074d8a661f4036fca8fa0cbfa33a497</Application>
  <Pages>10</Pages>
  <Words>4011</Words>
  <Characters>22059</Characters>
  <CharactersWithSpaces>25891</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PacoN</dc:creator>
  <dc:description/>
  <dc:language>gl-ES</dc:language>
  <cp:lastModifiedBy/>
  <dcterms:modified xsi:type="dcterms:W3CDTF">2022-11-30T09:30:31Z</dcterms:modified>
  <cp:revision>48</cp:revision>
  <dc:subject/>
  <dc:title>TIPO DE INFORME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