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0D1AFA">
      <w:pPr>
        <w:widowControl/>
        <w:suppressAutoHyphens w:val="0"/>
        <w:spacing w:line="276" w:lineRule="auto"/>
        <w:jc w:val="center"/>
      </w:pPr>
      <w:bookmarkStart w:id="0" w:name="_GoBack"/>
      <w:bookmarkEnd w:id="0"/>
      <w:r>
        <w:rPr>
          <w:rFonts w:eastAsia="Times New Roman"/>
          <w:b/>
          <w:kern w:val="0"/>
          <w:szCs w:val="22"/>
          <w:lang w:val="ca-ES" w:eastAsia="es-ES"/>
        </w:rPr>
        <w:t xml:space="preserve">CONVENI DE SUBVENCIÓ NOMINATIVA CLUB BÀSQUET CABRILS </w:t>
      </w:r>
    </w:p>
    <w:p w:rsidR="00000000" w:rsidRDefault="000D1AFA">
      <w:pPr>
        <w:widowControl/>
        <w:suppressAutoHyphens w:val="0"/>
        <w:spacing w:line="276" w:lineRule="auto"/>
        <w:jc w:val="center"/>
      </w:pPr>
      <w:r>
        <w:rPr>
          <w:rFonts w:eastAsia="Times New Roman"/>
          <w:b/>
          <w:kern w:val="0"/>
          <w:szCs w:val="22"/>
          <w:lang w:val="ca-ES" w:eastAsia="es-ES"/>
        </w:rPr>
        <w:t>PREVISTA AL PRESSUPOST MUNICIPAL 2022</w:t>
      </w:r>
    </w:p>
    <w:p w:rsidR="00000000" w:rsidRDefault="000D1AFA">
      <w:pPr>
        <w:widowControl/>
        <w:suppressAutoHyphens w:val="0"/>
        <w:spacing w:line="276" w:lineRule="auto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A Cabrils, a data de la signatura electrònica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REUNITS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D’una part, la Sra. Maite Viñals Clemente, Alcaldessa de l’Ajuntament de Cabrils, assistida pel lSr. Anton</w:t>
      </w:r>
      <w:r>
        <w:rPr>
          <w:rFonts w:eastAsia="Times New Roman"/>
          <w:kern w:val="0"/>
          <w:szCs w:val="22"/>
          <w:lang w:val="ca-ES" w:eastAsia="es-ES"/>
        </w:rPr>
        <w:t>io Moreno Baza, secretari de la Corporació, que dóna fe de l’acte.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I de l’altra, el Sr. Guillem Frowd Olivé (DNI 37784966Z) com a Secretari del Club Bàsquet Cabrils (NIF G65735359) i responsable dels tràmits electrònics amb l'Ajuntament de Cabrils.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Ambdu</w:t>
      </w:r>
      <w:r>
        <w:rPr>
          <w:rFonts w:eastAsia="Times New Roman"/>
          <w:kern w:val="0"/>
          <w:szCs w:val="22"/>
          <w:lang w:val="ca-ES" w:eastAsia="es-ES"/>
        </w:rPr>
        <w:t>es parts es reconeixen mútuament la capacitat legal i necessària per contractar i obligar-se, i en conseqüència, de mutu acord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MANIFESTEN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I.- Que el foment i l’administració dels interessos propis del municipi formen part del nucli competencial dels Ajun</w:t>
      </w:r>
      <w:r>
        <w:rPr>
          <w:rFonts w:eastAsia="Times New Roman"/>
          <w:kern w:val="0"/>
          <w:szCs w:val="22"/>
          <w:lang w:val="ca-ES" w:eastAsia="es-ES"/>
        </w:rPr>
        <w:t>taments en virtut del que disposen els articles 11 i 25 de la Llei 7/1985, de 2 d’abril, reguladora de les bases del règim local i l’article 66 del Text refós de la Llei municipal i de règim local de Catalunya, aprovat pel Decret Legislatiu 2/2003, de 28 d</w:t>
      </w:r>
      <w:r>
        <w:rPr>
          <w:rFonts w:eastAsia="Times New Roman"/>
          <w:kern w:val="0"/>
          <w:szCs w:val="22"/>
          <w:lang w:val="ca-ES" w:eastAsia="es-ES"/>
        </w:rPr>
        <w:t>’abril.</w:t>
      </w:r>
    </w:p>
    <w:p w:rsidR="00000000" w:rsidRDefault="000D1AFA">
      <w:pPr>
        <w:widowControl/>
        <w:suppressAutoHyphens w:val="0"/>
        <w:spacing w:line="276" w:lineRule="auto"/>
        <w:jc w:val="both"/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II. Vist que </w:t>
      </w:r>
      <w:r>
        <w:rPr>
          <w:rFonts w:eastAsia="Times New Roman"/>
          <w:bCs/>
          <w:kern w:val="0"/>
          <w:szCs w:val="20"/>
          <w:lang w:val="ca-ES" w:eastAsia="es-ES"/>
        </w:rPr>
        <w:t xml:space="preserve">segons disposa l’article 28 de la Llei General de Subvencions 38/2003, </w:t>
      </w:r>
      <w:r>
        <w:rPr>
          <w:rFonts w:eastAsia="Times New Roman"/>
          <w:kern w:val="0"/>
          <w:szCs w:val="20"/>
          <w:lang w:val="ca-ES" w:eastAsia="es-ES"/>
        </w:rPr>
        <w:t>de 17 de novembre, la resolució de la concessió i en el seu cas, els convenis a través del qual es canalitzin aquestes subvencions establiran les condicions i comp</w:t>
      </w:r>
      <w:r>
        <w:rPr>
          <w:rFonts w:eastAsia="Times New Roman"/>
          <w:kern w:val="0"/>
          <w:szCs w:val="20"/>
          <w:lang w:val="ca-ES" w:eastAsia="es-ES"/>
        </w:rPr>
        <w:t>romisos aplicables de conformitat amb el que disposa la Llei.</w:t>
      </w:r>
    </w:p>
    <w:p w:rsidR="00000000" w:rsidRDefault="000D1AFA">
      <w:pPr>
        <w:widowControl/>
        <w:suppressAutoHyphens w:val="0"/>
        <w:spacing w:line="276" w:lineRule="auto"/>
        <w:jc w:val="both"/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III.- Que els convenis constitueixen l’instrument habitual </w:t>
      </w:r>
      <w:r>
        <w:rPr>
          <w:rFonts w:eastAsia="Times New Roman"/>
          <w:kern w:val="0"/>
          <w:szCs w:val="22"/>
          <w:lang w:val="ca-ES" w:eastAsia="es-ES"/>
        </w:rPr>
        <w:t>per a canalitzar les subvencions previstes als pressupostos de les corporacions locals, d’acord amb el que disposa els articles 22.2.a</w:t>
      </w:r>
      <w:r>
        <w:rPr>
          <w:rFonts w:eastAsia="Times New Roman"/>
          <w:kern w:val="0"/>
          <w:szCs w:val="22"/>
          <w:lang w:val="ca-ES" w:eastAsia="es-ES"/>
        </w:rPr>
        <w:t>) i 28.1 de la Llei 38/2003, de 17 de novembre, General de Subvencions, l’article 65.3 del RD 887/2006, de 21 de juliol, Reglament de la llei i el Reglament per a la concessió de subvencions per a activitats culturals, esportives i altres activitats d’inte</w:t>
      </w:r>
      <w:r>
        <w:rPr>
          <w:rFonts w:eastAsia="Times New Roman"/>
          <w:kern w:val="0"/>
          <w:szCs w:val="22"/>
          <w:lang w:val="ca-ES" w:eastAsia="es-ES"/>
        </w:rPr>
        <w:t>rès social de l’Ajuntament de Cabrils.</w:t>
      </w:r>
    </w:p>
    <w:p w:rsidR="00000000" w:rsidRDefault="000D1AFA">
      <w:pPr>
        <w:widowControl/>
        <w:suppressAutoHyphens w:val="0"/>
        <w:spacing w:line="276" w:lineRule="auto"/>
        <w:jc w:val="both"/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IV.- Que l’Ajuntament de Cabrils ha aprovat atorgar una subvenció prevista nominativament en el Pressupost Municipal de 2022, al Club Bàsquet Cabrils (NIF G65735359), per activitats específiques del 10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>è</w:t>
      </w:r>
      <w:r>
        <w:rPr>
          <w:rFonts w:eastAsia="Times New Roman"/>
          <w:kern w:val="0"/>
          <w:szCs w:val="22"/>
          <w:lang w:val="ca-ES" w:eastAsia="es-ES"/>
        </w:rPr>
        <w:t xml:space="preserve"> aniversari de</w:t>
      </w:r>
      <w:r>
        <w:rPr>
          <w:rFonts w:eastAsia="Times New Roman"/>
          <w:kern w:val="0"/>
          <w:szCs w:val="22"/>
          <w:lang w:val="ca-ES" w:eastAsia="es-ES"/>
        </w:rPr>
        <w:t xml:space="preserve"> l'entitat, d’import dos mil euros (2.000,00 €).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Per tot això, ambdues parts, de comú acord formalitzen el present conveni amb subjecció a les següents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C L À U S U L E S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1a.- L’objecte de la subvenció seran les despeses derivades de la realització d’act</w:t>
      </w:r>
      <w:r>
        <w:rPr>
          <w:rFonts w:eastAsia="Times New Roman"/>
          <w:kern w:val="0"/>
          <w:szCs w:val="22"/>
          <w:lang w:val="ca-ES" w:eastAsia="es-ES"/>
        </w:rPr>
        <w:t>ivitats específiques per la commemoració del 10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>è</w:t>
      </w:r>
      <w:r>
        <w:rPr>
          <w:rFonts w:eastAsia="Times New Roman"/>
          <w:kern w:val="0"/>
          <w:szCs w:val="22"/>
          <w:lang w:val="ca-ES" w:eastAsia="es-ES"/>
        </w:rPr>
        <w:t xml:space="preserve"> aniversari de l'entitat, per un import de 2.000 euros. 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lastRenderedPageBreak/>
        <w:t>2a.- Les despeses inherents a l’atorgament de la subvenció esmentada s’imputaran a la partida pressupostària 342.498.22.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3a.- S’entendrà acceptada la</w:t>
      </w:r>
      <w:r>
        <w:rPr>
          <w:rFonts w:eastAsia="Times New Roman"/>
          <w:kern w:val="0"/>
          <w:szCs w:val="22"/>
          <w:lang w:val="ca-ES" w:eastAsia="es-ES"/>
        </w:rPr>
        <w:t xml:space="preserve"> subvenció des del moment en què es signi el conveni per la part beneficiària i presenti la declaració responsable.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4a.- La subvenció va destinada a finançar les despeses derivades de la clàusula 1a. que es produeixin durant l’any 2022 i que de manera ind</w:t>
      </w:r>
      <w:r>
        <w:rPr>
          <w:rFonts w:eastAsia="Times New Roman"/>
          <w:kern w:val="0"/>
          <w:szCs w:val="22"/>
          <w:lang w:val="ca-ES" w:eastAsia="es-ES"/>
        </w:rPr>
        <w:t xml:space="preserve">ubtable responguin a la naturalesa de l’activitat subvencionada. 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5a.- S’atorgarà una bestreta per import del 80% de la subvenció prevista. El restant 20%, es farà efectiu en el moment de la justificació de la despesa que resta obligat el beneficiari.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6a</w:t>
      </w:r>
      <w:r>
        <w:rPr>
          <w:rFonts w:eastAsia="Times New Roman"/>
          <w:kern w:val="0"/>
          <w:szCs w:val="22"/>
          <w:lang w:val="ca-ES" w:eastAsia="es-ES"/>
        </w:rPr>
        <w:t>.- El beneficiari haurà de justificar la realització de l’activitat subvencionada abans del 30 de juny de 2023, presentant a l’Ajuntament factures amb tots els requisits legalment establerts o còpia autenticada d’aquestes, pels imports i conceptes correspo</w:t>
      </w:r>
      <w:r>
        <w:rPr>
          <w:rFonts w:eastAsia="Times New Roman"/>
          <w:kern w:val="0"/>
          <w:szCs w:val="22"/>
          <w:lang w:val="ca-ES" w:eastAsia="es-ES"/>
        </w:rPr>
        <w:t xml:space="preserve">nents a les despeses efectivament realitzades en les activitats o programes subvencionats. </w:t>
      </w: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La no justificació dels ajuts comportarà a l’ens que l’ha rebut reintegrar-la en la seva totalitat. </w:t>
      </w: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De la mateixa manera es procedirà al reintegrament, constatat l</w:t>
      </w:r>
      <w:r>
        <w:rPr>
          <w:rFonts w:eastAsia="Times New Roman"/>
          <w:kern w:val="0"/>
          <w:szCs w:val="22"/>
          <w:lang w:val="ca-ES" w:eastAsia="es-ES"/>
        </w:rPr>
        <w:t>’escreix obtingut sobre el cost de l’activitat subvencionada.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7a.- Les subvencions atorgades són compatibles amb altres ajuts d’entitats públiques o privades o de particulars però en cap cas aquestes més l’import de la subvenció atorgada per l’Ajuntament,</w:t>
      </w:r>
      <w:r>
        <w:rPr>
          <w:rFonts w:eastAsia="Times New Roman"/>
          <w:kern w:val="0"/>
          <w:szCs w:val="22"/>
          <w:lang w:val="ca-ES" w:eastAsia="es-ES"/>
        </w:rPr>
        <w:t xml:space="preserve"> poden superar el cost de l’activitat. Els beneficiaris de la subvenció estan obligats a posar en coneixement de l’Ajuntament tots els ajuts que rebin per a les activitats subvencionades.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8a.- En tot allò no previst en el present conveni, s’estarà el que </w:t>
      </w:r>
      <w:r>
        <w:rPr>
          <w:rFonts w:eastAsia="Times New Roman"/>
          <w:kern w:val="0"/>
          <w:szCs w:val="22"/>
          <w:lang w:val="ca-ES" w:eastAsia="es-ES"/>
        </w:rPr>
        <w:t>estableix el Reglament per a la concessió de subvencions per a activitats culturals, esportives i altres activitats d’interès social, el RD 887/2006 de 21 de juliol i la Llei 38/2003, de 17 de novembre, general de subvencions.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I perquè així consti, i als </w:t>
      </w:r>
      <w:r>
        <w:rPr>
          <w:rFonts w:eastAsia="Times New Roman"/>
          <w:kern w:val="0"/>
          <w:szCs w:val="22"/>
          <w:lang w:val="ca-ES" w:eastAsia="es-ES"/>
        </w:rPr>
        <w:t>efectes legals oportuns, ambdues parts en prova de conformitat signen  el present conveni per exemplar duplicat i a un sol efecte en el lloc i data damunt indicats.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ind w:left="5060" w:hanging="5060"/>
        <w:jc w:val="both"/>
      </w:pPr>
      <w:r>
        <w:rPr>
          <w:rFonts w:eastAsia="Times New Roman"/>
          <w:kern w:val="0"/>
          <w:szCs w:val="22"/>
          <w:lang w:val="ca-ES" w:eastAsia="es-ES"/>
        </w:rPr>
        <w:t>L’alcaldessa,</w:t>
      </w:r>
      <w:r>
        <w:rPr>
          <w:rFonts w:eastAsia="Times New Roman"/>
          <w:kern w:val="0"/>
          <w:szCs w:val="22"/>
          <w:lang w:val="ca-ES" w:eastAsia="es-ES"/>
        </w:rPr>
        <w:tab/>
        <w:t>El secretari del Club Bàsquet Cabrils</w:t>
      </w: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Maite Viñals Clemente</w:t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  <w:t xml:space="preserve"> Guillem Fr</w:t>
      </w:r>
      <w:r>
        <w:rPr>
          <w:rFonts w:eastAsia="Times New Roman"/>
          <w:kern w:val="0"/>
          <w:szCs w:val="22"/>
          <w:lang w:val="ca-ES" w:eastAsia="es-ES"/>
        </w:rPr>
        <w:t>owd Olivé</w:t>
      </w: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La secretària accidental,</w:t>
      </w:r>
    </w:p>
    <w:p w:rsidR="00000000" w:rsidRDefault="000D1AFA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Montserrat Serra Fibla</w:t>
      </w:r>
    </w:p>
    <w:p w:rsidR="00000000" w:rsidRDefault="000D1AFA">
      <w:pPr>
        <w:spacing w:line="276" w:lineRule="auto"/>
      </w:pPr>
    </w:p>
    <w:sectPr w:rsidR="0000000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D1AFA">
      <w:r>
        <w:separator/>
      </w:r>
    </w:p>
  </w:endnote>
  <w:endnote w:type="continuationSeparator" w:id="0">
    <w:p w:rsidR="00000000" w:rsidRDefault="000D1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D1AFA">
    <w:pPr>
      <w:pStyle w:val="Piedepgina"/>
    </w:pPr>
    <w:r>
      <w:rPr>
        <w:noProof/>
        <w:lang w:val="ca-ES" w:eastAsia="ca-ES"/>
      </w:rPr>
      <w:drawing>
        <wp:inline distT="0" distB="0" distL="0" distR="0">
          <wp:extent cx="5410200" cy="2762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999" r="-44" b="-999"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276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D1A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D1AFA">
      <w:r>
        <w:separator/>
      </w:r>
    </w:p>
  </w:footnote>
  <w:footnote w:type="continuationSeparator" w:id="0">
    <w:p w:rsidR="00000000" w:rsidRDefault="000D1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D1AFA">
    <w:pPr>
      <w:pStyle w:val="Encabezado"/>
    </w:pPr>
    <w:r>
      <w:rPr>
        <w:noProof/>
        <w:lang w:val="ca-ES" w:eastAsia="ca-ES"/>
      </w:rPr>
      <w:drawing>
        <wp:inline distT="0" distB="0" distL="0" distR="0">
          <wp:extent cx="1609725" cy="7048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00" t="-458" r="-200" b="-458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D1A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AFA"/>
    <w:rsid w:val="000D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val="es-ES"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outlineLvl w:val="0"/>
    </w:pPr>
    <w:rPr>
      <w:rFonts w:eastAsia="Times New Roman"/>
      <w:b/>
      <w:kern w:val="0"/>
      <w:sz w:val="24"/>
      <w:szCs w:val="20"/>
      <w:u w:val="single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WW8Num2z0">
    <w:name w:val="WW8Num2z0"/>
    <w:rPr>
      <w:rFonts w:ascii="Arial" w:eastAsia="Times New Roman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lfaen" w:hAnsi="Sylfaen" w:cs="Sylfae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2"/>
      <w:sz w:val="16"/>
      <w:szCs w:val="16"/>
      <w:lang w:val="es-ES"/>
    </w:rPr>
  </w:style>
  <w:style w:type="character" w:customStyle="1" w:styleId="Textoindependiente2Car">
    <w:name w:val="Texto independiente 2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Ttulo1Car">
    <w:name w:val="Título 1 Car"/>
    <w:rPr>
      <w:rFonts w:ascii="Arial" w:hAnsi="Arial" w:cs="Arial"/>
      <w:b/>
      <w:sz w:val="24"/>
      <w:u w:val="single"/>
    </w:rPr>
  </w:style>
  <w:style w:type="character" w:customStyle="1" w:styleId="SangradetextonormalCar">
    <w:name w:val="Sangría de texto normal Car"/>
    <w:rPr>
      <w:rFonts w:ascii="Arial" w:eastAsia="Lucida Sans Unicode" w:hAnsi="Arial" w:cs="Arial"/>
      <w:kern w:val="2"/>
      <w:szCs w:val="24"/>
      <w:lang w:val="es-ES"/>
    </w:rPr>
  </w:style>
  <w:style w:type="character" w:styleId="Hipervnculo">
    <w:name w:val="Hyperlink"/>
    <w:rPr>
      <w:color w:val="000080"/>
      <w:u w:val="single"/>
      <w:lang/>
    </w:rPr>
  </w:style>
  <w:style w:type="paragraph" w:customStyle="1" w:styleId="Ttulo3">
    <w:name w:val="Título3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">
    <w:name w:val="Descripció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  <w:lang w:val="ca-ES"/>
    </w:rPr>
  </w:style>
  <w:style w:type="paragraph" w:customStyle="1" w:styleId="CarCar1">
    <w:name w:val="Car Car1"/>
    <w:basedOn w:val="Normal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val="en-US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styleId="Sangradetextonormal">
    <w:name w:val="Body Text Indent"/>
    <w:basedOn w:val="Normal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val="es-ES"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outlineLvl w:val="0"/>
    </w:pPr>
    <w:rPr>
      <w:rFonts w:eastAsia="Times New Roman"/>
      <w:b/>
      <w:kern w:val="0"/>
      <w:sz w:val="24"/>
      <w:szCs w:val="20"/>
      <w:u w:val="single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WW8Num2z0">
    <w:name w:val="WW8Num2z0"/>
    <w:rPr>
      <w:rFonts w:ascii="Arial" w:eastAsia="Times New Roman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lfaen" w:hAnsi="Sylfaen" w:cs="Sylfae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2"/>
      <w:sz w:val="16"/>
      <w:szCs w:val="16"/>
      <w:lang w:val="es-ES"/>
    </w:rPr>
  </w:style>
  <w:style w:type="character" w:customStyle="1" w:styleId="Textoindependiente2Car">
    <w:name w:val="Texto independiente 2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Ttulo1Car">
    <w:name w:val="Título 1 Car"/>
    <w:rPr>
      <w:rFonts w:ascii="Arial" w:hAnsi="Arial" w:cs="Arial"/>
      <w:b/>
      <w:sz w:val="24"/>
      <w:u w:val="single"/>
    </w:rPr>
  </w:style>
  <w:style w:type="character" w:customStyle="1" w:styleId="SangradetextonormalCar">
    <w:name w:val="Sangría de texto normal Car"/>
    <w:rPr>
      <w:rFonts w:ascii="Arial" w:eastAsia="Lucida Sans Unicode" w:hAnsi="Arial" w:cs="Arial"/>
      <w:kern w:val="2"/>
      <w:szCs w:val="24"/>
      <w:lang w:val="es-ES"/>
    </w:rPr>
  </w:style>
  <w:style w:type="character" w:styleId="Hipervnculo">
    <w:name w:val="Hyperlink"/>
    <w:rPr>
      <w:color w:val="000080"/>
      <w:u w:val="single"/>
      <w:lang/>
    </w:rPr>
  </w:style>
  <w:style w:type="paragraph" w:customStyle="1" w:styleId="Ttulo3">
    <w:name w:val="Título3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">
    <w:name w:val="Descripció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  <w:lang w:val="ca-ES"/>
    </w:rPr>
  </w:style>
  <w:style w:type="paragraph" w:customStyle="1" w:styleId="CarCar1">
    <w:name w:val="Car Car1"/>
    <w:basedOn w:val="Normal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val="en-US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styleId="Sangradetextonormal">
    <w:name w:val="Body Text Indent"/>
    <w:basedOn w:val="Normal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Valero</dc:creator>
  <cp:lastModifiedBy>Cristina Bellonch</cp:lastModifiedBy>
  <cp:revision>2</cp:revision>
  <cp:lastPrinted>1995-11-21T16:41:00Z</cp:lastPrinted>
  <dcterms:created xsi:type="dcterms:W3CDTF">2022-11-09T12:09:00Z</dcterms:created>
  <dcterms:modified xsi:type="dcterms:W3CDTF">2022-11-09T12:09:00Z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