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EC4" w:rsidRPr="00C82EC4" w:rsidRDefault="00C82EC4" w:rsidP="00C82EC4">
      <w:pPr>
        <w:spacing w:before="100" w:beforeAutospacing="1" w:after="100" w:afterAutospacing="1" w:line="240" w:lineRule="auto"/>
        <w:jc w:val="right"/>
        <w:rPr>
          <w:rFonts w:cs="Arial"/>
          <w:szCs w:val="22"/>
          <w:lang w:val="es-ES"/>
        </w:rPr>
      </w:pPr>
      <w:bookmarkStart w:id="0" w:name="_GoBack"/>
      <w:bookmarkEnd w:id="0"/>
      <w:r w:rsidRPr="00C82EC4">
        <w:rPr>
          <w:rFonts w:cs="Arial"/>
          <w:szCs w:val="22"/>
          <w:lang w:val="es-ES"/>
        </w:rPr>
        <w:t> </w:t>
      </w:r>
      <w:r w:rsidRPr="00C82EC4">
        <w:rPr>
          <w:rFonts w:cs="Arial"/>
          <w:b/>
          <w:bCs/>
          <w:szCs w:val="22"/>
          <w:lang w:val="es-ES"/>
        </w:rPr>
        <w:t>Expediente núm.:1314/2022</w:t>
      </w:r>
    </w:p>
    <w:p w:rsidR="00C82EC4" w:rsidRPr="00C82EC4" w:rsidRDefault="00C82EC4" w:rsidP="00C82EC4">
      <w:pPr>
        <w:spacing w:before="100" w:beforeAutospacing="1" w:after="100" w:afterAutospacing="1" w:line="240" w:lineRule="auto"/>
        <w:rPr>
          <w:rFonts w:cs="Arial"/>
          <w:szCs w:val="22"/>
          <w:lang w:val="es-ES"/>
        </w:rPr>
      </w:pPr>
      <w:r w:rsidRPr="00C82EC4">
        <w:rPr>
          <w:rFonts w:cs="Arial"/>
          <w:b/>
          <w:bCs/>
          <w:szCs w:val="22"/>
        </w:rPr>
        <w:t> </w:t>
      </w:r>
    </w:p>
    <w:p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b/>
          <w:bCs/>
          <w:szCs w:val="22"/>
          <w:lang w:val="es-ES"/>
        </w:rPr>
        <w:t xml:space="preserve">CONVOCATORIA PARA LA CONCESIÓN DE SUBVENCIONES, EN RÉGIMEN DE CONCURRENCIA COMPETITIVA, PARA ACTIVIDADES DEPORTIVAS EXTRAESCOLARES, DESTINADAS A LA PREVENCIÓN DEL RIESGO DE EXCLUSIÓN SOCIAL INFANTIL DE SENTMENAT. CURSO 2022-2023 </w:t>
      </w:r>
    </w:p>
    <w:p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rPr>
        <w:t> </w:t>
      </w:r>
    </w:p>
    <w:p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1.- Bases Reguladoras</w:t>
      </w:r>
    </w:p>
    <w:p w:rsidR="00C82EC4" w:rsidRPr="00C82EC4" w:rsidRDefault="00C82EC4" w:rsidP="00C82EC4">
      <w:pPr>
        <w:spacing w:before="10" w:after="100" w:afterAutospacing="1" w:line="240" w:lineRule="auto"/>
        <w:jc w:val="both"/>
        <w:rPr>
          <w:rFonts w:cs="Arial"/>
          <w:szCs w:val="22"/>
          <w:lang w:val="es-ES"/>
        </w:rPr>
      </w:pPr>
      <w:r w:rsidRPr="00C82EC4">
        <w:rPr>
          <w:rFonts w:cs="Arial"/>
          <w:szCs w:val="22"/>
          <w:lang w:val="es-ES"/>
        </w:rPr>
        <w:t xml:space="preserve">Reglamento Municipal sobre Criterios para la concesión de prestaciones económicas de carácter social (anexo 5), aprobado inicialmente mediante acuerdo plenario del Ayuntamiento de </w:t>
      </w:r>
      <w:proofErr w:type="spellStart"/>
      <w:r w:rsidRPr="00C82EC4">
        <w:rPr>
          <w:rFonts w:cs="Arial"/>
          <w:szCs w:val="22"/>
          <w:lang w:val="es-ES"/>
        </w:rPr>
        <w:t>Sentmenat</w:t>
      </w:r>
      <w:proofErr w:type="spellEnd"/>
      <w:r w:rsidRPr="00C82EC4">
        <w:rPr>
          <w:rFonts w:cs="Arial"/>
          <w:szCs w:val="22"/>
          <w:lang w:val="es-ES"/>
        </w:rPr>
        <w:t xml:space="preserve"> adoptado el día 28 de noviembre de 2019 y publicado en el Boletín Oficial de la Provincia de Barcelona de 11 de junio de 2020.</w:t>
      </w:r>
    </w:p>
    <w:p w:rsidR="00C82EC4" w:rsidRPr="00C82EC4" w:rsidRDefault="00C82EC4" w:rsidP="00C82EC4">
      <w:pPr>
        <w:spacing w:before="93" w:line="240" w:lineRule="auto"/>
        <w:ind w:right="212"/>
        <w:jc w:val="both"/>
        <w:rPr>
          <w:rFonts w:cs="Arial"/>
          <w:szCs w:val="22"/>
          <w:lang w:val="es-ES"/>
        </w:rPr>
      </w:pPr>
      <w:r w:rsidRPr="00C82EC4">
        <w:rPr>
          <w:rFonts w:cs="Arial"/>
          <w:szCs w:val="22"/>
        </w:rPr>
        <w:t> </w:t>
      </w:r>
    </w:p>
    <w:p w:rsidR="00C82EC4" w:rsidRPr="00C82EC4" w:rsidRDefault="00C82EC4" w:rsidP="00C82EC4">
      <w:pPr>
        <w:spacing w:before="100" w:beforeAutospacing="1" w:after="100" w:afterAutospacing="1" w:line="240" w:lineRule="auto"/>
        <w:ind w:right="212"/>
        <w:jc w:val="both"/>
        <w:outlineLvl w:val="5"/>
        <w:rPr>
          <w:rFonts w:cs="Arial"/>
          <w:b/>
          <w:bCs/>
          <w:szCs w:val="22"/>
          <w:lang w:val="es-ES"/>
        </w:rPr>
      </w:pPr>
      <w:r w:rsidRPr="00C82EC4">
        <w:rPr>
          <w:rFonts w:cs="Arial"/>
          <w:b/>
          <w:bCs/>
          <w:szCs w:val="22"/>
          <w:u w:val="single"/>
          <w:lang w:val="es-ES"/>
        </w:rPr>
        <w:t>2.- Cuantía total máxima y consignación presupuestaria</w:t>
      </w:r>
    </w:p>
    <w:p w:rsidR="00C82EC4" w:rsidRPr="00C82EC4" w:rsidRDefault="00C82EC4" w:rsidP="00C82EC4">
      <w:pPr>
        <w:spacing w:before="93" w:after="100" w:afterAutospacing="1" w:line="240" w:lineRule="auto"/>
        <w:jc w:val="both"/>
        <w:rPr>
          <w:rFonts w:cs="Arial"/>
          <w:szCs w:val="22"/>
          <w:lang w:val="es-ES"/>
        </w:rPr>
      </w:pPr>
      <w:r w:rsidRPr="00C82EC4">
        <w:rPr>
          <w:rFonts w:cs="Arial"/>
          <w:szCs w:val="22"/>
          <w:lang w:val="es-ES"/>
        </w:rPr>
        <w:t>El presupuesto máximo que se destinará</w:t>
      </w:r>
      <w:r w:rsidRPr="00C82EC4">
        <w:rPr>
          <w:rFonts w:cs="Arial"/>
          <w:spacing w:val="39"/>
          <w:szCs w:val="22"/>
          <w:lang w:val="es-ES"/>
        </w:rPr>
        <w:t xml:space="preserve"> </w:t>
      </w:r>
      <w:r w:rsidRPr="00C82EC4">
        <w:rPr>
          <w:rFonts w:cs="Arial"/>
          <w:szCs w:val="22"/>
          <w:lang w:val="es-ES"/>
        </w:rPr>
        <w:t>este</w:t>
      </w:r>
      <w:r w:rsidRPr="00C82EC4">
        <w:rPr>
          <w:rFonts w:cs="Arial"/>
          <w:spacing w:val="7"/>
          <w:szCs w:val="22"/>
          <w:lang w:val="es-ES"/>
        </w:rPr>
        <w:t xml:space="preserve"> </w:t>
      </w:r>
      <w:r w:rsidRPr="00C82EC4">
        <w:rPr>
          <w:rFonts w:cs="Arial"/>
          <w:szCs w:val="22"/>
          <w:lang w:val="es-ES"/>
        </w:rPr>
        <w:t>año 2022 para la concesión</w:t>
      </w:r>
      <w:r w:rsidRPr="00C82EC4">
        <w:rPr>
          <w:rFonts w:cs="Arial"/>
          <w:spacing w:val="27"/>
          <w:szCs w:val="22"/>
          <w:lang w:val="es-ES"/>
        </w:rPr>
        <w:t xml:space="preserve"> </w:t>
      </w:r>
      <w:r w:rsidRPr="00C82EC4">
        <w:rPr>
          <w:rFonts w:cs="Arial"/>
          <w:szCs w:val="22"/>
          <w:lang w:val="es-ES"/>
        </w:rPr>
        <w:t>de las subvenciones objeto de la presente convocatoria</w:t>
      </w:r>
      <w:r w:rsidRPr="00C82EC4">
        <w:rPr>
          <w:rFonts w:cs="Arial"/>
          <w:spacing w:val="39"/>
          <w:szCs w:val="22"/>
          <w:lang w:val="es-ES"/>
        </w:rPr>
        <w:t xml:space="preserve"> </w:t>
      </w:r>
      <w:r w:rsidRPr="00C82EC4">
        <w:rPr>
          <w:rFonts w:cs="Arial"/>
          <w:szCs w:val="22"/>
          <w:lang w:val="es-ES"/>
        </w:rPr>
        <w:t>será</w:t>
      </w:r>
      <w:r w:rsidRPr="00C82EC4">
        <w:rPr>
          <w:rFonts w:cs="Arial"/>
          <w:spacing w:val="6"/>
          <w:szCs w:val="22"/>
          <w:lang w:val="es-ES"/>
        </w:rPr>
        <w:t xml:space="preserve"> </w:t>
      </w:r>
      <w:r w:rsidRPr="00C82EC4">
        <w:rPr>
          <w:rFonts w:cs="Arial"/>
          <w:szCs w:val="22"/>
          <w:lang w:val="es-ES"/>
        </w:rPr>
        <w:t xml:space="preserve">de </w:t>
      </w:r>
      <w:r w:rsidRPr="00C82EC4">
        <w:rPr>
          <w:rFonts w:cs="Arial"/>
          <w:b/>
          <w:bCs/>
          <w:szCs w:val="22"/>
          <w:lang w:val="es-ES"/>
        </w:rPr>
        <w:t>6.000 €</w:t>
      </w:r>
      <w:r w:rsidRPr="00C82EC4">
        <w:rPr>
          <w:rFonts w:cs="Arial"/>
          <w:b/>
          <w:bCs/>
          <w:spacing w:val="7"/>
          <w:szCs w:val="22"/>
          <w:lang w:val="es-ES"/>
        </w:rPr>
        <w:t xml:space="preserve"> </w:t>
      </w:r>
      <w:r w:rsidRPr="00C82EC4">
        <w:rPr>
          <w:rFonts w:cs="Arial"/>
          <w:szCs w:val="22"/>
          <w:lang w:val="es-ES"/>
        </w:rPr>
        <w:t xml:space="preserve">con cargo a la aplicación 330-2311-48000 </w:t>
      </w:r>
      <w:r w:rsidRPr="00C82EC4">
        <w:rPr>
          <w:rFonts w:cs="Arial"/>
          <w:i/>
          <w:szCs w:val="22"/>
          <w:lang w:val="es-ES"/>
        </w:rPr>
        <w:t>Becas y ayudas sociales</w:t>
      </w:r>
      <w:r w:rsidRPr="00C82EC4">
        <w:rPr>
          <w:rFonts w:cs="Arial"/>
          <w:szCs w:val="22"/>
          <w:lang w:val="es-ES"/>
        </w:rPr>
        <w:t xml:space="preserve"> del presupuesto del ejercicio 2022 de la concejalía de acción social. No podrán otorgarse subvenciones por importe superior al citado.</w:t>
      </w:r>
    </w:p>
    <w:p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rPr>
        <w:t> </w:t>
      </w:r>
    </w:p>
    <w:p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3.- Objeto, condiciones y finalidad de las subvenciones</w:t>
      </w:r>
    </w:p>
    <w:p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lang w:val="es-ES"/>
        </w:rPr>
        <w:t xml:space="preserve">El objeto de las subvenciones de la presente convocatoria es financiar actividades deportivas para la prevención del riesgo de exclusión social infantil de </w:t>
      </w:r>
      <w:proofErr w:type="spellStart"/>
      <w:r w:rsidRPr="00C82EC4">
        <w:rPr>
          <w:rFonts w:cs="Arial"/>
          <w:szCs w:val="22"/>
          <w:lang w:val="es-ES"/>
        </w:rPr>
        <w:t>Sentmenat</w:t>
      </w:r>
      <w:proofErr w:type="spellEnd"/>
      <w:r w:rsidRPr="00C82EC4">
        <w:rPr>
          <w:rFonts w:cs="Arial"/>
          <w:szCs w:val="22"/>
          <w:lang w:val="es-ES"/>
        </w:rPr>
        <w:t xml:space="preserve"> para el curso 2022-2023.</w:t>
      </w:r>
    </w:p>
    <w:p w:rsidR="00C82EC4" w:rsidRPr="00C82EC4" w:rsidRDefault="00C82EC4" w:rsidP="00C82EC4">
      <w:pPr>
        <w:spacing w:before="93" w:after="100" w:afterAutospacing="1" w:line="240" w:lineRule="auto"/>
        <w:jc w:val="both"/>
        <w:rPr>
          <w:rFonts w:cs="Arial"/>
          <w:szCs w:val="22"/>
          <w:lang w:val="es-ES"/>
        </w:rPr>
      </w:pPr>
      <w:r w:rsidRPr="00C82EC4">
        <w:rPr>
          <w:rFonts w:cs="Arial"/>
          <w:szCs w:val="22"/>
        </w:rPr>
        <w:t> </w:t>
      </w:r>
    </w:p>
    <w:p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4.- Procedimiento de concesión</w:t>
      </w:r>
    </w:p>
    <w:p w:rsidR="00C82EC4" w:rsidRPr="00C82EC4" w:rsidRDefault="00C82EC4" w:rsidP="00C82EC4">
      <w:pPr>
        <w:spacing w:before="92" w:line="240" w:lineRule="auto"/>
        <w:ind w:right="210"/>
        <w:jc w:val="both"/>
        <w:rPr>
          <w:rFonts w:cs="Arial"/>
          <w:szCs w:val="22"/>
          <w:lang w:val="es-ES"/>
        </w:rPr>
      </w:pPr>
      <w:r w:rsidRPr="00C82EC4">
        <w:rPr>
          <w:rFonts w:cs="Arial"/>
          <w:szCs w:val="22"/>
          <w:lang w:val="es-ES"/>
        </w:rPr>
        <w:t>El procedimiento de concesión de las subvenciones objeto de esta convocatoria será el de concurrencia</w:t>
      </w:r>
      <w:r w:rsidRPr="00C82EC4">
        <w:rPr>
          <w:rFonts w:cs="Arial"/>
          <w:spacing w:val="-1"/>
          <w:szCs w:val="22"/>
          <w:lang w:val="es-ES"/>
        </w:rPr>
        <w:t xml:space="preserve"> </w:t>
      </w:r>
      <w:r w:rsidRPr="00C82EC4">
        <w:rPr>
          <w:rFonts w:cs="Arial"/>
          <w:szCs w:val="22"/>
          <w:lang w:val="es-ES"/>
        </w:rPr>
        <w:t>competitiva.</w:t>
      </w:r>
    </w:p>
    <w:p w:rsidR="00C82EC4" w:rsidRPr="00C82EC4" w:rsidRDefault="00C82EC4" w:rsidP="00C82EC4">
      <w:pPr>
        <w:spacing w:before="92" w:line="240" w:lineRule="auto"/>
        <w:ind w:right="210"/>
        <w:jc w:val="both"/>
        <w:rPr>
          <w:rFonts w:cs="Arial"/>
          <w:szCs w:val="22"/>
          <w:lang w:val="es-ES"/>
        </w:rPr>
      </w:pPr>
      <w:r w:rsidRPr="00C82EC4">
        <w:rPr>
          <w:rFonts w:cs="Arial"/>
          <w:szCs w:val="22"/>
        </w:rPr>
        <w:t> </w:t>
      </w:r>
    </w:p>
    <w:p w:rsidR="00C82EC4" w:rsidRPr="00C82EC4" w:rsidRDefault="00C82EC4" w:rsidP="00C82EC4">
      <w:pPr>
        <w:spacing w:before="232" w:after="100" w:afterAutospacing="1" w:line="240" w:lineRule="auto"/>
        <w:jc w:val="both"/>
        <w:outlineLvl w:val="5"/>
        <w:rPr>
          <w:rFonts w:cs="Arial"/>
          <w:b/>
          <w:bCs/>
          <w:szCs w:val="22"/>
          <w:lang w:val="es-ES"/>
        </w:rPr>
      </w:pPr>
      <w:r w:rsidRPr="00C82EC4">
        <w:rPr>
          <w:rFonts w:cs="Arial"/>
          <w:b/>
          <w:bCs/>
          <w:szCs w:val="22"/>
          <w:u w:val="single"/>
          <w:lang w:val="es-ES"/>
        </w:rPr>
        <w:t>5.- Requisitos</w:t>
      </w:r>
    </w:p>
    <w:p w:rsidR="00C82EC4" w:rsidRPr="00C82EC4" w:rsidRDefault="00C82EC4" w:rsidP="00C82EC4">
      <w:pPr>
        <w:spacing w:before="92" w:line="240" w:lineRule="auto"/>
        <w:ind w:right="211"/>
        <w:jc w:val="both"/>
        <w:rPr>
          <w:rFonts w:cs="Arial"/>
          <w:szCs w:val="22"/>
          <w:lang w:val="es-ES"/>
        </w:rPr>
      </w:pPr>
      <w:r w:rsidRPr="00C82EC4">
        <w:rPr>
          <w:rFonts w:cs="Arial"/>
          <w:szCs w:val="22"/>
          <w:lang w:val="es-ES"/>
        </w:rPr>
        <w:t xml:space="preserve">Podrán ser beneficiarios/as de estas subvenciones los niños de entre 6 y 16 años empadronados en </w:t>
      </w:r>
      <w:proofErr w:type="spellStart"/>
      <w:r w:rsidRPr="00C82EC4">
        <w:rPr>
          <w:rFonts w:cs="Arial"/>
          <w:szCs w:val="22"/>
          <w:lang w:val="es-ES"/>
        </w:rPr>
        <w:t>Sentmenat</w:t>
      </w:r>
      <w:proofErr w:type="spellEnd"/>
      <w:r w:rsidRPr="00C82EC4">
        <w:rPr>
          <w:rFonts w:cs="Arial"/>
          <w:szCs w:val="22"/>
          <w:lang w:val="es-ES"/>
        </w:rPr>
        <w:t xml:space="preserve">, con ficha en Clubes deportivos y otras entidades deportivas de </w:t>
      </w:r>
      <w:proofErr w:type="spellStart"/>
      <w:r w:rsidRPr="00C82EC4">
        <w:rPr>
          <w:rFonts w:cs="Arial"/>
          <w:szCs w:val="22"/>
          <w:lang w:val="es-ES"/>
        </w:rPr>
        <w:t>Sentmenat</w:t>
      </w:r>
      <w:proofErr w:type="spellEnd"/>
      <w:r w:rsidRPr="00C82EC4">
        <w:rPr>
          <w:rFonts w:cs="Arial"/>
          <w:szCs w:val="22"/>
          <w:lang w:val="es-ES"/>
        </w:rPr>
        <w:t xml:space="preserve"> inscritos en el registro del Ayuntamiento, siempre que no estén afectadas por ninguna de las prohibiciones contenidas en el art. 13 de la Ley 38/2003, de 17 de noviembre, General de Subvenciones (en adelante LGS).</w:t>
      </w:r>
    </w:p>
    <w:p w:rsidR="00C82EC4" w:rsidRPr="00C82EC4" w:rsidRDefault="00C82EC4" w:rsidP="00C82EC4">
      <w:pPr>
        <w:spacing w:before="8" w:after="100" w:afterAutospacing="1" w:line="240" w:lineRule="auto"/>
        <w:jc w:val="both"/>
        <w:rPr>
          <w:rFonts w:cs="Arial"/>
          <w:szCs w:val="22"/>
          <w:lang w:val="es-ES"/>
        </w:rPr>
      </w:pPr>
      <w:r w:rsidRPr="00C82EC4">
        <w:rPr>
          <w:rFonts w:cs="Arial"/>
          <w:szCs w:val="22"/>
        </w:rPr>
        <w:t> </w:t>
      </w:r>
    </w:p>
    <w:p w:rsidR="00C82EC4" w:rsidRPr="00C82EC4" w:rsidRDefault="00C82EC4" w:rsidP="00C82EC4">
      <w:pPr>
        <w:spacing w:before="8" w:after="100" w:afterAutospacing="1" w:line="240" w:lineRule="auto"/>
        <w:jc w:val="both"/>
        <w:rPr>
          <w:rFonts w:cs="Arial"/>
          <w:szCs w:val="22"/>
          <w:lang w:val="es-ES"/>
        </w:rPr>
      </w:pPr>
      <w:r w:rsidRPr="00C82EC4">
        <w:rPr>
          <w:rFonts w:cs="Arial"/>
          <w:szCs w:val="22"/>
          <w:lang w:val="es-ES"/>
        </w:rPr>
        <w:t xml:space="preserve">Podrán solicitar las ayudas los padres, las madres, los tutores legales o las personas encargadas temporal o definitivamente de la guarda de las personas beneficiarias siempre y cuando no </w:t>
      </w:r>
      <w:r w:rsidRPr="00C82EC4">
        <w:rPr>
          <w:rFonts w:cs="Arial"/>
          <w:szCs w:val="22"/>
          <w:lang w:val="es-ES"/>
        </w:rPr>
        <w:lastRenderedPageBreak/>
        <w:t>reciban ninguna otra ayuda por el mismo concepto de otras administraciones o ente público o privado, o en todo caso que las subvenciones recibidas no superen la totalidad del coste del concepto por el que se solicita la ayuda.</w:t>
      </w:r>
    </w:p>
    <w:p w:rsidR="00C82EC4" w:rsidRPr="00C82EC4" w:rsidRDefault="00C82EC4" w:rsidP="00C82EC4">
      <w:pPr>
        <w:spacing w:before="8" w:after="100" w:afterAutospacing="1" w:line="240" w:lineRule="auto"/>
        <w:jc w:val="both"/>
        <w:rPr>
          <w:rFonts w:cs="Arial"/>
          <w:szCs w:val="22"/>
          <w:lang w:val="es-ES"/>
        </w:rPr>
      </w:pPr>
      <w:r w:rsidRPr="00C82EC4">
        <w:rPr>
          <w:rFonts w:cs="Arial"/>
          <w:szCs w:val="22"/>
          <w:lang w:val="es-ES"/>
        </w:rPr>
        <w:t xml:space="preserve">No obstante, en casos excepcionales, cuando los servicios sociales municipales así lo consideren y lo propongan, se puede conceder la ayuda a pesar de no cumplir estos requisitos. </w:t>
      </w:r>
    </w:p>
    <w:p w:rsidR="00C82EC4" w:rsidRPr="00C82EC4" w:rsidRDefault="00C82EC4" w:rsidP="00C82EC4">
      <w:pPr>
        <w:spacing w:before="8" w:after="100" w:afterAutospacing="1" w:line="240" w:lineRule="auto"/>
        <w:jc w:val="both"/>
        <w:rPr>
          <w:rFonts w:cs="Arial"/>
          <w:szCs w:val="22"/>
          <w:lang w:val="es-ES"/>
        </w:rPr>
      </w:pPr>
      <w:r w:rsidRPr="00C82EC4">
        <w:rPr>
          <w:rFonts w:cs="Arial"/>
          <w:szCs w:val="22"/>
        </w:rPr>
        <w:t> </w:t>
      </w:r>
    </w:p>
    <w:p w:rsidR="00C82EC4" w:rsidRPr="00C82EC4" w:rsidRDefault="00C82EC4" w:rsidP="00C82EC4">
      <w:pPr>
        <w:spacing w:before="112" w:after="100" w:afterAutospacing="1" w:line="240" w:lineRule="auto"/>
        <w:jc w:val="both"/>
        <w:outlineLvl w:val="5"/>
        <w:rPr>
          <w:rFonts w:cs="Arial"/>
          <w:b/>
          <w:bCs/>
          <w:szCs w:val="22"/>
          <w:lang w:val="es-ES"/>
        </w:rPr>
      </w:pPr>
      <w:r w:rsidRPr="00C82EC4">
        <w:rPr>
          <w:rFonts w:cs="Arial"/>
          <w:b/>
          <w:bCs/>
          <w:szCs w:val="22"/>
          <w:u w:val="single"/>
          <w:lang w:val="es-ES"/>
        </w:rPr>
        <w:t>6.- Documentos que deben acompañar a la solicitud</w:t>
      </w:r>
    </w:p>
    <w:p w:rsidR="00C82EC4" w:rsidRPr="00C82EC4" w:rsidRDefault="00C82EC4" w:rsidP="0027224F">
      <w:pPr>
        <w:spacing w:line="240" w:lineRule="auto"/>
        <w:jc w:val="both"/>
        <w:rPr>
          <w:rFonts w:cs="Arial"/>
          <w:szCs w:val="22"/>
          <w:lang w:val="es-ES"/>
        </w:rPr>
      </w:pPr>
      <w:r w:rsidRPr="00C82EC4">
        <w:rPr>
          <w:rFonts w:cs="Arial"/>
          <w:color w:val="000000"/>
          <w:szCs w:val="22"/>
          <w:lang w:val="es-ES"/>
        </w:rPr>
        <w:t xml:space="preserve">6.1 Documentación general: </w:t>
      </w:r>
    </w:p>
    <w:p w:rsidR="0027224F" w:rsidRDefault="0027224F" w:rsidP="0027224F">
      <w:pPr>
        <w:spacing w:line="240" w:lineRule="auto"/>
        <w:jc w:val="both"/>
        <w:rPr>
          <w:rFonts w:cs="Arial"/>
          <w:color w:val="000000"/>
          <w:szCs w:val="22"/>
          <w:lang w:val="es-ES"/>
        </w:rPr>
      </w:pPr>
    </w:p>
    <w:p w:rsidR="00C82EC4" w:rsidRPr="00C82EC4" w:rsidRDefault="00C82EC4" w:rsidP="0027224F">
      <w:pPr>
        <w:spacing w:line="240" w:lineRule="auto"/>
        <w:jc w:val="both"/>
        <w:rPr>
          <w:rFonts w:cs="Arial"/>
          <w:szCs w:val="22"/>
          <w:lang w:val="es-ES"/>
        </w:rPr>
      </w:pPr>
      <w:r w:rsidRPr="00C82EC4">
        <w:rPr>
          <w:rFonts w:cs="Arial"/>
          <w:color w:val="000000"/>
          <w:szCs w:val="22"/>
          <w:lang w:val="es-ES"/>
        </w:rPr>
        <w:t xml:space="preserve">a) Solicitud debidamente cumplimentada. </w:t>
      </w:r>
    </w:p>
    <w:p w:rsidR="00C82EC4" w:rsidRPr="00C82EC4" w:rsidRDefault="00C82EC4" w:rsidP="0027224F">
      <w:pPr>
        <w:spacing w:line="240" w:lineRule="auto"/>
        <w:jc w:val="both"/>
        <w:rPr>
          <w:rFonts w:cs="Arial"/>
          <w:szCs w:val="22"/>
          <w:lang w:val="es-ES"/>
        </w:rPr>
      </w:pPr>
      <w:r w:rsidRPr="00C82EC4">
        <w:rPr>
          <w:rFonts w:cs="Arial"/>
          <w:color w:val="000000"/>
          <w:szCs w:val="22"/>
          <w:lang w:val="es-ES"/>
        </w:rPr>
        <w:t>b) Ficha de inscripción en el club deportivo o entidad deportiva para el curso 2022-23.</w:t>
      </w:r>
    </w:p>
    <w:p w:rsidR="00C82EC4" w:rsidRPr="00C82EC4" w:rsidRDefault="00C82EC4" w:rsidP="0027224F">
      <w:pPr>
        <w:spacing w:line="240" w:lineRule="auto"/>
        <w:jc w:val="both"/>
        <w:rPr>
          <w:rFonts w:cs="Arial"/>
          <w:szCs w:val="22"/>
          <w:lang w:val="es-ES"/>
        </w:rPr>
      </w:pPr>
      <w:r w:rsidRPr="00C82EC4">
        <w:rPr>
          <w:rFonts w:cs="Arial"/>
          <w:color w:val="000000"/>
          <w:szCs w:val="22"/>
          <w:lang w:val="es-ES"/>
        </w:rPr>
        <w:t xml:space="preserve">c) Documentación que acredite la situación económica de la unidad familiar de convivencia: </w:t>
      </w:r>
    </w:p>
    <w:p w:rsidR="00C82EC4" w:rsidRPr="00C82EC4" w:rsidRDefault="00C82EC4" w:rsidP="0027224F">
      <w:pPr>
        <w:spacing w:line="240" w:lineRule="auto"/>
        <w:ind w:left="720" w:hanging="360"/>
        <w:jc w:val="both"/>
        <w:rPr>
          <w:rFonts w:cs="Arial"/>
          <w:szCs w:val="22"/>
          <w:lang w:val="es-ES"/>
        </w:rPr>
      </w:pPr>
      <w:r w:rsidRPr="00C82EC4">
        <w:rPr>
          <w:rFonts w:cs="Arial"/>
          <w:color w:val="000000"/>
          <w:szCs w:val="22"/>
        </w:rPr>
        <w:t>-  </w:t>
      </w:r>
      <w:r w:rsidR="0027224F">
        <w:rPr>
          <w:rFonts w:cs="Arial"/>
          <w:color w:val="000000"/>
          <w:szCs w:val="22"/>
        </w:rPr>
        <w:t xml:space="preserve"> </w:t>
      </w:r>
      <w:r w:rsidRPr="00C82EC4">
        <w:rPr>
          <w:rFonts w:cs="Arial"/>
          <w:color w:val="000000"/>
          <w:szCs w:val="22"/>
        </w:rPr>
        <w:t> </w:t>
      </w:r>
      <w:r w:rsidRPr="00C82EC4">
        <w:rPr>
          <w:rFonts w:cs="Arial"/>
          <w:color w:val="000000"/>
          <w:szCs w:val="22"/>
          <w:lang w:val="es-ES"/>
        </w:rPr>
        <w:t xml:space="preserve">Cualquier justificante admitido en derecho de la totalidad de ingresos de todos los miembros de la unidad familiar de convivencia correspondientes a los meses determinados para cada tipo de ayuda. </w:t>
      </w:r>
    </w:p>
    <w:p w:rsidR="00C82EC4" w:rsidRPr="00C82EC4" w:rsidRDefault="00C82EC4" w:rsidP="0027224F">
      <w:pPr>
        <w:spacing w:line="240" w:lineRule="auto"/>
        <w:ind w:left="720" w:hanging="360"/>
        <w:jc w:val="both"/>
        <w:rPr>
          <w:rFonts w:cs="Arial"/>
          <w:szCs w:val="22"/>
          <w:lang w:val="es-ES"/>
        </w:rPr>
      </w:pPr>
      <w:r w:rsidRPr="00C82EC4">
        <w:rPr>
          <w:rFonts w:cs="Arial"/>
          <w:color w:val="000000"/>
          <w:szCs w:val="22"/>
        </w:rPr>
        <w:t>-    </w:t>
      </w:r>
      <w:r w:rsidRPr="00C82EC4">
        <w:rPr>
          <w:rFonts w:cs="Arial"/>
          <w:color w:val="000000"/>
          <w:szCs w:val="22"/>
          <w:lang w:val="es-ES"/>
        </w:rPr>
        <w:t xml:space="preserve">En el caso de no disponer de los justificantes, será necesario aportar una declaración jurada de ingresos de la unidad familiar. </w:t>
      </w:r>
    </w:p>
    <w:p w:rsidR="00C82EC4" w:rsidRPr="00C82EC4" w:rsidRDefault="00C82EC4" w:rsidP="0027224F">
      <w:pPr>
        <w:spacing w:line="240" w:lineRule="auto"/>
        <w:jc w:val="both"/>
        <w:rPr>
          <w:rFonts w:cs="Arial"/>
          <w:szCs w:val="22"/>
          <w:lang w:val="es-ES"/>
        </w:rPr>
      </w:pPr>
      <w:r w:rsidRPr="00C82EC4">
        <w:rPr>
          <w:rFonts w:cs="Arial"/>
          <w:szCs w:val="22"/>
        </w:rPr>
        <w:t> </w:t>
      </w:r>
    </w:p>
    <w:p w:rsidR="00C82EC4" w:rsidRPr="00C82EC4" w:rsidRDefault="00C82EC4" w:rsidP="0027224F">
      <w:pPr>
        <w:spacing w:line="240" w:lineRule="auto"/>
        <w:jc w:val="both"/>
        <w:rPr>
          <w:rFonts w:cs="Arial"/>
          <w:szCs w:val="22"/>
          <w:lang w:val="es-ES"/>
        </w:rPr>
      </w:pPr>
      <w:r w:rsidRPr="00C82EC4">
        <w:rPr>
          <w:rFonts w:cs="Arial"/>
          <w:szCs w:val="22"/>
          <w:lang w:val="es-ES"/>
        </w:rPr>
        <w:t xml:space="preserve">6.2. Documentación Específica: </w:t>
      </w:r>
    </w:p>
    <w:p w:rsidR="00C82EC4" w:rsidRPr="00C82EC4" w:rsidRDefault="00C82EC4" w:rsidP="0027224F">
      <w:pPr>
        <w:spacing w:line="240" w:lineRule="auto"/>
        <w:jc w:val="both"/>
        <w:rPr>
          <w:rFonts w:cs="Arial"/>
          <w:szCs w:val="22"/>
          <w:lang w:val="es-ES"/>
        </w:rPr>
      </w:pPr>
      <w:r w:rsidRPr="00C82EC4">
        <w:rPr>
          <w:rFonts w:cs="Arial"/>
          <w:szCs w:val="22"/>
        </w:rPr>
        <w:t> </w:t>
      </w:r>
    </w:p>
    <w:p w:rsidR="00C82EC4" w:rsidRPr="00C82EC4" w:rsidRDefault="00C82EC4" w:rsidP="0027224F">
      <w:pPr>
        <w:spacing w:line="240" w:lineRule="auto"/>
        <w:jc w:val="both"/>
        <w:rPr>
          <w:rFonts w:cs="Arial"/>
          <w:szCs w:val="22"/>
          <w:lang w:val="es-ES"/>
        </w:rPr>
      </w:pPr>
      <w:r w:rsidRPr="00C82EC4">
        <w:rPr>
          <w:rFonts w:cs="Arial"/>
          <w:szCs w:val="22"/>
        </w:rPr>
        <w:t>a) En caso de divorcio/</w:t>
      </w:r>
      <w:proofErr w:type="spellStart"/>
      <w:r w:rsidRPr="00C82EC4">
        <w:rPr>
          <w:rFonts w:cs="Arial"/>
          <w:szCs w:val="22"/>
        </w:rPr>
        <w:t>separación</w:t>
      </w:r>
      <w:proofErr w:type="spellEnd"/>
      <w:r w:rsidRPr="00C82EC4">
        <w:rPr>
          <w:rFonts w:cs="Arial"/>
          <w:szCs w:val="22"/>
        </w:rPr>
        <w:t xml:space="preserve">, sentencia y/o </w:t>
      </w:r>
      <w:proofErr w:type="spellStart"/>
      <w:r w:rsidRPr="00C82EC4">
        <w:rPr>
          <w:rFonts w:cs="Arial"/>
          <w:szCs w:val="22"/>
        </w:rPr>
        <w:t>convenio</w:t>
      </w:r>
      <w:proofErr w:type="spellEnd"/>
      <w:r w:rsidRPr="00C82EC4">
        <w:rPr>
          <w:rFonts w:cs="Arial"/>
          <w:szCs w:val="22"/>
        </w:rPr>
        <w:t xml:space="preserve"> regulador de los </w:t>
      </w:r>
      <w:proofErr w:type="spellStart"/>
      <w:r w:rsidRPr="00C82EC4">
        <w:rPr>
          <w:rFonts w:cs="Arial"/>
          <w:szCs w:val="22"/>
        </w:rPr>
        <w:t>hijos</w:t>
      </w:r>
      <w:proofErr w:type="spellEnd"/>
      <w:r w:rsidRPr="00C82EC4">
        <w:rPr>
          <w:rFonts w:cs="Arial"/>
          <w:szCs w:val="22"/>
        </w:rPr>
        <w:t>.</w:t>
      </w:r>
    </w:p>
    <w:p w:rsidR="00C82EC4" w:rsidRPr="00C82EC4" w:rsidRDefault="00C82EC4" w:rsidP="0027224F">
      <w:pPr>
        <w:spacing w:line="240" w:lineRule="auto"/>
        <w:jc w:val="both"/>
        <w:rPr>
          <w:rFonts w:cs="Arial"/>
          <w:szCs w:val="22"/>
          <w:lang w:val="es-ES"/>
        </w:rPr>
      </w:pPr>
      <w:r w:rsidRPr="00C82EC4">
        <w:rPr>
          <w:rFonts w:cs="Arial"/>
          <w:szCs w:val="22"/>
        </w:rPr>
        <w:t xml:space="preserve">b) Si la </w:t>
      </w:r>
      <w:proofErr w:type="spellStart"/>
      <w:r w:rsidRPr="00C82EC4">
        <w:rPr>
          <w:rFonts w:cs="Arial"/>
          <w:szCs w:val="22"/>
        </w:rPr>
        <w:t>solicitud</w:t>
      </w:r>
      <w:proofErr w:type="spellEnd"/>
      <w:r w:rsidRPr="00C82EC4">
        <w:rPr>
          <w:rFonts w:cs="Arial"/>
          <w:szCs w:val="22"/>
        </w:rPr>
        <w:t xml:space="preserve"> </w:t>
      </w:r>
      <w:proofErr w:type="spellStart"/>
      <w:r w:rsidRPr="00C82EC4">
        <w:rPr>
          <w:rFonts w:cs="Arial"/>
          <w:szCs w:val="22"/>
        </w:rPr>
        <w:t>fuera</w:t>
      </w:r>
      <w:proofErr w:type="spellEnd"/>
      <w:r w:rsidRPr="00C82EC4">
        <w:rPr>
          <w:rFonts w:cs="Arial"/>
          <w:szCs w:val="22"/>
        </w:rPr>
        <w:t xml:space="preserve"> presentada en </w:t>
      </w:r>
      <w:proofErr w:type="spellStart"/>
      <w:r w:rsidRPr="00C82EC4">
        <w:rPr>
          <w:rFonts w:cs="Arial"/>
          <w:szCs w:val="22"/>
        </w:rPr>
        <w:t>representación</w:t>
      </w:r>
      <w:proofErr w:type="spellEnd"/>
      <w:r w:rsidRPr="00C82EC4">
        <w:rPr>
          <w:rFonts w:cs="Arial"/>
          <w:szCs w:val="22"/>
        </w:rPr>
        <w:t xml:space="preserve"> de la persona </w:t>
      </w:r>
      <w:proofErr w:type="spellStart"/>
      <w:r w:rsidRPr="00C82EC4">
        <w:rPr>
          <w:rFonts w:cs="Arial"/>
          <w:szCs w:val="22"/>
        </w:rPr>
        <w:t>solicitante</w:t>
      </w:r>
      <w:proofErr w:type="spellEnd"/>
      <w:r w:rsidRPr="00C82EC4">
        <w:rPr>
          <w:rFonts w:cs="Arial"/>
          <w:szCs w:val="22"/>
        </w:rPr>
        <w:t xml:space="preserve">, esta </w:t>
      </w:r>
      <w:proofErr w:type="spellStart"/>
      <w:r w:rsidRPr="00C82EC4">
        <w:rPr>
          <w:rFonts w:cs="Arial"/>
          <w:szCs w:val="22"/>
        </w:rPr>
        <w:t>solicitud</w:t>
      </w:r>
      <w:proofErr w:type="spellEnd"/>
      <w:r w:rsidRPr="00C82EC4">
        <w:rPr>
          <w:rFonts w:cs="Arial"/>
          <w:szCs w:val="22"/>
        </w:rPr>
        <w:t xml:space="preserve"> </w:t>
      </w:r>
      <w:proofErr w:type="spellStart"/>
      <w:r w:rsidRPr="00C82EC4">
        <w:rPr>
          <w:rFonts w:cs="Arial"/>
          <w:szCs w:val="22"/>
        </w:rPr>
        <w:t>deberá</w:t>
      </w:r>
      <w:proofErr w:type="spellEnd"/>
      <w:r w:rsidRPr="00C82EC4">
        <w:rPr>
          <w:rFonts w:cs="Arial"/>
          <w:szCs w:val="22"/>
        </w:rPr>
        <w:t xml:space="preserve"> ser firmada por el/la </w:t>
      </w:r>
      <w:proofErr w:type="spellStart"/>
      <w:r w:rsidRPr="00C82EC4">
        <w:rPr>
          <w:rFonts w:cs="Arial"/>
          <w:szCs w:val="22"/>
        </w:rPr>
        <w:t>representante</w:t>
      </w:r>
      <w:proofErr w:type="spellEnd"/>
      <w:r w:rsidRPr="00C82EC4">
        <w:rPr>
          <w:rFonts w:cs="Arial"/>
          <w:szCs w:val="22"/>
        </w:rPr>
        <w:t xml:space="preserve"> legal, y </w:t>
      </w:r>
      <w:proofErr w:type="spellStart"/>
      <w:r w:rsidRPr="00C82EC4">
        <w:rPr>
          <w:rFonts w:cs="Arial"/>
          <w:szCs w:val="22"/>
        </w:rPr>
        <w:t>deberá</w:t>
      </w:r>
      <w:proofErr w:type="spellEnd"/>
      <w:r w:rsidRPr="00C82EC4">
        <w:rPr>
          <w:rFonts w:cs="Arial"/>
          <w:szCs w:val="22"/>
        </w:rPr>
        <w:t xml:space="preserve"> </w:t>
      </w:r>
      <w:proofErr w:type="spellStart"/>
      <w:r w:rsidRPr="00C82EC4">
        <w:rPr>
          <w:rFonts w:cs="Arial"/>
          <w:szCs w:val="22"/>
        </w:rPr>
        <w:t>acompañarse</w:t>
      </w:r>
      <w:proofErr w:type="spellEnd"/>
      <w:r w:rsidRPr="00C82EC4">
        <w:rPr>
          <w:rFonts w:cs="Arial"/>
          <w:szCs w:val="22"/>
        </w:rPr>
        <w:t xml:space="preserve"> de la </w:t>
      </w:r>
      <w:proofErr w:type="spellStart"/>
      <w:r w:rsidRPr="00C82EC4">
        <w:rPr>
          <w:rFonts w:cs="Arial"/>
          <w:szCs w:val="22"/>
        </w:rPr>
        <w:t>siguiente</w:t>
      </w:r>
      <w:proofErr w:type="spellEnd"/>
      <w:r w:rsidRPr="00C82EC4">
        <w:rPr>
          <w:rFonts w:cs="Arial"/>
          <w:szCs w:val="22"/>
        </w:rPr>
        <w:t xml:space="preserve"> </w:t>
      </w:r>
      <w:proofErr w:type="spellStart"/>
      <w:r w:rsidRPr="00C82EC4">
        <w:rPr>
          <w:rFonts w:cs="Arial"/>
          <w:szCs w:val="22"/>
        </w:rPr>
        <w:t>documentación</w:t>
      </w:r>
      <w:proofErr w:type="spellEnd"/>
      <w:r w:rsidRPr="00C82EC4">
        <w:rPr>
          <w:rFonts w:cs="Arial"/>
          <w:szCs w:val="22"/>
        </w:rPr>
        <w:t xml:space="preserve">: </w:t>
      </w:r>
    </w:p>
    <w:p w:rsidR="00C82EC4" w:rsidRPr="00C82EC4" w:rsidRDefault="00C82EC4" w:rsidP="0027224F">
      <w:pPr>
        <w:spacing w:line="240" w:lineRule="auto"/>
        <w:ind w:left="709" w:hanging="283"/>
        <w:jc w:val="both"/>
        <w:rPr>
          <w:rFonts w:cs="Arial"/>
          <w:szCs w:val="22"/>
          <w:lang w:val="es-ES"/>
        </w:rPr>
      </w:pPr>
      <w:r w:rsidRPr="00C82EC4">
        <w:rPr>
          <w:rFonts w:cs="Arial"/>
          <w:szCs w:val="22"/>
          <w:lang w:val="es-ES"/>
        </w:rPr>
        <w:t xml:space="preserve">- </w:t>
      </w:r>
      <w:r w:rsidR="0027224F">
        <w:rPr>
          <w:rFonts w:cs="Arial"/>
          <w:szCs w:val="22"/>
          <w:lang w:val="es-ES"/>
        </w:rPr>
        <w:t xml:space="preserve">  </w:t>
      </w:r>
      <w:r w:rsidRPr="00C82EC4">
        <w:rPr>
          <w:rFonts w:cs="Arial"/>
          <w:szCs w:val="22"/>
          <w:lang w:val="es-ES"/>
        </w:rPr>
        <w:t xml:space="preserve">Fotocopia del DNI de la persona representante legal. </w:t>
      </w:r>
    </w:p>
    <w:p w:rsidR="00C82EC4" w:rsidRPr="00C82EC4" w:rsidRDefault="00C82EC4" w:rsidP="0027224F">
      <w:pPr>
        <w:spacing w:line="240" w:lineRule="auto"/>
        <w:ind w:left="709" w:hanging="283"/>
        <w:jc w:val="both"/>
        <w:rPr>
          <w:rFonts w:cs="Arial"/>
          <w:szCs w:val="22"/>
          <w:lang w:val="es-ES"/>
        </w:rPr>
      </w:pPr>
      <w:r w:rsidRPr="00C82EC4">
        <w:rPr>
          <w:rFonts w:cs="Arial"/>
          <w:szCs w:val="22"/>
        </w:rPr>
        <w:t>-   </w:t>
      </w:r>
      <w:r w:rsidRPr="00C82EC4">
        <w:rPr>
          <w:rFonts w:cs="Arial"/>
          <w:szCs w:val="22"/>
          <w:lang w:val="es-ES"/>
        </w:rPr>
        <w:t xml:space="preserve">Documentación que acredite la condición de representante legal de la persona solicitante. </w:t>
      </w:r>
    </w:p>
    <w:p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lang w:val="es-ES"/>
        </w:rPr>
        <w:t xml:space="preserve">6.3 Los equipos básicos de atención social podrán solicitar aquella documentación, datos, o aclaraciones que se consideren necesarias para resolver la solicitud. </w:t>
      </w:r>
    </w:p>
    <w:p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color w:val="000000"/>
          <w:szCs w:val="22"/>
          <w:lang w:val="es-ES"/>
        </w:rPr>
        <w:t xml:space="preserve">En ningún caso se reclamará documentación que ya </w:t>
      </w:r>
      <w:proofErr w:type="gramStart"/>
      <w:r w:rsidRPr="00C82EC4">
        <w:rPr>
          <w:rFonts w:cs="Arial"/>
          <w:color w:val="000000"/>
          <w:szCs w:val="22"/>
          <w:lang w:val="es-ES"/>
        </w:rPr>
        <w:t>conste</w:t>
      </w:r>
      <w:proofErr w:type="gramEnd"/>
      <w:r w:rsidRPr="00C82EC4">
        <w:rPr>
          <w:rFonts w:cs="Arial"/>
          <w:color w:val="000000"/>
          <w:szCs w:val="22"/>
          <w:lang w:val="es-ES"/>
        </w:rPr>
        <w:t xml:space="preserve"> en el expediente del solicitante o de la unidad familiar, ni aquella que se pueda conseguir de oficio a otros servicios municipales u otras administraciones según lo previsto en los arts. 28 y 53.d) de la Ley 39/2015, de 1 de octubre, del Procedimiento Administrativo Común de las Administraciones Públicas. </w:t>
      </w:r>
    </w:p>
    <w:p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lang w:val="es-ES"/>
        </w:rPr>
        <w:t xml:space="preserve">Toda esta documentación acreditativa será incorporada al expediente de la persona o la unidad familiar. </w:t>
      </w:r>
    </w:p>
    <w:p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rPr>
        <w:t> </w:t>
      </w:r>
    </w:p>
    <w:p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7.- Plazo, forma y lugar de presentación de las solicitudes</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 xml:space="preserve">El plazo de presentación de las solicitudes será desde </w:t>
      </w:r>
      <w:r w:rsidRPr="00C82EC4">
        <w:rPr>
          <w:rFonts w:cs="Arial"/>
          <w:b/>
          <w:bCs/>
          <w:szCs w:val="22"/>
          <w:lang w:val="es-ES"/>
        </w:rPr>
        <w:t>el día 15 de septiembre al 15 de octubre de 2022</w:t>
      </w:r>
      <w:r w:rsidRPr="00C82EC4">
        <w:rPr>
          <w:rFonts w:cs="Arial"/>
          <w:szCs w:val="22"/>
          <w:lang w:val="es-ES"/>
        </w:rPr>
        <w:t>, ambos incluidos.</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rPr>
        <w:t> </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Las solicitudes conjuntamente con la documentación exigida deberán presentarse en el Registro del Ayuntamiento por cualquiera de las siguientes vías:</w:t>
      </w:r>
    </w:p>
    <w:p w:rsidR="00C82EC4" w:rsidRPr="00C82EC4" w:rsidRDefault="00C82EC4" w:rsidP="00C82EC4">
      <w:pPr>
        <w:spacing w:before="1" w:line="240" w:lineRule="auto"/>
        <w:ind w:left="720" w:hanging="360"/>
        <w:jc w:val="both"/>
        <w:rPr>
          <w:rFonts w:cs="Arial"/>
          <w:szCs w:val="22"/>
          <w:lang w:val="es-ES"/>
        </w:rPr>
      </w:pPr>
      <w:r w:rsidRPr="00C82EC4">
        <w:rPr>
          <w:rFonts w:cs="Arial"/>
          <w:szCs w:val="22"/>
        </w:rPr>
        <w:lastRenderedPageBreak/>
        <w:t xml:space="preserve">a) </w:t>
      </w:r>
      <w:proofErr w:type="spellStart"/>
      <w:r w:rsidRPr="00C82EC4">
        <w:rPr>
          <w:rFonts w:cs="Arial"/>
          <w:szCs w:val="22"/>
        </w:rPr>
        <w:t>Preferentemente</w:t>
      </w:r>
      <w:proofErr w:type="spellEnd"/>
      <w:r w:rsidRPr="00C82EC4">
        <w:rPr>
          <w:rFonts w:cs="Arial"/>
          <w:szCs w:val="22"/>
        </w:rPr>
        <w:t xml:space="preserve">, de forma </w:t>
      </w:r>
      <w:proofErr w:type="spellStart"/>
      <w:r w:rsidRPr="00C82EC4">
        <w:rPr>
          <w:rFonts w:cs="Arial"/>
          <w:szCs w:val="22"/>
        </w:rPr>
        <w:t>telemática</w:t>
      </w:r>
      <w:proofErr w:type="spellEnd"/>
      <w:r w:rsidRPr="00C82EC4">
        <w:rPr>
          <w:rFonts w:cs="Arial"/>
          <w:szCs w:val="22"/>
        </w:rPr>
        <w:t xml:space="preserve">, en la </w:t>
      </w:r>
      <w:proofErr w:type="spellStart"/>
      <w:r w:rsidRPr="00C82EC4">
        <w:rPr>
          <w:rFonts w:cs="Arial"/>
          <w:szCs w:val="22"/>
        </w:rPr>
        <w:t>Sede</w:t>
      </w:r>
      <w:proofErr w:type="spellEnd"/>
      <w:r w:rsidRPr="00C82EC4">
        <w:rPr>
          <w:rFonts w:cs="Arial"/>
          <w:szCs w:val="22"/>
        </w:rPr>
        <w:t xml:space="preserve"> </w:t>
      </w:r>
      <w:proofErr w:type="spellStart"/>
      <w:r w:rsidRPr="00C82EC4">
        <w:rPr>
          <w:rFonts w:cs="Arial"/>
          <w:szCs w:val="22"/>
        </w:rPr>
        <w:t>electrónica</w:t>
      </w:r>
      <w:proofErr w:type="spellEnd"/>
      <w:r w:rsidRPr="00C82EC4">
        <w:rPr>
          <w:rFonts w:cs="Arial"/>
          <w:szCs w:val="22"/>
        </w:rPr>
        <w:t xml:space="preserve"> de la web del </w:t>
      </w:r>
      <w:proofErr w:type="spellStart"/>
      <w:r w:rsidRPr="00C82EC4">
        <w:rPr>
          <w:rFonts w:cs="Arial"/>
          <w:szCs w:val="22"/>
        </w:rPr>
        <w:t>ayuntamiento</w:t>
      </w:r>
      <w:proofErr w:type="spellEnd"/>
      <w:r w:rsidRPr="00C82EC4">
        <w:rPr>
          <w:rFonts w:cs="Arial"/>
          <w:szCs w:val="22"/>
        </w:rPr>
        <w:t xml:space="preserve"> de Sentmenat </w:t>
      </w:r>
      <w:hyperlink r:id="rId7" w:history="1">
        <w:r w:rsidRPr="00C82EC4">
          <w:rPr>
            <w:rFonts w:cs="Arial"/>
            <w:color w:val="0000FF"/>
            <w:szCs w:val="22"/>
            <w:u w:val="single"/>
          </w:rPr>
          <w:t>https://sentmenat.eadministracio.cat</w:t>
        </w:r>
      </w:hyperlink>
      <w:r w:rsidRPr="00C82EC4">
        <w:rPr>
          <w:rFonts w:cs="Arial"/>
          <w:szCs w:val="22"/>
        </w:rPr>
        <w:t xml:space="preserve">. Para </w:t>
      </w:r>
      <w:proofErr w:type="spellStart"/>
      <w:r w:rsidRPr="00C82EC4">
        <w:rPr>
          <w:rFonts w:cs="Arial"/>
          <w:szCs w:val="22"/>
        </w:rPr>
        <w:t>utilizar</w:t>
      </w:r>
      <w:proofErr w:type="spellEnd"/>
      <w:r w:rsidRPr="00C82EC4">
        <w:rPr>
          <w:rFonts w:cs="Arial"/>
          <w:szCs w:val="22"/>
        </w:rPr>
        <w:t xml:space="preserve"> esta </w:t>
      </w:r>
      <w:proofErr w:type="spellStart"/>
      <w:r w:rsidRPr="00C82EC4">
        <w:rPr>
          <w:rFonts w:cs="Arial"/>
          <w:szCs w:val="22"/>
        </w:rPr>
        <w:t>vía</w:t>
      </w:r>
      <w:proofErr w:type="spellEnd"/>
      <w:r w:rsidRPr="00C82EC4">
        <w:rPr>
          <w:rFonts w:cs="Arial"/>
          <w:szCs w:val="22"/>
        </w:rPr>
        <w:t xml:space="preserve"> </w:t>
      </w:r>
      <w:proofErr w:type="spellStart"/>
      <w:r w:rsidRPr="00C82EC4">
        <w:rPr>
          <w:rFonts w:cs="Arial"/>
          <w:szCs w:val="22"/>
        </w:rPr>
        <w:t>será</w:t>
      </w:r>
      <w:proofErr w:type="spellEnd"/>
      <w:r w:rsidRPr="00C82EC4">
        <w:rPr>
          <w:rFonts w:cs="Arial"/>
          <w:szCs w:val="22"/>
        </w:rPr>
        <w:t xml:space="preserve"> </w:t>
      </w:r>
      <w:proofErr w:type="spellStart"/>
      <w:r w:rsidRPr="00C82EC4">
        <w:rPr>
          <w:rFonts w:cs="Arial"/>
          <w:szCs w:val="22"/>
        </w:rPr>
        <w:t>necesario</w:t>
      </w:r>
      <w:proofErr w:type="spellEnd"/>
      <w:r w:rsidRPr="00C82EC4">
        <w:rPr>
          <w:rFonts w:cs="Arial"/>
          <w:szCs w:val="22"/>
        </w:rPr>
        <w:t xml:space="preserve"> </w:t>
      </w:r>
      <w:proofErr w:type="spellStart"/>
      <w:r w:rsidRPr="00C82EC4">
        <w:rPr>
          <w:rFonts w:cs="Arial"/>
          <w:szCs w:val="22"/>
        </w:rPr>
        <w:t>tener</w:t>
      </w:r>
      <w:proofErr w:type="spellEnd"/>
      <w:r w:rsidRPr="00C82EC4">
        <w:rPr>
          <w:rFonts w:cs="Arial"/>
          <w:szCs w:val="22"/>
        </w:rPr>
        <w:t xml:space="preserve"> un </w:t>
      </w:r>
      <w:proofErr w:type="spellStart"/>
      <w:r w:rsidRPr="00C82EC4">
        <w:rPr>
          <w:rFonts w:cs="Arial"/>
          <w:szCs w:val="22"/>
        </w:rPr>
        <w:t>certificado</w:t>
      </w:r>
      <w:proofErr w:type="spellEnd"/>
      <w:r w:rsidRPr="00C82EC4">
        <w:rPr>
          <w:rFonts w:cs="Arial"/>
          <w:szCs w:val="22"/>
        </w:rPr>
        <w:t xml:space="preserve"> digital (</w:t>
      </w:r>
      <w:proofErr w:type="spellStart"/>
      <w:r w:rsidRPr="00C82EC4">
        <w:rPr>
          <w:rFonts w:cs="Arial"/>
          <w:szCs w:val="22"/>
        </w:rPr>
        <w:t>idcat</w:t>
      </w:r>
      <w:proofErr w:type="spellEnd"/>
      <w:r w:rsidRPr="00C82EC4">
        <w:rPr>
          <w:rFonts w:cs="Arial"/>
          <w:szCs w:val="22"/>
        </w:rPr>
        <w:t xml:space="preserve">, </w:t>
      </w:r>
      <w:proofErr w:type="spellStart"/>
      <w:r w:rsidRPr="00C82EC4">
        <w:rPr>
          <w:rFonts w:cs="Arial"/>
          <w:szCs w:val="22"/>
        </w:rPr>
        <w:t>Idcatmóvil</w:t>
      </w:r>
      <w:proofErr w:type="spellEnd"/>
      <w:r w:rsidRPr="00C82EC4">
        <w:rPr>
          <w:rFonts w:cs="Arial"/>
          <w:szCs w:val="22"/>
        </w:rPr>
        <w:t xml:space="preserve">, </w:t>
      </w:r>
      <w:proofErr w:type="spellStart"/>
      <w:r w:rsidRPr="00C82EC4">
        <w:rPr>
          <w:rFonts w:cs="Arial"/>
          <w:szCs w:val="22"/>
        </w:rPr>
        <w:t>Clave</w:t>
      </w:r>
      <w:proofErr w:type="spellEnd"/>
      <w:r w:rsidRPr="00C82EC4">
        <w:rPr>
          <w:rFonts w:cs="Arial"/>
          <w:szCs w:val="22"/>
        </w:rPr>
        <w:t xml:space="preserve">, </w:t>
      </w:r>
      <w:proofErr w:type="spellStart"/>
      <w:r w:rsidRPr="00C82EC4">
        <w:rPr>
          <w:rFonts w:cs="Arial"/>
          <w:szCs w:val="22"/>
        </w:rPr>
        <w:t>clave</w:t>
      </w:r>
      <w:proofErr w:type="spellEnd"/>
      <w:r w:rsidRPr="00C82EC4">
        <w:rPr>
          <w:rFonts w:cs="Arial"/>
          <w:szCs w:val="22"/>
        </w:rPr>
        <w:t xml:space="preserve"> PIN, etc.)</w:t>
      </w:r>
    </w:p>
    <w:p w:rsidR="00C82EC4" w:rsidRPr="00C82EC4" w:rsidRDefault="00C82EC4" w:rsidP="00C82EC4">
      <w:pPr>
        <w:spacing w:before="1" w:line="240" w:lineRule="auto"/>
        <w:ind w:left="720" w:hanging="360"/>
        <w:jc w:val="both"/>
        <w:rPr>
          <w:rFonts w:cs="Arial"/>
          <w:szCs w:val="22"/>
          <w:lang w:val="es-ES"/>
        </w:rPr>
      </w:pPr>
      <w:r w:rsidRPr="00C82EC4">
        <w:rPr>
          <w:rFonts w:cs="Arial"/>
          <w:szCs w:val="22"/>
        </w:rPr>
        <w:t xml:space="preserve">b) </w:t>
      </w:r>
      <w:proofErr w:type="spellStart"/>
      <w:r w:rsidRPr="00C82EC4">
        <w:rPr>
          <w:rFonts w:cs="Arial"/>
          <w:szCs w:val="22"/>
        </w:rPr>
        <w:t>Presencialmente</w:t>
      </w:r>
      <w:proofErr w:type="spellEnd"/>
      <w:r w:rsidRPr="00C82EC4">
        <w:rPr>
          <w:rFonts w:cs="Arial"/>
          <w:szCs w:val="22"/>
        </w:rPr>
        <w:t xml:space="preserve"> en la oficina de </w:t>
      </w:r>
      <w:proofErr w:type="spellStart"/>
      <w:r w:rsidRPr="00C82EC4">
        <w:rPr>
          <w:rFonts w:cs="Arial"/>
          <w:szCs w:val="22"/>
        </w:rPr>
        <w:t>atención</w:t>
      </w:r>
      <w:proofErr w:type="spellEnd"/>
      <w:r w:rsidRPr="00C82EC4">
        <w:rPr>
          <w:rFonts w:cs="Arial"/>
          <w:szCs w:val="22"/>
        </w:rPr>
        <w:t xml:space="preserve"> </w:t>
      </w:r>
      <w:proofErr w:type="spellStart"/>
      <w:r w:rsidRPr="00C82EC4">
        <w:rPr>
          <w:rFonts w:cs="Arial"/>
          <w:szCs w:val="22"/>
        </w:rPr>
        <w:t>ciudadana</w:t>
      </w:r>
      <w:proofErr w:type="spellEnd"/>
      <w:r w:rsidRPr="00C82EC4">
        <w:rPr>
          <w:rFonts w:cs="Arial"/>
          <w:szCs w:val="22"/>
        </w:rPr>
        <w:t xml:space="preserve"> (</w:t>
      </w:r>
      <w:proofErr w:type="spellStart"/>
      <w:r w:rsidRPr="00C82EC4">
        <w:rPr>
          <w:rFonts w:cs="Arial"/>
          <w:szCs w:val="22"/>
        </w:rPr>
        <w:t>plaza</w:t>
      </w:r>
      <w:proofErr w:type="spellEnd"/>
      <w:r w:rsidRPr="00C82EC4">
        <w:rPr>
          <w:rFonts w:cs="Arial"/>
          <w:szCs w:val="22"/>
        </w:rPr>
        <w:t xml:space="preserve"> de la Vila, 1) con cita </w:t>
      </w:r>
      <w:proofErr w:type="spellStart"/>
      <w:r w:rsidRPr="00C82EC4">
        <w:rPr>
          <w:rFonts w:cs="Arial"/>
          <w:szCs w:val="22"/>
        </w:rPr>
        <w:t>previa</w:t>
      </w:r>
      <w:proofErr w:type="spellEnd"/>
      <w:r w:rsidRPr="00C82EC4">
        <w:rPr>
          <w:rFonts w:cs="Arial"/>
          <w:szCs w:val="22"/>
        </w:rPr>
        <w:t xml:space="preserve"> </w:t>
      </w:r>
      <w:hyperlink r:id="rId8" w:anchor="nbb" w:history="1">
        <w:r w:rsidRPr="00C82EC4">
          <w:rPr>
            <w:rFonts w:cs="Arial"/>
            <w:color w:val="0000FF"/>
            <w:szCs w:val="22"/>
            <w:u w:val="single"/>
          </w:rPr>
          <w:t>https://citaprevia.ubintia.com/sentmenat/#nbb</w:t>
        </w:r>
      </w:hyperlink>
      <w:r w:rsidRPr="00C82EC4">
        <w:rPr>
          <w:rFonts w:cs="Arial"/>
          <w:szCs w:val="22"/>
        </w:rPr>
        <w:t xml:space="preserve">. </w:t>
      </w:r>
    </w:p>
    <w:p w:rsidR="00C82EC4" w:rsidRDefault="00C82EC4" w:rsidP="0027224F">
      <w:pPr>
        <w:spacing w:before="1" w:line="240" w:lineRule="auto"/>
        <w:ind w:left="720" w:hanging="360"/>
        <w:jc w:val="both"/>
        <w:rPr>
          <w:rFonts w:cs="Arial"/>
          <w:szCs w:val="22"/>
          <w:lang w:val="es-ES"/>
        </w:rPr>
      </w:pPr>
      <w:r w:rsidRPr="00C82EC4">
        <w:rPr>
          <w:rFonts w:cs="Arial"/>
          <w:szCs w:val="22"/>
        </w:rPr>
        <w:t xml:space="preserve">c) </w:t>
      </w:r>
      <w:proofErr w:type="spellStart"/>
      <w:r w:rsidRPr="00C82EC4">
        <w:rPr>
          <w:rFonts w:cs="Arial"/>
          <w:szCs w:val="22"/>
        </w:rPr>
        <w:t>También</w:t>
      </w:r>
      <w:proofErr w:type="spellEnd"/>
      <w:r w:rsidRPr="00C82EC4">
        <w:rPr>
          <w:rFonts w:cs="Arial"/>
          <w:szCs w:val="22"/>
        </w:rPr>
        <w:t xml:space="preserve"> se </w:t>
      </w:r>
      <w:proofErr w:type="spellStart"/>
      <w:r w:rsidRPr="00C82EC4">
        <w:rPr>
          <w:rFonts w:cs="Arial"/>
          <w:szCs w:val="22"/>
        </w:rPr>
        <w:t>podrán</w:t>
      </w:r>
      <w:proofErr w:type="spellEnd"/>
      <w:r w:rsidRPr="00C82EC4">
        <w:rPr>
          <w:rFonts w:cs="Arial"/>
          <w:szCs w:val="22"/>
        </w:rPr>
        <w:t xml:space="preserve"> presentar en </w:t>
      </w:r>
      <w:proofErr w:type="spellStart"/>
      <w:r w:rsidRPr="00C82EC4">
        <w:rPr>
          <w:rFonts w:cs="Arial"/>
          <w:szCs w:val="22"/>
        </w:rPr>
        <w:t>cualquiera</w:t>
      </w:r>
      <w:proofErr w:type="spellEnd"/>
      <w:r w:rsidRPr="00C82EC4">
        <w:rPr>
          <w:rFonts w:cs="Arial"/>
          <w:szCs w:val="22"/>
        </w:rPr>
        <w:t xml:space="preserve"> de los </w:t>
      </w:r>
      <w:proofErr w:type="spellStart"/>
      <w:r w:rsidRPr="00C82EC4">
        <w:rPr>
          <w:rFonts w:cs="Arial"/>
          <w:szCs w:val="22"/>
        </w:rPr>
        <w:t>lugares</w:t>
      </w:r>
      <w:proofErr w:type="spellEnd"/>
      <w:r w:rsidRPr="00C82EC4">
        <w:rPr>
          <w:rFonts w:cs="Arial"/>
          <w:szCs w:val="22"/>
        </w:rPr>
        <w:t xml:space="preserve"> previstos en el </w:t>
      </w:r>
      <w:proofErr w:type="spellStart"/>
      <w:r w:rsidRPr="00C82EC4">
        <w:rPr>
          <w:rFonts w:cs="Arial"/>
          <w:szCs w:val="22"/>
        </w:rPr>
        <w:t>artículo</w:t>
      </w:r>
      <w:proofErr w:type="spellEnd"/>
      <w:r w:rsidRPr="00C82EC4">
        <w:rPr>
          <w:rFonts w:cs="Arial"/>
          <w:szCs w:val="22"/>
        </w:rPr>
        <w:t xml:space="preserve"> 16 de la </w:t>
      </w:r>
      <w:proofErr w:type="spellStart"/>
      <w:r w:rsidRPr="00C82EC4">
        <w:rPr>
          <w:rFonts w:cs="Arial"/>
          <w:szCs w:val="22"/>
        </w:rPr>
        <w:t>Ley</w:t>
      </w:r>
      <w:proofErr w:type="spellEnd"/>
      <w:r w:rsidRPr="00C82EC4">
        <w:rPr>
          <w:rFonts w:cs="Arial"/>
          <w:szCs w:val="22"/>
        </w:rPr>
        <w:t xml:space="preserve"> 39/2015, de 1 de octubre, de </w:t>
      </w:r>
      <w:proofErr w:type="spellStart"/>
      <w:r w:rsidRPr="00C82EC4">
        <w:rPr>
          <w:rFonts w:cs="Arial"/>
          <w:szCs w:val="22"/>
        </w:rPr>
        <w:t>Procedimiento</w:t>
      </w:r>
      <w:proofErr w:type="spellEnd"/>
      <w:r w:rsidRPr="00C82EC4">
        <w:rPr>
          <w:rFonts w:cs="Arial"/>
          <w:szCs w:val="22"/>
        </w:rPr>
        <w:t xml:space="preserve"> </w:t>
      </w:r>
      <w:proofErr w:type="spellStart"/>
      <w:r w:rsidRPr="00C82EC4">
        <w:rPr>
          <w:rFonts w:cs="Arial"/>
          <w:szCs w:val="22"/>
        </w:rPr>
        <w:t>Administrativo</w:t>
      </w:r>
      <w:proofErr w:type="spellEnd"/>
      <w:r w:rsidRPr="00C82EC4">
        <w:rPr>
          <w:rFonts w:cs="Arial"/>
          <w:szCs w:val="22"/>
        </w:rPr>
        <w:t xml:space="preserve"> </w:t>
      </w:r>
      <w:proofErr w:type="spellStart"/>
      <w:r w:rsidRPr="00C82EC4">
        <w:rPr>
          <w:rFonts w:cs="Arial"/>
          <w:szCs w:val="22"/>
        </w:rPr>
        <w:t>Común</w:t>
      </w:r>
      <w:proofErr w:type="spellEnd"/>
      <w:r w:rsidRPr="00C82EC4">
        <w:rPr>
          <w:rFonts w:cs="Arial"/>
          <w:szCs w:val="22"/>
        </w:rPr>
        <w:t xml:space="preserve"> de las </w:t>
      </w:r>
      <w:proofErr w:type="spellStart"/>
      <w:r w:rsidRPr="00C82EC4">
        <w:rPr>
          <w:rFonts w:cs="Arial"/>
          <w:szCs w:val="22"/>
        </w:rPr>
        <w:t>Administraciones</w:t>
      </w:r>
      <w:proofErr w:type="spellEnd"/>
      <w:r w:rsidRPr="00C82EC4">
        <w:rPr>
          <w:rFonts w:cs="Arial"/>
          <w:szCs w:val="22"/>
        </w:rPr>
        <w:t xml:space="preserve"> Públicas.</w:t>
      </w:r>
    </w:p>
    <w:p w:rsidR="0027224F" w:rsidRPr="00C82EC4" w:rsidRDefault="0027224F" w:rsidP="0027224F">
      <w:pPr>
        <w:spacing w:before="1" w:line="240" w:lineRule="auto"/>
        <w:ind w:left="720" w:hanging="360"/>
        <w:jc w:val="both"/>
        <w:rPr>
          <w:rFonts w:cs="Arial"/>
          <w:szCs w:val="22"/>
          <w:lang w:val="es-ES"/>
        </w:rPr>
      </w:pP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La presentación de la solicitud de subvención presupone el conocimiento y la aceptación de las normas que la regulan. Dicha documentación deberá presentarse en cualquiera de las lenguas cooficiales de Cataluña, irá debidamente firmada por la persona solicitante y será original o copia debidamente autenticada.</w:t>
      </w:r>
    </w:p>
    <w:p w:rsidR="00C82EC4" w:rsidRPr="00C82EC4" w:rsidRDefault="00C82EC4" w:rsidP="00C82EC4">
      <w:pPr>
        <w:spacing w:before="100" w:beforeAutospacing="1" w:after="100" w:afterAutospacing="1" w:line="240" w:lineRule="auto"/>
        <w:ind w:right="84"/>
        <w:jc w:val="both"/>
        <w:rPr>
          <w:rFonts w:cs="Arial"/>
          <w:szCs w:val="22"/>
          <w:lang w:val="es-ES"/>
        </w:rPr>
      </w:pPr>
      <w:r w:rsidRPr="00C82EC4">
        <w:rPr>
          <w:rFonts w:cs="Arial"/>
          <w:szCs w:val="22"/>
          <w:lang w:val="es-ES"/>
        </w:rPr>
        <w:t>Todas las solicitudes deberán tener marcadas las casillas de declaración responsable y consentimiento de tratamiento de datos. Todas aquellas solicitudes que no tengan marcadas las casillas de autorización deberán ir acompañadas de la documentación pertinente para poder comprobar los requisitos.</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rPr>
        <w:t> </w:t>
      </w:r>
    </w:p>
    <w:p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8.- Rectificación de defectos u omisiones en la documentación</w:t>
      </w:r>
    </w:p>
    <w:p w:rsidR="00C82EC4" w:rsidRPr="00C82EC4" w:rsidRDefault="00C82EC4" w:rsidP="00C82EC4">
      <w:pPr>
        <w:spacing w:before="92" w:line="240" w:lineRule="auto"/>
        <w:ind w:right="211"/>
        <w:jc w:val="both"/>
        <w:rPr>
          <w:rFonts w:cs="Arial"/>
          <w:szCs w:val="22"/>
          <w:lang w:val="es-ES"/>
        </w:rPr>
      </w:pPr>
      <w:r w:rsidRPr="00C82EC4">
        <w:rPr>
          <w:rFonts w:cs="Arial"/>
          <w:szCs w:val="22"/>
          <w:lang w:val="es-ES"/>
        </w:rPr>
        <w:t xml:space="preserve">En caso de que la documentación presentada sea incorrecta o incompleta, se requerirá al/a la beneficiario/a, para </w:t>
      </w:r>
      <w:proofErr w:type="gramStart"/>
      <w:r w:rsidRPr="00C82EC4">
        <w:rPr>
          <w:rFonts w:cs="Arial"/>
          <w:szCs w:val="22"/>
          <w:lang w:val="es-ES"/>
        </w:rPr>
        <w:t>que</w:t>
      </w:r>
      <w:proofErr w:type="gramEnd"/>
      <w:r w:rsidRPr="00C82EC4">
        <w:rPr>
          <w:rFonts w:cs="Arial"/>
          <w:szCs w:val="22"/>
          <w:lang w:val="es-ES"/>
        </w:rPr>
        <w:t xml:space="preserve"> en el plazo de diez días hábiles a partir del día siguiente a la notificación, proceda a su rectificación o a las enmiendas necesarias, con la indicación de que si no lo hace así se entenderá por desistido de su solicitud.</w:t>
      </w:r>
    </w:p>
    <w:p w:rsidR="00C82EC4" w:rsidRPr="00C82EC4" w:rsidRDefault="00C82EC4" w:rsidP="00C82EC4">
      <w:pPr>
        <w:spacing w:before="92" w:line="240" w:lineRule="auto"/>
        <w:ind w:right="211"/>
        <w:jc w:val="both"/>
        <w:rPr>
          <w:rFonts w:cs="Arial"/>
          <w:szCs w:val="22"/>
          <w:lang w:val="es-ES"/>
        </w:rPr>
      </w:pPr>
      <w:r w:rsidRPr="00C82EC4">
        <w:rPr>
          <w:rFonts w:cs="Arial"/>
          <w:szCs w:val="22"/>
        </w:rPr>
        <w:t> </w:t>
      </w:r>
    </w:p>
    <w:p w:rsidR="00C82EC4" w:rsidRPr="00C82EC4" w:rsidRDefault="00C82EC4" w:rsidP="00C82EC4">
      <w:pPr>
        <w:spacing w:before="232" w:after="100" w:afterAutospacing="1" w:line="240" w:lineRule="auto"/>
        <w:jc w:val="both"/>
        <w:outlineLvl w:val="5"/>
        <w:rPr>
          <w:rFonts w:cs="Arial"/>
          <w:b/>
          <w:bCs/>
          <w:szCs w:val="22"/>
          <w:lang w:val="es-ES"/>
        </w:rPr>
      </w:pPr>
      <w:r w:rsidRPr="00C82EC4">
        <w:rPr>
          <w:rFonts w:cs="Arial"/>
          <w:b/>
          <w:bCs/>
          <w:szCs w:val="22"/>
          <w:u w:val="single"/>
          <w:lang w:val="es-ES"/>
        </w:rPr>
        <w:t>9.- Órganos competentes para la instrucción y la propuesta de concesión</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Dentro de los límites del crédito presupuestario, corresponde al Alcalde la competencia para otorgar las subvenciones que se regulan en estas bases. Esta competencia se extenderá también a todos los actos posteriores referidos a las mismas subvenciones.</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rPr>
        <w:t> </w:t>
      </w:r>
    </w:p>
    <w:p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10.- Resolución y notificación</w:t>
      </w:r>
    </w:p>
    <w:p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lang w:val="es-ES"/>
        </w:rPr>
        <w:t>Se examinarán conjuntamente, en un solo procedimiento todas las solicitudes presentadas dentro del plazo establecido, y se resolverá en un único acto administrativo. El acto que resuelva el procedimiento de concesión de la subvención será motivado y deberá producirse en el plazo máximo de dos meses desde la expiración del plazo de presentación de solicitudes. El acto de concesión debe expresar el solicitante o la relación de solicitantes a los que se concede la subvención y la cuantía otorgada, haciendo constar expresamente que el acto resolutorio es denegatorio del resto de las solicitudes. El acto de concesión agota la vía administrativa y se notificará individualmente a los interesados. Si no se produce resolución expresa dentro del plazo mencionado, las solicitudes se entenderán desestimadas.</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rPr>
        <w:t> </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lastRenderedPageBreak/>
        <w:t xml:space="preserve">El Ayuntamiento de </w:t>
      </w:r>
      <w:proofErr w:type="spellStart"/>
      <w:r w:rsidRPr="00C82EC4">
        <w:rPr>
          <w:rFonts w:cs="Arial"/>
          <w:szCs w:val="22"/>
          <w:lang w:val="es-ES"/>
        </w:rPr>
        <w:t>Sentmenat</w:t>
      </w:r>
      <w:proofErr w:type="spellEnd"/>
      <w:r w:rsidRPr="00C82EC4">
        <w:rPr>
          <w:rFonts w:cs="Arial"/>
          <w:szCs w:val="22"/>
          <w:lang w:val="es-ES"/>
        </w:rPr>
        <w:t xml:space="preserve"> notificará a los beneficiarios y a los clubes y otras entidades deportivas inscritas en el registro del ayuntamiento de </w:t>
      </w:r>
      <w:proofErr w:type="spellStart"/>
      <w:r w:rsidRPr="00C82EC4">
        <w:rPr>
          <w:rFonts w:cs="Arial"/>
          <w:szCs w:val="22"/>
          <w:lang w:val="es-ES"/>
        </w:rPr>
        <w:t>Sentmenat</w:t>
      </w:r>
      <w:proofErr w:type="spellEnd"/>
      <w:r w:rsidRPr="00C82EC4">
        <w:rPr>
          <w:rFonts w:cs="Arial"/>
          <w:szCs w:val="22"/>
          <w:lang w:val="es-ES"/>
        </w:rPr>
        <w:t xml:space="preserve"> el nombre de los/as jugadores/as que disfrutarán de esta ayuda, así como la cantidad de la ayuda. </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En caso de empate de puntuación entre beneficiarios y que por motivos presupuestarios no se pudiera cubrir todos los beneficiarios que han obtenido la misma puntuación, se tendrá en cuenta el número de registro de entrada, teniendo preferencia los que entraron la solicitud primero.</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 xml:space="preserve">Dado el carácter excepcional de las ayudas contempladas en estas bases se exceptúa a los beneficiarios de estar al corriente de obligaciones tributarias con el Ayuntamiento de </w:t>
      </w:r>
      <w:proofErr w:type="spellStart"/>
      <w:r w:rsidRPr="00C82EC4">
        <w:rPr>
          <w:rFonts w:cs="Arial"/>
          <w:szCs w:val="22"/>
          <w:lang w:val="es-ES"/>
        </w:rPr>
        <w:t>Sentmenat</w:t>
      </w:r>
      <w:proofErr w:type="spellEnd"/>
      <w:r w:rsidRPr="00C82EC4">
        <w:rPr>
          <w:rFonts w:cs="Arial"/>
          <w:szCs w:val="22"/>
          <w:lang w:val="es-ES"/>
        </w:rPr>
        <w:t>.</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 xml:space="preserve">Las ayudas pueden ser revocadas de oficio o a instancia de parte, mediante comunicación del Ayuntamiento de </w:t>
      </w:r>
      <w:proofErr w:type="spellStart"/>
      <w:r w:rsidRPr="00C82EC4">
        <w:rPr>
          <w:rFonts w:cs="Arial"/>
          <w:szCs w:val="22"/>
          <w:lang w:val="es-ES"/>
        </w:rPr>
        <w:t>Sentmenat</w:t>
      </w:r>
      <w:proofErr w:type="spellEnd"/>
      <w:r w:rsidRPr="00C82EC4">
        <w:rPr>
          <w:rFonts w:cs="Arial"/>
          <w:szCs w:val="22"/>
          <w:lang w:val="es-ES"/>
        </w:rPr>
        <w:t>.</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rPr>
        <w:t> </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Son causa de revocación de la ayuda:</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a) La ocultación o falsedad en la documentación presentada.</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b) El incumplimiento de las condiciones establecidas en estas bases.</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 xml:space="preserve">El Ayuntamiento de </w:t>
      </w:r>
      <w:proofErr w:type="spellStart"/>
      <w:r w:rsidRPr="00C82EC4">
        <w:rPr>
          <w:rFonts w:cs="Arial"/>
          <w:szCs w:val="22"/>
          <w:lang w:val="es-ES"/>
        </w:rPr>
        <w:t>Sentmenat</w:t>
      </w:r>
      <w:proofErr w:type="spellEnd"/>
      <w:r w:rsidRPr="00C82EC4">
        <w:rPr>
          <w:rFonts w:cs="Arial"/>
          <w:szCs w:val="22"/>
          <w:lang w:val="es-ES"/>
        </w:rPr>
        <w:t xml:space="preserve"> se reserva la posibilidad de establecer mecanismos de inspección para comprobar que el uso de las ayudas concedidas es el correcto.</w:t>
      </w:r>
    </w:p>
    <w:p w:rsidR="00C82EC4" w:rsidRDefault="00C82EC4" w:rsidP="00C82EC4">
      <w:pPr>
        <w:spacing w:before="100" w:beforeAutospacing="1" w:after="100" w:afterAutospacing="1" w:line="240" w:lineRule="auto"/>
        <w:jc w:val="both"/>
        <w:rPr>
          <w:rFonts w:cs="Arial"/>
          <w:szCs w:val="22"/>
          <w:lang w:val="es-ES"/>
        </w:rPr>
      </w:pPr>
      <w:r w:rsidRPr="00C82EC4">
        <w:rPr>
          <w:rFonts w:cs="Arial"/>
          <w:szCs w:val="22"/>
          <w:lang w:val="es-ES"/>
        </w:rPr>
        <w:t>El plazo para el otorgamiento de las subvenciones será, como máximo, de cuatro meses a contar desde la fecha de resolución del procedimiento.</w:t>
      </w:r>
    </w:p>
    <w:p w:rsidR="00BF47F4" w:rsidRPr="00C82EC4" w:rsidRDefault="00BF47F4" w:rsidP="00C82EC4">
      <w:pPr>
        <w:spacing w:before="100" w:beforeAutospacing="1" w:after="100" w:afterAutospacing="1" w:line="240" w:lineRule="auto"/>
        <w:jc w:val="both"/>
        <w:rPr>
          <w:rFonts w:cs="Arial"/>
          <w:szCs w:val="22"/>
          <w:lang w:val="es-ES"/>
        </w:rPr>
      </w:pPr>
    </w:p>
    <w:p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11.- Régimen de recursos</w:t>
      </w:r>
    </w:p>
    <w:p w:rsidR="00C82EC4" w:rsidRPr="00C82EC4" w:rsidRDefault="00C82EC4" w:rsidP="00BF47F4">
      <w:pPr>
        <w:spacing w:before="10" w:after="100" w:afterAutospacing="1" w:line="240" w:lineRule="auto"/>
        <w:jc w:val="both"/>
        <w:rPr>
          <w:rFonts w:cs="Arial"/>
          <w:szCs w:val="22"/>
          <w:lang w:val="es-ES"/>
        </w:rPr>
      </w:pPr>
      <w:r w:rsidRPr="00C82EC4">
        <w:rPr>
          <w:rFonts w:cs="Arial"/>
          <w:szCs w:val="22"/>
          <w:lang w:val="es-ES"/>
        </w:rPr>
        <w:t>La resolución del procedimiento pone fin a la vía administrativa, y contra la misma se puede interponer recurso contencioso administrativo en el plazo de dos meses a contar desde el día siguiente a su notificación.</w:t>
      </w:r>
    </w:p>
    <w:p w:rsidR="00C82EC4" w:rsidRPr="00C82EC4" w:rsidRDefault="00C82EC4" w:rsidP="00C82EC4">
      <w:pPr>
        <w:spacing w:before="1" w:line="240" w:lineRule="auto"/>
        <w:ind w:right="212"/>
        <w:jc w:val="both"/>
        <w:rPr>
          <w:rFonts w:cs="Arial"/>
          <w:szCs w:val="22"/>
          <w:lang w:val="es-ES"/>
        </w:rPr>
      </w:pPr>
      <w:r w:rsidRPr="00C82EC4">
        <w:rPr>
          <w:rFonts w:cs="Arial"/>
          <w:szCs w:val="22"/>
          <w:lang w:val="es-ES"/>
        </w:rPr>
        <w:t>Alternativamente y de forma potestativa, se puede interponer recurso de reposición ante el mismo órgano que lo ha dictado en el plazo de un mes a contar desde el día siguiente a su notificación.</w:t>
      </w:r>
    </w:p>
    <w:p w:rsidR="00C82EC4" w:rsidRPr="00C82EC4" w:rsidRDefault="00C82EC4" w:rsidP="00C82EC4">
      <w:pPr>
        <w:spacing w:before="1" w:after="100" w:afterAutospacing="1" w:line="240" w:lineRule="auto"/>
        <w:jc w:val="both"/>
        <w:rPr>
          <w:rFonts w:cs="Arial"/>
          <w:szCs w:val="22"/>
          <w:lang w:val="es-ES"/>
        </w:rPr>
      </w:pPr>
      <w:r w:rsidRPr="00C82EC4">
        <w:rPr>
          <w:rFonts w:cs="Arial"/>
          <w:szCs w:val="22"/>
        </w:rPr>
        <w:t> </w:t>
      </w:r>
    </w:p>
    <w:p w:rsidR="00C82EC4" w:rsidRPr="00C82EC4" w:rsidRDefault="00C82EC4" w:rsidP="00BF47F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12.- Criterios objetivos de otorgamiento de la subvención (Anexo 5 de las Bases)</w:t>
      </w:r>
    </w:p>
    <w:p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lang w:val="es-ES"/>
        </w:rPr>
        <w:t>Las subvenciones se otorgarán a aquellos solicitantes en base a la aplicación de los siguientes Baremos, tal y como se estipula en el artículo 8 del Reglamento Municipal sobre los Criterios para el otorgamiento de las prestaciones económicas de carácter social:</w:t>
      </w:r>
    </w:p>
    <w:p w:rsidR="00C82EC4" w:rsidRPr="00C82EC4" w:rsidRDefault="00C82EC4" w:rsidP="00C82EC4">
      <w:pPr>
        <w:spacing w:line="240" w:lineRule="auto"/>
        <w:ind w:left="284" w:right="367"/>
        <w:jc w:val="both"/>
        <w:rPr>
          <w:rFonts w:cs="Arial"/>
          <w:szCs w:val="22"/>
          <w:lang w:val="es-ES"/>
        </w:rPr>
      </w:pPr>
      <w:r w:rsidRPr="00C82EC4">
        <w:rPr>
          <w:rFonts w:cs="Arial"/>
          <w:b/>
          <w:bCs/>
          <w:i/>
          <w:iCs/>
          <w:color w:val="000000"/>
          <w:szCs w:val="22"/>
          <w:lang w:val="es-ES"/>
        </w:rPr>
        <w:t xml:space="preserve">Artículo 8. Criterios de otorgamiento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8.4. A efectos del cálculo final de la valoración de la situación de cada unidad familiar de convivencia la valoración económica representará un 70% de la ponderación final y la valoración social el 30% restante.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lastRenderedPageBreak/>
        <w:t xml:space="preserve">a) Valoración económica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a.1) Para establecer la situación económica se considerarán los ingresos netos percibidos por el conjunto de miembros la unidad familiar de convivencia durante los 3 meses anteriores a la fecha de solicitud. Para establecer el cómputo de ingresos se valorarán: </w:t>
      </w:r>
    </w:p>
    <w:p w:rsidR="00C82EC4" w:rsidRPr="00C82EC4" w:rsidRDefault="00C82EC4" w:rsidP="00C82EC4">
      <w:pPr>
        <w:spacing w:after="29" w:line="240" w:lineRule="auto"/>
        <w:ind w:left="284" w:right="367" w:firstLine="424"/>
        <w:jc w:val="both"/>
        <w:rPr>
          <w:rFonts w:cs="Arial"/>
          <w:szCs w:val="22"/>
          <w:lang w:val="es-ES"/>
        </w:rPr>
      </w:pPr>
      <w:r w:rsidRPr="00C82EC4">
        <w:rPr>
          <w:rFonts w:cs="Arial"/>
          <w:i/>
          <w:iCs/>
          <w:color w:val="000000"/>
          <w:szCs w:val="22"/>
          <w:lang w:val="es-ES"/>
        </w:rPr>
        <w:t xml:space="preserve">1. Ingresos del trabajo por cuenta ajena. </w:t>
      </w:r>
    </w:p>
    <w:p w:rsidR="00C82EC4" w:rsidRPr="00C82EC4" w:rsidRDefault="00C82EC4" w:rsidP="00C82EC4">
      <w:pPr>
        <w:spacing w:after="29" w:line="240" w:lineRule="auto"/>
        <w:ind w:left="284" w:right="367" w:firstLine="424"/>
        <w:jc w:val="both"/>
        <w:rPr>
          <w:rFonts w:cs="Arial"/>
          <w:szCs w:val="22"/>
          <w:lang w:val="es-ES"/>
        </w:rPr>
      </w:pPr>
      <w:r w:rsidRPr="00C82EC4">
        <w:rPr>
          <w:rFonts w:cs="Arial"/>
          <w:i/>
          <w:iCs/>
          <w:color w:val="000000"/>
          <w:szCs w:val="22"/>
          <w:lang w:val="es-ES"/>
        </w:rPr>
        <w:t xml:space="preserve">2. Beneficios y pérdidas del trabajo por cuenta propia. </w:t>
      </w:r>
    </w:p>
    <w:p w:rsidR="00C82EC4" w:rsidRPr="00C82EC4" w:rsidRDefault="00C82EC4" w:rsidP="00C82EC4">
      <w:pPr>
        <w:spacing w:after="29" w:line="240" w:lineRule="auto"/>
        <w:ind w:left="284" w:right="367" w:firstLine="424"/>
        <w:jc w:val="both"/>
        <w:rPr>
          <w:rFonts w:cs="Arial"/>
          <w:szCs w:val="22"/>
          <w:lang w:val="es-ES"/>
        </w:rPr>
      </w:pPr>
      <w:r w:rsidRPr="00C82EC4">
        <w:rPr>
          <w:rFonts w:cs="Arial"/>
          <w:i/>
          <w:iCs/>
          <w:color w:val="000000"/>
          <w:szCs w:val="22"/>
          <w:lang w:val="es-ES"/>
        </w:rPr>
        <w:t xml:space="preserve">3. Prestaciones y ayudas sociales. </w:t>
      </w:r>
    </w:p>
    <w:p w:rsidR="00C82EC4" w:rsidRPr="00C82EC4" w:rsidRDefault="00C82EC4" w:rsidP="00C82EC4">
      <w:pPr>
        <w:spacing w:after="29" w:line="240" w:lineRule="auto"/>
        <w:ind w:left="284" w:right="367" w:firstLine="424"/>
        <w:jc w:val="both"/>
        <w:rPr>
          <w:rFonts w:cs="Arial"/>
          <w:szCs w:val="22"/>
          <w:lang w:val="es-ES"/>
        </w:rPr>
      </w:pPr>
      <w:r w:rsidRPr="00C82EC4">
        <w:rPr>
          <w:rFonts w:cs="Arial"/>
          <w:i/>
          <w:iCs/>
          <w:color w:val="000000"/>
          <w:szCs w:val="22"/>
          <w:lang w:val="es-ES"/>
        </w:rPr>
        <w:t xml:space="preserve">4. Rentas de capital y de la propiedad. </w:t>
      </w:r>
    </w:p>
    <w:p w:rsidR="00C82EC4" w:rsidRPr="00C82EC4" w:rsidRDefault="00C82EC4" w:rsidP="00C82EC4">
      <w:pPr>
        <w:spacing w:after="29" w:line="240" w:lineRule="auto"/>
        <w:ind w:left="284" w:right="367" w:firstLine="424"/>
        <w:jc w:val="both"/>
        <w:rPr>
          <w:rFonts w:cs="Arial"/>
          <w:szCs w:val="22"/>
          <w:lang w:val="es-ES"/>
        </w:rPr>
      </w:pPr>
      <w:r w:rsidRPr="00C82EC4">
        <w:rPr>
          <w:rFonts w:cs="Arial"/>
          <w:i/>
          <w:iCs/>
          <w:color w:val="000000"/>
          <w:szCs w:val="22"/>
          <w:lang w:val="es-ES"/>
        </w:rPr>
        <w:t xml:space="preserve">5. Transferencias recibidas y pagadas a otros hogares. </w:t>
      </w:r>
    </w:p>
    <w:p w:rsidR="00C82EC4" w:rsidRPr="00C82EC4" w:rsidRDefault="00C82EC4" w:rsidP="00C82EC4">
      <w:pPr>
        <w:spacing w:after="29" w:line="240" w:lineRule="auto"/>
        <w:ind w:left="284" w:right="367" w:firstLine="424"/>
        <w:jc w:val="both"/>
        <w:rPr>
          <w:rFonts w:cs="Arial"/>
          <w:szCs w:val="22"/>
          <w:lang w:val="es-ES"/>
        </w:rPr>
      </w:pPr>
      <w:r w:rsidRPr="00C82EC4">
        <w:rPr>
          <w:rFonts w:cs="Arial"/>
          <w:i/>
          <w:iCs/>
          <w:color w:val="000000"/>
          <w:szCs w:val="22"/>
          <w:lang w:val="es-ES"/>
        </w:rPr>
        <w:t xml:space="preserve">6. Ingresos percibidos por niños. </w:t>
      </w:r>
    </w:p>
    <w:p w:rsidR="00C82EC4" w:rsidRPr="00C82EC4" w:rsidRDefault="00C82EC4" w:rsidP="00C82EC4">
      <w:pPr>
        <w:spacing w:line="240" w:lineRule="auto"/>
        <w:ind w:left="284" w:right="367" w:firstLine="424"/>
        <w:jc w:val="both"/>
        <w:rPr>
          <w:rFonts w:cs="Arial"/>
          <w:szCs w:val="22"/>
          <w:lang w:val="es-ES"/>
        </w:rPr>
      </w:pPr>
      <w:r w:rsidRPr="00C82EC4">
        <w:rPr>
          <w:rFonts w:cs="Arial"/>
          <w:i/>
          <w:iCs/>
          <w:color w:val="000000"/>
          <w:szCs w:val="22"/>
          <w:lang w:val="es-ES"/>
        </w:rPr>
        <w:t xml:space="preserve">7. Resultados de declaraciones de impuestos.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a.2) Para calcular la Renta Disponible se descontará al total de ingresos los gastos de acceso a la vivienda habitual de los últimos 3 meses. Por este concepto se establece un máximo de gasto mensual deducible, equivalente al valor del IRSC mensual del año en curso. </w:t>
      </w:r>
    </w:p>
    <w:p w:rsidR="00C82EC4" w:rsidRPr="00C82EC4" w:rsidRDefault="00C82EC4" w:rsidP="00C82EC4">
      <w:pPr>
        <w:spacing w:line="240" w:lineRule="auto"/>
        <w:ind w:left="284" w:right="367"/>
        <w:jc w:val="both"/>
        <w:rPr>
          <w:rFonts w:cs="Arial"/>
          <w:szCs w:val="22"/>
          <w:lang w:val="es-ES"/>
        </w:rPr>
      </w:pPr>
      <w:r w:rsidRPr="00C82EC4">
        <w:rPr>
          <w:rFonts w:cs="Arial"/>
          <w:i/>
          <w:iCs/>
          <w:szCs w:val="22"/>
        </w:rPr>
        <w:t> </w:t>
      </w:r>
    </w:p>
    <w:p w:rsidR="00C82EC4" w:rsidRPr="00C82EC4" w:rsidRDefault="00C82EC4" w:rsidP="00C82EC4">
      <w:pPr>
        <w:spacing w:line="240" w:lineRule="auto"/>
        <w:ind w:left="284" w:right="367"/>
        <w:jc w:val="both"/>
        <w:rPr>
          <w:rFonts w:cs="Arial"/>
          <w:szCs w:val="22"/>
          <w:lang w:val="es-ES"/>
        </w:rPr>
      </w:pPr>
      <w:r w:rsidRPr="00C82EC4">
        <w:rPr>
          <w:rFonts w:cs="Arial"/>
          <w:i/>
          <w:iCs/>
          <w:szCs w:val="22"/>
          <w:lang w:val="es-ES"/>
        </w:rPr>
        <w:t>a.3) Se entiende, de manera general, que la unidad familiar de convivencia presenta una situación de falta de recursos económicos cuando cumple los requisitos especificados en el artículo 7 apartado 2, letra c del presente reglamento. En función de los requisitos de acceso económico de cada tipo de unidad familiar de convivencia se establecerá la puntuación de la situación económica de la unidad que será de, como máximo</w:t>
      </w:r>
      <w:r w:rsidRPr="00C82EC4">
        <w:rPr>
          <w:rFonts w:cs="Arial"/>
          <w:szCs w:val="22"/>
          <w:lang w:val="es-ES"/>
        </w:rPr>
        <w:t xml:space="preserve">, </w:t>
      </w:r>
      <w:r w:rsidRPr="00C82EC4">
        <w:rPr>
          <w:rFonts w:cs="Arial"/>
          <w:b/>
          <w:bCs/>
          <w:szCs w:val="22"/>
          <w:lang w:val="es-ES"/>
        </w:rPr>
        <w:t>7 puntos</w:t>
      </w:r>
      <w:r w:rsidRPr="00C82EC4">
        <w:rPr>
          <w:rFonts w:cs="Arial"/>
          <w:szCs w:val="22"/>
          <w:lang w:val="es-ES"/>
        </w:rPr>
        <w:t xml:space="preserve">: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tbl>
      <w:tblPr>
        <w:tblW w:w="0" w:type="auto"/>
        <w:jc w:val="center"/>
        <w:tblCellMar>
          <w:left w:w="0" w:type="dxa"/>
          <w:right w:w="0" w:type="dxa"/>
        </w:tblCellMar>
        <w:tblLook w:val="04A0" w:firstRow="1" w:lastRow="0" w:firstColumn="1" w:lastColumn="0" w:noHBand="0" w:noVBand="1"/>
      </w:tblPr>
      <w:tblGrid>
        <w:gridCol w:w="6374"/>
        <w:gridCol w:w="1784"/>
      </w:tblGrid>
      <w:tr w:rsidR="00C82EC4" w:rsidRPr="00C82EC4" w:rsidTr="00C82EC4">
        <w:trPr>
          <w:trHeight w:val="284"/>
          <w:jc w:val="center"/>
        </w:trPr>
        <w:tc>
          <w:tcPr>
            <w:tcW w:w="63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82EC4" w:rsidRPr="00C82EC4" w:rsidRDefault="00C82EC4" w:rsidP="00C82EC4">
            <w:pPr>
              <w:spacing w:line="240" w:lineRule="auto"/>
              <w:ind w:left="166" w:right="367"/>
              <w:jc w:val="both"/>
              <w:rPr>
                <w:rFonts w:cs="Arial"/>
                <w:szCs w:val="22"/>
                <w:lang w:val="es-ES"/>
              </w:rPr>
            </w:pPr>
            <w:r w:rsidRPr="00C82EC4">
              <w:rPr>
                <w:rFonts w:cs="Arial"/>
                <w:b/>
                <w:bCs/>
                <w:i/>
                <w:iCs/>
                <w:color w:val="000000"/>
                <w:szCs w:val="22"/>
                <w:lang w:val="es-ES"/>
              </w:rPr>
              <w:t>Tabla de puntuación por la valoración económica según el tramo de renta disponible</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82EC4" w:rsidRPr="00C82EC4" w:rsidRDefault="00C82EC4" w:rsidP="00C82EC4">
            <w:pPr>
              <w:spacing w:line="240" w:lineRule="auto"/>
              <w:ind w:left="284" w:right="367"/>
              <w:jc w:val="both"/>
              <w:rPr>
                <w:rFonts w:cs="Arial"/>
                <w:szCs w:val="22"/>
                <w:lang w:val="es-ES"/>
              </w:rPr>
            </w:pPr>
            <w:r w:rsidRPr="00C82EC4">
              <w:rPr>
                <w:rFonts w:cs="Arial"/>
                <w:b/>
                <w:bCs/>
                <w:i/>
                <w:iCs/>
                <w:color w:val="000000"/>
                <w:szCs w:val="22"/>
                <w:lang w:val="es-ES"/>
              </w:rPr>
              <w:t>PUNTOS</w:t>
            </w:r>
          </w:p>
        </w:tc>
      </w:tr>
      <w:tr w:rsidR="00C82EC4" w:rsidRPr="00C82EC4" w:rsidTr="00C82EC4">
        <w:trPr>
          <w:trHeight w:val="284"/>
          <w:jc w:val="center"/>
        </w:trPr>
        <w:tc>
          <w:tcPr>
            <w:tcW w:w="63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82EC4" w:rsidRPr="00C82EC4" w:rsidRDefault="00C82EC4" w:rsidP="00C82EC4">
            <w:pPr>
              <w:spacing w:line="240" w:lineRule="auto"/>
              <w:ind w:left="166" w:right="367"/>
              <w:jc w:val="both"/>
              <w:rPr>
                <w:rFonts w:cs="Arial"/>
                <w:szCs w:val="22"/>
                <w:lang w:val="es-ES"/>
              </w:rPr>
            </w:pPr>
            <w:r w:rsidRPr="00C82EC4">
              <w:rPr>
                <w:rFonts w:cs="Arial"/>
                <w:i/>
                <w:iCs/>
                <w:color w:val="000000"/>
                <w:szCs w:val="22"/>
                <w:lang w:val="es-ES"/>
              </w:rPr>
              <w:t>Renta inferior al 33,3% del máximo mensual establecido en los requisitos económicos según tipología de la unidad de convivencia.</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7 puntos</w:t>
            </w:r>
          </w:p>
        </w:tc>
      </w:tr>
      <w:tr w:rsidR="00C82EC4" w:rsidRPr="00C82EC4" w:rsidTr="00C82EC4">
        <w:trPr>
          <w:trHeight w:val="284"/>
          <w:jc w:val="center"/>
        </w:trPr>
        <w:tc>
          <w:tcPr>
            <w:tcW w:w="63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tbl>
            <w:tblPr>
              <w:tblW w:w="0" w:type="auto"/>
              <w:tblCellMar>
                <w:left w:w="0" w:type="dxa"/>
                <w:right w:w="0" w:type="dxa"/>
              </w:tblCellMar>
              <w:tblLook w:val="04A0" w:firstRow="1" w:lastRow="0" w:firstColumn="1" w:lastColumn="0" w:noHBand="0" w:noVBand="1"/>
            </w:tblPr>
            <w:tblGrid>
              <w:gridCol w:w="6158"/>
            </w:tblGrid>
            <w:tr w:rsidR="00C82EC4" w:rsidRPr="00C82EC4">
              <w:trPr>
                <w:trHeight w:val="240"/>
              </w:trPr>
              <w:tc>
                <w:tcPr>
                  <w:tcW w:w="6234" w:type="dxa"/>
                  <w:tcBorders>
                    <w:top w:val="nil"/>
                    <w:left w:val="nil"/>
                    <w:bottom w:val="nil"/>
                    <w:right w:val="nil"/>
                  </w:tcBorders>
                  <w:tcMar>
                    <w:top w:w="0" w:type="dxa"/>
                    <w:left w:w="108" w:type="dxa"/>
                    <w:bottom w:w="0" w:type="dxa"/>
                    <w:right w:w="108" w:type="dxa"/>
                  </w:tcMar>
                  <w:hideMark/>
                </w:tcPr>
                <w:p w:rsidR="00C82EC4" w:rsidRPr="00C82EC4" w:rsidRDefault="00C82EC4" w:rsidP="00C82EC4">
                  <w:pPr>
                    <w:spacing w:line="240" w:lineRule="auto"/>
                    <w:ind w:left="59" w:right="290"/>
                    <w:jc w:val="both"/>
                    <w:rPr>
                      <w:rFonts w:cs="Arial"/>
                      <w:szCs w:val="22"/>
                      <w:lang w:val="es-ES"/>
                    </w:rPr>
                  </w:pPr>
                  <w:r w:rsidRPr="00C82EC4">
                    <w:rPr>
                      <w:rFonts w:cs="Arial"/>
                      <w:i/>
                      <w:iCs/>
                      <w:color w:val="000000"/>
                      <w:szCs w:val="22"/>
                      <w:lang w:val="es-ES"/>
                    </w:rPr>
                    <w:t xml:space="preserve">Renta entre el 33,4 y el 66,6% del máximo mensual establecido en los requisitos económicos según tipología de la unidad de convivencia </w:t>
                  </w:r>
                </w:p>
              </w:tc>
            </w:tr>
          </w:tbl>
          <w:p w:rsidR="00C82EC4" w:rsidRPr="00C82EC4" w:rsidRDefault="00C82EC4" w:rsidP="00C82EC4">
            <w:pPr>
              <w:spacing w:line="240" w:lineRule="auto"/>
              <w:jc w:val="both"/>
              <w:rPr>
                <w:rFonts w:cs="Arial"/>
                <w:szCs w:val="22"/>
                <w:lang w:val="es-ES"/>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C82EC4" w:rsidRPr="00C82EC4" w:rsidRDefault="00C82EC4" w:rsidP="00C82EC4">
            <w:pPr>
              <w:spacing w:line="240" w:lineRule="auto"/>
              <w:ind w:left="284" w:right="367"/>
              <w:jc w:val="both"/>
              <w:rPr>
                <w:rFonts w:cs="Arial"/>
                <w:szCs w:val="22"/>
                <w:lang w:val="es-ES"/>
              </w:rPr>
            </w:pPr>
            <w:r w:rsidRPr="00C82EC4">
              <w:rPr>
                <w:rFonts w:cs="Arial"/>
                <w:szCs w:val="22"/>
                <w:lang w:val="es-ES"/>
              </w:rPr>
              <w:t xml:space="preserve">5 puntos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tc>
      </w:tr>
      <w:tr w:rsidR="00C82EC4" w:rsidRPr="00C82EC4" w:rsidTr="00C82EC4">
        <w:trPr>
          <w:trHeight w:val="814"/>
          <w:jc w:val="center"/>
        </w:trPr>
        <w:tc>
          <w:tcPr>
            <w:tcW w:w="63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82EC4" w:rsidRPr="00C82EC4" w:rsidRDefault="00C82EC4" w:rsidP="00C82EC4">
            <w:pPr>
              <w:spacing w:line="240" w:lineRule="auto"/>
              <w:ind w:left="166" w:right="367"/>
              <w:jc w:val="both"/>
              <w:rPr>
                <w:rFonts w:cs="Arial"/>
                <w:szCs w:val="22"/>
                <w:lang w:val="es-ES"/>
              </w:rPr>
            </w:pPr>
            <w:r w:rsidRPr="00C82EC4">
              <w:rPr>
                <w:rFonts w:cs="Arial"/>
                <w:i/>
                <w:iCs/>
                <w:szCs w:val="22"/>
                <w:lang w:val="es-ES"/>
              </w:rPr>
              <w:t xml:space="preserve">Renta entre el 66,7 y el 100% del máximo mensual establecido en los requisitos económicos según tipología de la unidad de convivencia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C82EC4" w:rsidRPr="00C82EC4" w:rsidRDefault="00C82EC4" w:rsidP="00C82EC4">
            <w:pPr>
              <w:spacing w:line="240" w:lineRule="auto"/>
              <w:ind w:left="284" w:right="367"/>
              <w:jc w:val="both"/>
              <w:rPr>
                <w:rFonts w:cs="Arial"/>
                <w:szCs w:val="22"/>
                <w:lang w:val="es-ES"/>
              </w:rPr>
            </w:pPr>
            <w:r w:rsidRPr="00C82EC4">
              <w:rPr>
                <w:rFonts w:cs="Arial"/>
                <w:szCs w:val="22"/>
                <w:lang w:val="es-ES"/>
              </w:rPr>
              <w:t xml:space="preserve">3 puntos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tc>
      </w:tr>
    </w:tbl>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(En el anexo 1 del reglamento se encuentra la tabla de baremos que sirve de base para la valoración económica en función de los diferentes tramos de renta disponible)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b) Valoración Social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rsidR="00C82EC4" w:rsidRPr="00C82EC4" w:rsidRDefault="00C82EC4" w:rsidP="00C82EC4">
      <w:pPr>
        <w:spacing w:after="254" w:line="240" w:lineRule="auto"/>
        <w:ind w:left="284" w:right="367"/>
        <w:jc w:val="both"/>
        <w:rPr>
          <w:rFonts w:cs="Arial"/>
          <w:szCs w:val="22"/>
          <w:lang w:val="es-ES"/>
        </w:rPr>
      </w:pPr>
      <w:r w:rsidRPr="00C82EC4">
        <w:rPr>
          <w:rFonts w:cs="Arial"/>
          <w:i/>
          <w:iCs/>
          <w:color w:val="000000"/>
          <w:szCs w:val="22"/>
          <w:lang w:val="es-ES"/>
        </w:rPr>
        <w:t xml:space="preserve">b.1) Para establecer la situación social el profesional de referencia de los servicios sociales básicos municipales evaluará las carencias, necesidades y factores discrecionales de cada unidad familiar de convivencia. </w:t>
      </w:r>
    </w:p>
    <w:p w:rsidR="00C82EC4" w:rsidRPr="00C82EC4" w:rsidRDefault="00C82EC4" w:rsidP="00C82EC4">
      <w:pPr>
        <w:spacing w:after="254" w:line="240" w:lineRule="auto"/>
        <w:ind w:left="284" w:right="367"/>
        <w:jc w:val="both"/>
        <w:rPr>
          <w:rFonts w:cs="Arial"/>
          <w:szCs w:val="22"/>
          <w:lang w:val="es-ES"/>
        </w:rPr>
      </w:pPr>
      <w:r w:rsidRPr="00C82EC4">
        <w:rPr>
          <w:rFonts w:cs="Arial"/>
          <w:i/>
          <w:iCs/>
          <w:color w:val="000000"/>
          <w:szCs w:val="22"/>
          <w:lang w:val="es-ES"/>
        </w:rPr>
        <w:t xml:space="preserve">b.2) Se considerarán de forma especial aquellos casos en que se identifiquen carencias ligadas a las necesidades básicas que recibirán la máxima puntuación en la valoración social, 3 puntos. </w:t>
      </w:r>
    </w:p>
    <w:p w:rsidR="00C82EC4" w:rsidRPr="00C82EC4" w:rsidRDefault="00C82EC4" w:rsidP="00C82EC4">
      <w:pPr>
        <w:spacing w:after="254" w:line="240" w:lineRule="auto"/>
        <w:ind w:left="284" w:right="367"/>
        <w:jc w:val="both"/>
        <w:rPr>
          <w:rFonts w:cs="Arial"/>
          <w:szCs w:val="22"/>
          <w:lang w:val="es-ES"/>
        </w:rPr>
      </w:pPr>
      <w:r w:rsidRPr="00C82EC4">
        <w:rPr>
          <w:rFonts w:cs="Arial"/>
          <w:i/>
          <w:iCs/>
          <w:color w:val="000000"/>
          <w:szCs w:val="22"/>
          <w:lang w:val="es-ES"/>
        </w:rPr>
        <w:t xml:space="preserve">b.3) El personal técnico evaluará para cada unidad familiar de convivencia la presencia de las situaciones de carencia y/o necesidad social (descritas en la tabla del anexo 2 del presente reglamento) y determinará la puntuación resultante hasta un valor máximo de 3 puntos. </w:t>
      </w:r>
    </w:p>
    <w:p w:rsidR="00C82EC4" w:rsidRPr="00C82EC4" w:rsidRDefault="00C82EC4" w:rsidP="00C82EC4">
      <w:pPr>
        <w:spacing w:after="254" w:line="240" w:lineRule="auto"/>
        <w:ind w:left="284" w:right="367"/>
        <w:jc w:val="both"/>
        <w:rPr>
          <w:rFonts w:cs="Arial"/>
          <w:szCs w:val="22"/>
          <w:lang w:val="es-ES"/>
        </w:rPr>
      </w:pPr>
      <w:r w:rsidRPr="00C82EC4">
        <w:rPr>
          <w:rFonts w:cs="Arial"/>
          <w:i/>
          <w:iCs/>
          <w:color w:val="000000"/>
          <w:szCs w:val="22"/>
          <w:lang w:val="es-ES"/>
        </w:rPr>
        <w:lastRenderedPageBreak/>
        <w:t xml:space="preserve">b.4) Complementariamente, el profesional podrá valorar la existencia de otros factores discrecionales que favorezcan o dificulten la eficacia en la consecución de los objetivos sociales de la prestación económica. Estos factores serán puntuados a discreción por el profesional hasta completar la valoración social. </w:t>
      </w:r>
    </w:p>
    <w:p w:rsidR="00C82EC4" w:rsidRPr="00C82EC4" w:rsidRDefault="00C82EC4" w:rsidP="00C82EC4">
      <w:pPr>
        <w:spacing w:after="254" w:line="240" w:lineRule="auto"/>
        <w:ind w:left="284" w:right="367"/>
        <w:jc w:val="both"/>
        <w:rPr>
          <w:rFonts w:cs="Arial"/>
          <w:szCs w:val="22"/>
          <w:lang w:val="es-ES"/>
        </w:rPr>
      </w:pPr>
      <w:r w:rsidRPr="00C82EC4">
        <w:rPr>
          <w:rFonts w:cs="Arial"/>
          <w:i/>
          <w:iCs/>
          <w:color w:val="000000"/>
          <w:szCs w:val="22"/>
          <w:lang w:val="es-ES"/>
        </w:rPr>
        <w:t xml:space="preserve">b.5) La puntuación de la valoración social de la unidad familiar de convivencia será de como máximo de 3 puntos.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b.6) Sin embargo, en función de lo previsto en los artículos 5.2 y 8.2 del presente reglamento, la valoración social podrá ser completada por el informe o informes técnicos de los servicios sociales básicos donde se realicen las consideraciones especiales de cada caso y se razone la no aplicabilidad del baremo económico o social. </w:t>
      </w:r>
    </w:p>
    <w:p w:rsidR="00C82EC4" w:rsidRPr="00C82EC4" w:rsidRDefault="00C82EC4" w:rsidP="00C82EC4">
      <w:pPr>
        <w:spacing w:before="100" w:beforeAutospacing="1" w:after="100" w:afterAutospacing="1" w:line="240" w:lineRule="auto"/>
        <w:ind w:right="367"/>
        <w:jc w:val="both"/>
        <w:rPr>
          <w:rFonts w:cs="Arial"/>
          <w:szCs w:val="22"/>
          <w:lang w:val="es-ES"/>
        </w:rPr>
      </w:pPr>
      <w:r w:rsidRPr="00C82EC4">
        <w:rPr>
          <w:rFonts w:cs="Arial"/>
          <w:i/>
          <w:iCs/>
          <w:color w:val="000000"/>
          <w:szCs w:val="22"/>
        </w:rPr>
        <w:t>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8.5 Las prestaciones concedidas no podrán ser invocadas como precedente para la obtención de nuevas prestaciones.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8.6 Es un criterio relevante para el otorgamiento de que la prestación económica contribuya a la resolución definitiva de la situación de carencia.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8.7 Las prestaciones reguladas en el presente reglamento son intransferibles y, por tanto, no podrán ofrecerse en garantía de obligaciones, ser objeto de cesión total o parcial, compensación o descuento, excepto para el reintegro de las prestaciones indebidamente percibidas, y/o la retención o embargo (excepto en los supuestos y con los límites previstos en la legislación general del Estado que resulte aplicable).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8.8 En el supuesto de que concurran varias personas solicitantes de una misma unidad familiar de convivencia para hacer frente al mismo gasto, sólo podrá concederse a una de ellas, promoviendo el acuerdo entre las partes interesadas. </w:t>
      </w:r>
    </w:p>
    <w:p w:rsidR="00C82EC4" w:rsidRPr="00C82EC4" w:rsidRDefault="00C82EC4" w:rsidP="00C82EC4">
      <w:pPr>
        <w:spacing w:line="240" w:lineRule="auto"/>
        <w:ind w:left="284" w:right="367"/>
        <w:jc w:val="both"/>
        <w:rPr>
          <w:rFonts w:cs="Arial"/>
          <w:szCs w:val="22"/>
          <w:lang w:val="es-ES"/>
        </w:rPr>
      </w:pPr>
      <w:r w:rsidRPr="00C82EC4">
        <w:rPr>
          <w:rFonts w:cs="Arial"/>
          <w:szCs w:val="22"/>
        </w:rPr>
        <w:t> </w:t>
      </w:r>
    </w:p>
    <w:p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13.- Cuantía de las prestaciones y baremo</w:t>
      </w:r>
    </w:p>
    <w:p w:rsidR="00C82EC4" w:rsidRPr="00C82EC4" w:rsidRDefault="00C82EC4" w:rsidP="00C82EC4">
      <w:pPr>
        <w:spacing w:before="100" w:beforeAutospacing="1" w:after="100" w:afterAutospacing="1" w:line="240" w:lineRule="auto"/>
        <w:ind w:right="367"/>
        <w:jc w:val="both"/>
        <w:rPr>
          <w:rFonts w:cs="Arial"/>
          <w:szCs w:val="22"/>
          <w:lang w:val="es-ES"/>
        </w:rPr>
      </w:pPr>
      <w:r w:rsidRPr="00C82EC4">
        <w:rPr>
          <w:rFonts w:cs="Arial"/>
          <w:color w:val="000000"/>
          <w:szCs w:val="22"/>
          <w:lang w:val="es-ES"/>
        </w:rPr>
        <w:t>Serán de aprobación todas aquellas solicitudes que una vez aplicados los baremos anteriores, obtengan una puntuación igual o superior a los 7 puntos.</w:t>
      </w:r>
    </w:p>
    <w:p w:rsidR="00C82EC4" w:rsidRPr="00C82EC4" w:rsidRDefault="00C82EC4" w:rsidP="005F06E4">
      <w:pPr>
        <w:spacing w:before="100" w:beforeAutospacing="1" w:after="100" w:afterAutospacing="1" w:line="240" w:lineRule="auto"/>
        <w:ind w:right="367"/>
        <w:jc w:val="both"/>
        <w:rPr>
          <w:rFonts w:cs="Arial"/>
          <w:szCs w:val="22"/>
          <w:lang w:val="es-ES"/>
        </w:rPr>
      </w:pPr>
      <w:r w:rsidRPr="00C82EC4">
        <w:rPr>
          <w:rFonts w:cs="Arial"/>
          <w:szCs w:val="22"/>
          <w:lang w:val="es-ES"/>
        </w:rPr>
        <w:t>La subvención consiste en el pago de la mitad del coste de la ficha anual en caso de clubes o cuota anual en caso de entidades deportivas, hasta un máximo de 300 €.</w:t>
      </w:r>
    </w:p>
    <w:p w:rsidR="00C82EC4" w:rsidRPr="00C82EC4" w:rsidRDefault="00C82EC4" w:rsidP="00C82EC4">
      <w:pPr>
        <w:spacing w:before="100" w:beforeAutospacing="1" w:after="100" w:afterAutospacing="1" w:line="240" w:lineRule="auto"/>
        <w:ind w:right="226"/>
        <w:jc w:val="both"/>
        <w:rPr>
          <w:rFonts w:cs="Arial"/>
          <w:szCs w:val="22"/>
          <w:lang w:val="es-ES"/>
        </w:rPr>
      </w:pPr>
      <w:r w:rsidRPr="00C82EC4">
        <w:rPr>
          <w:rFonts w:cs="Arial"/>
          <w:szCs w:val="22"/>
          <w:lang w:val="es-ES"/>
        </w:rPr>
        <w:t>En los casos que la mitad de la ficha o cuota no supere los 100 €, se propondrá becar esta cantidad, siempre y cuando exista crédito adecuado y suficiente y conforme a la puntuación obtenida aplicando los baremos recogidos en las bases reguladoras.</w:t>
      </w:r>
    </w:p>
    <w:p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rPr>
        <w:t> </w:t>
      </w:r>
    </w:p>
    <w:p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14. Medios de notificación o publicación</w:t>
      </w:r>
    </w:p>
    <w:p w:rsidR="00C82EC4" w:rsidRPr="00C82EC4" w:rsidRDefault="00C82EC4" w:rsidP="005F06E4">
      <w:pPr>
        <w:spacing w:before="10" w:after="100" w:afterAutospacing="1" w:line="240" w:lineRule="auto"/>
        <w:jc w:val="both"/>
        <w:rPr>
          <w:rFonts w:cs="Arial"/>
          <w:szCs w:val="22"/>
          <w:lang w:val="es-ES"/>
        </w:rPr>
      </w:pPr>
      <w:r w:rsidRPr="00C82EC4">
        <w:rPr>
          <w:rFonts w:cs="Arial"/>
          <w:szCs w:val="22"/>
          <w:lang w:val="es-ES"/>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rsidR="00C82EC4" w:rsidRPr="00C82EC4" w:rsidRDefault="00C82EC4" w:rsidP="00C82EC4">
      <w:pPr>
        <w:spacing w:before="93" w:line="240" w:lineRule="auto"/>
        <w:ind w:right="211"/>
        <w:jc w:val="both"/>
        <w:rPr>
          <w:rFonts w:cs="Arial"/>
          <w:szCs w:val="22"/>
          <w:lang w:val="es-ES"/>
        </w:rPr>
      </w:pPr>
      <w:r w:rsidRPr="00C82EC4">
        <w:rPr>
          <w:rFonts w:cs="Arial"/>
          <w:szCs w:val="22"/>
        </w:rPr>
        <w:t> </w:t>
      </w:r>
    </w:p>
    <w:p w:rsidR="00C82EC4" w:rsidRPr="00C82EC4" w:rsidRDefault="00C82EC4" w:rsidP="00C82EC4">
      <w:pPr>
        <w:spacing w:before="93" w:line="240" w:lineRule="auto"/>
        <w:ind w:right="211"/>
        <w:jc w:val="both"/>
        <w:rPr>
          <w:rFonts w:cs="Arial"/>
          <w:szCs w:val="22"/>
          <w:lang w:val="es-ES"/>
        </w:rPr>
      </w:pPr>
      <w:r w:rsidRPr="00C82EC4">
        <w:rPr>
          <w:rFonts w:cs="Arial"/>
          <w:b/>
          <w:bCs/>
          <w:szCs w:val="22"/>
          <w:u w:val="single"/>
          <w:lang w:val="es-ES"/>
        </w:rPr>
        <w:lastRenderedPageBreak/>
        <w:t>15. Pago de las prestaciones económicas</w:t>
      </w:r>
    </w:p>
    <w:p w:rsidR="00C82EC4" w:rsidRPr="00C82EC4" w:rsidRDefault="00C82EC4" w:rsidP="00C82EC4">
      <w:pPr>
        <w:spacing w:before="93" w:line="240" w:lineRule="auto"/>
        <w:ind w:right="211"/>
        <w:jc w:val="both"/>
        <w:rPr>
          <w:rFonts w:cs="Arial"/>
          <w:szCs w:val="22"/>
          <w:lang w:val="es-ES"/>
        </w:rPr>
      </w:pPr>
      <w:r w:rsidRPr="00C82EC4">
        <w:rPr>
          <w:rFonts w:cs="Arial"/>
          <w:szCs w:val="22"/>
        </w:rPr>
        <w:t> </w:t>
      </w:r>
    </w:p>
    <w:p w:rsidR="00C82EC4" w:rsidRPr="00C82EC4" w:rsidRDefault="00C82EC4" w:rsidP="00C82EC4">
      <w:pPr>
        <w:spacing w:before="93" w:line="240" w:lineRule="auto"/>
        <w:ind w:right="211"/>
        <w:jc w:val="both"/>
        <w:rPr>
          <w:rFonts w:cs="Arial"/>
          <w:szCs w:val="22"/>
          <w:lang w:val="es-ES"/>
        </w:rPr>
      </w:pPr>
      <w:r w:rsidRPr="00C82EC4">
        <w:rPr>
          <w:rFonts w:cs="Arial"/>
          <w:szCs w:val="22"/>
          <w:lang w:val="es-ES"/>
        </w:rPr>
        <w:t xml:space="preserve">En el supuesto de una resolución favorable, la corporación iniciará los trámites para el pago hacia las entidades proveedoras (clubes deportivos y entidades deportivas de </w:t>
      </w:r>
      <w:proofErr w:type="spellStart"/>
      <w:r w:rsidRPr="00C82EC4">
        <w:rPr>
          <w:rFonts w:cs="Arial"/>
          <w:szCs w:val="22"/>
          <w:lang w:val="es-ES"/>
        </w:rPr>
        <w:t>Sentmenat</w:t>
      </w:r>
      <w:proofErr w:type="spellEnd"/>
      <w:r w:rsidRPr="00C82EC4">
        <w:rPr>
          <w:rFonts w:cs="Arial"/>
          <w:szCs w:val="22"/>
          <w:lang w:val="es-ES"/>
        </w:rPr>
        <w:t xml:space="preserve"> inscritas en el registro del ayuntamiento) y/o a las personas beneficiarias/solicitantes en el caso de que la ficha o cuota la hayan pagado total o parcialmente, por el importe de la ayuda con el máximo del importe efectivamente pagado, (si queda por pagar parte de la ayuda, esta parte se pagará al proveedor) mediante la fórmula de transferencia bancaria, de forma preferente.</w:t>
      </w:r>
    </w:p>
    <w:p w:rsidR="00C82EC4" w:rsidRPr="00C82EC4" w:rsidRDefault="00C82EC4" w:rsidP="00C82EC4">
      <w:pPr>
        <w:spacing w:before="93" w:line="240" w:lineRule="auto"/>
        <w:ind w:right="211"/>
        <w:jc w:val="both"/>
        <w:rPr>
          <w:rFonts w:cs="Arial"/>
          <w:szCs w:val="22"/>
          <w:lang w:val="es-ES"/>
        </w:rPr>
      </w:pPr>
      <w:r w:rsidRPr="00C82EC4">
        <w:rPr>
          <w:rFonts w:cs="Arial"/>
          <w:szCs w:val="22"/>
          <w:lang w:val="es-ES"/>
        </w:rPr>
        <w:t>El proveedor de la prestación justificará a este ayuntamiento, acreditando la satisfacción de la ayuda repercutida en la persona interesada o beneficiaria.</w:t>
      </w:r>
    </w:p>
    <w:p w:rsidR="00C82EC4" w:rsidRDefault="00C82EC4" w:rsidP="00C82EC4">
      <w:pPr>
        <w:spacing w:before="93" w:line="240" w:lineRule="auto"/>
        <w:ind w:right="211"/>
        <w:jc w:val="both"/>
        <w:rPr>
          <w:rFonts w:cs="Arial"/>
          <w:szCs w:val="22"/>
        </w:rPr>
      </w:pPr>
      <w:r w:rsidRPr="00C82EC4">
        <w:rPr>
          <w:rFonts w:cs="Arial"/>
          <w:szCs w:val="22"/>
        </w:rPr>
        <w:t> </w:t>
      </w:r>
    </w:p>
    <w:p w:rsidR="00C82EC4" w:rsidRDefault="00C82EC4" w:rsidP="00C82EC4">
      <w:pPr>
        <w:spacing w:before="93" w:line="240" w:lineRule="auto"/>
        <w:ind w:right="211"/>
        <w:jc w:val="both"/>
        <w:rPr>
          <w:rFonts w:cs="Arial"/>
          <w:szCs w:val="22"/>
        </w:rPr>
      </w:pPr>
    </w:p>
    <w:p w:rsidR="00C82EC4" w:rsidRPr="00C82EC4" w:rsidRDefault="00C82EC4" w:rsidP="00C82EC4">
      <w:pPr>
        <w:spacing w:before="93" w:line="240" w:lineRule="auto"/>
        <w:ind w:right="211"/>
        <w:jc w:val="both"/>
        <w:rPr>
          <w:rFonts w:cs="Arial"/>
          <w:szCs w:val="22"/>
          <w:lang w:val="es-ES"/>
        </w:rPr>
      </w:pPr>
    </w:p>
    <w:p w:rsidR="00C82EC4" w:rsidRPr="00C82EC4" w:rsidRDefault="00C82EC4" w:rsidP="00C82EC4">
      <w:pPr>
        <w:spacing w:before="93" w:line="240" w:lineRule="auto"/>
        <w:ind w:right="211"/>
        <w:jc w:val="center"/>
        <w:rPr>
          <w:rFonts w:cs="Arial"/>
          <w:szCs w:val="22"/>
          <w:lang w:val="es-ES"/>
        </w:rPr>
      </w:pPr>
      <w:r w:rsidRPr="00C82EC4">
        <w:rPr>
          <w:rFonts w:cs="Arial"/>
          <w:szCs w:val="22"/>
          <w:lang w:val="es-ES"/>
        </w:rPr>
        <w:t>Doc</w:t>
      </w:r>
      <w:r>
        <w:rPr>
          <w:rFonts w:cs="Arial"/>
          <w:szCs w:val="22"/>
          <w:lang w:val="es-ES"/>
        </w:rPr>
        <w:t>umento firmado electrónicamente</w:t>
      </w:r>
    </w:p>
    <w:p w:rsidR="00CD411A" w:rsidRPr="006373FD" w:rsidRDefault="00CD411A" w:rsidP="00C82EC4">
      <w:pPr>
        <w:pStyle w:val="Default"/>
        <w:jc w:val="both"/>
        <w:rPr>
          <w:rFonts w:cs="Arial"/>
          <w:szCs w:val="22"/>
        </w:rPr>
      </w:pPr>
    </w:p>
    <w:sectPr w:rsidR="00CD411A" w:rsidRPr="006373FD" w:rsidSect="00DA69BE">
      <w:headerReference w:type="default" r:id="rId9"/>
      <w:footerReference w:type="even" r:id="rId10"/>
      <w:footerReference w:type="default" r:id="rId11"/>
      <w:headerReference w:type="first" r:id="rId12"/>
      <w:pgSz w:w="11907" w:h="16840" w:code="9"/>
      <w:pgMar w:top="1418" w:right="1191" w:bottom="1418" w:left="1418"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F35" w:rsidRDefault="00DD3F35">
      <w:r>
        <w:separator/>
      </w:r>
    </w:p>
  </w:endnote>
  <w:endnote w:type="continuationSeparator" w:id="0">
    <w:p w:rsidR="00DD3F35" w:rsidRDefault="00DD3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80B" w:rsidRDefault="004A780B"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5373C6" w:rsidP="004A780B">
    <w:pPr>
      <w:pStyle w:val="Piedepgina"/>
      <w:ind w:right="360" w:firstLine="360"/>
      <w:jc w:val="center"/>
    </w:pPr>
    <w:r>
      <w:rPr>
        <w:noProof/>
        <w:lang w:val="es-ES"/>
      </w:rPr>
      <w:drawing>
        <wp:inline distT="0" distB="0" distL="0" distR="0">
          <wp:extent cx="5581650" cy="104775"/>
          <wp:effectExtent l="0" t="0" r="0" b="0"/>
          <wp:docPr id="3" name="Imagen 3"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rsidR="00CD411A" w:rsidRDefault="00CD411A">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F35" w:rsidRDefault="00DD3F35">
      <w:r>
        <w:separator/>
      </w:r>
    </w:p>
  </w:footnote>
  <w:footnote w:type="continuationSeparator" w:id="0">
    <w:p w:rsidR="00DD3F35" w:rsidRDefault="00DD3F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5373C6">
    <w:pPr>
      <w:pStyle w:val="Encabezado"/>
    </w:pPr>
    <w:r>
      <w:rPr>
        <w:noProof/>
        <w:lang w:val="es-ES" w:eastAsia="es-ES"/>
      </w:rPr>
      <mc:AlternateContent>
        <mc:Choice Requires="wps">
          <w:drawing>
            <wp:anchor distT="0" distB="0" distL="114300" distR="114300" simplePos="0" relativeHeight="251656192" behindDoc="0" locked="0" layoutInCell="0" allowOverlap="1">
              <wp:simplePos x="0" y="0"/>
              <wp:positionH relativeFrom="column">
                <wp:posOffset>-598170</wp:posOffset>
              </wp:positionH>
              <wp:positionV relativeFrom="paragraph">
                <wp:posOffset>-69850</wp:posOffset>
              </wp:positionV>
              <wp:extent cx="2593340" cy="5715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411A" w:rsidRDefault="005373C6">
                          <w:pPr>
                            <w:pStyle w:val="Encabezado"/>
                          </w:pPr>
                          <w:r>
                            <w:rPr>
                              <w:noProof/>
                              <w:lang w:val="es-ES" w:eastAsia="es-ES"/>
                            </w:rPr>
                            <w:drawing>
                              <wp:inline distT="0" distB="0" distL="0" distR="0">
                                <wp:extent cx="2305050" cy="428625"/>
                                <wp:effectExtent l="0" t="0" r="0" b="0"/>
                                <wp:docPr id="7"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1" o:spid="_x0000_s1026" type="#_x0000_t202" style="position:absolute;margin-left:-47.1pt;margin-top:-5.5pt;width:204.2pt;height: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zo+hAIAAA8FAAAOAAAAZHJzL2Uyb0RvYy54bWysVNtu3CAQfa/Uf0C8b3yJnV1b8Ua5dKtK&#10;6UVK+gEs4DUqBgrs2mnUf++As5tNL1JV1Q8YmOEwM+cM5xdjL9GOWye0anB2kmLEFdVMqE2DP9+v&#10;ZguMnCeKEakVb/ADd/hi+frV+WBqnutOS8YtAhDl6sE0uPPe1EniaMd74k604QqMrbY98bC0m4RZ&#10;MgB6L5M8Tc+SQVtmrKbcOdi9mYx4GfHbllP/sW0d90g2GGLzcbRxXIcxWZ6TemOJ6QR9CoP8QxQ9&#10;EQouPUDdEE/Q1opfoHpBrXa69SdU94luW0F5zAGyydKfsrnriOExFyiOM4cyuf8HSz/sPlkkWINz&#10;jBTpgaJ7Pnp0pUeUheoMxtXgdGfAzY+wDSzHTJ251fSLQ0pfd0Rt+KW1eug4YRBdPJkcHZ1wXABZ&#10;D+81g2vI1usINLa2D6WDYiBAB5YeDsyEUChs5mV1elqAiYKtnGdlGqlLSL0/bazzb7nuUZg02ALz&#10;EZ3sbp2HPMB17xIuc1oKthJSxoXdrK+lRTsCKlnFL6QOR164SRWclQ7HJvO0A0HCHcEWwo2sP1ZZ&#10;XqRXeTVbnS3ms2JVlLNqni5maVZdVWdpURU3q+8hwKyoO8EYV7dC8b0Cs+LvGH7qhUk7UYNoaHBV&#10;5uVE0R+TTOP3uyR74aEhpegbvDg4kToQ+0YxSJvUngg5zZOX4ceSQQ32/1iVKIPA/KQBP65HQAna&#10;WGv2AIKwGvgCauEVgUmn7TeMBujIBruvW2I5RvKdAlFVWREU4OOiKOc5LOyxZX1sIYoCVIM9RtP0&#10;2k9tvzVWbDq4aZKx0pcgxFZEjTxHBSmEBXRdTObphQhtfbyOXs/v2PIHAAAA//8DAFBLAwQUAAYA&#10;CAAAACEAVU1GFd4AAAAKAQAADwAAAGRycy9kb3ducmV2LnhtbEyPQU+DQBCF7yb+h82YeDHtQq1F&#10;kKVRE43X1v6AAaZAZGcJuy303zs96W1m3sub7+Xb2fbqTKPvHBuIlxEo4srVHTcGDt8fi2dQPiDX&#10;2DsmAxfysC1ub3LMajfxjs770CgJYZ+hgTaEIdPaVy1Z9Es3EIt2dKPFIOvY6HrEScJtr1dRtNEW&#10;O5YPLQ703lL1sz9ZA8ev6eEpncrPcEh2680bdknpLsbc382vL6ACzeHPDFd8QYdCmEp34tqr3sAi&#10;Xa/EKkMcSylxPMbXS2kgSSPQRa7/Vyh+AQAA//8DAFBLAQItABQABgAIAAAAIQC2gziS/gAAAOEB&#10;AAATAAAAAAAAAAAAAAAAAAAAAABbQ29udGVudF9UeXBlc10ueG1sUEsBAi0AFAAGAAgAAAAhADj9&#10;If/WAAAAlAEAAAsAAAAAAAAAAAAAAAAALwEAAF9yZWxzLy5yZWxzUEsBAi0AFAAGAAgAAAAhAEFP&#10;Oj6EAgAADwUAAA4AAAAAAAAAAAAAAAAALgIAAGRycy9lMm9Eb2MueG1sUEsBAi0AFAAGAAgAAAAh&#10;AFVNRhXeAAAACgEAAA8AAAAAAAAAAAAAAAAA3gQAAGRycy9kb3ducmV2LnhtbFBLBQYAAAAABAAE&#10;APMAAADpBQAAAAA=&#10;" o:allowincell="f" stroked="f">
              <v:textbox>
                <w:txbxContent>
                  <w:p w:rsidR="00CD411A" w:rsidRDefault="005373C6">
                    <w:pPr>
                      <w:pStyle w:val="Encabezado"/>
                    </w:pPr>
                    <w:r>
                      <w:rPr>
                        <w:noProof/>
                        <w:lang w:val="es-ES" w:eastAsia="es-ES"/>
                      </w:rPr>
                      <w:drawing>
                        <wp:inline distT="0" distB="0" distL="0" distR="0">
                          <wp:extent cx="2305050" cy="428625"/>
                          <wp:effectExtent l="0" t="0" r="0" b="0"/>
                          <wp:docPr id="7"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5373C6">
    <w:pPr>
      <w:pStyle w:val="Encabezado"/>
    </w:pPr>
    <w:r>
      <w:rPr>
        <w:noProof/>
        <w:lang w:val="es-ES" w:eastAsia="es-ES"/>
      </w:rPr>
      <mc:AlternateContent>
        <mc:Choice Requires="wps">
          <w:drawing>
            <wp:anchor distT="0" distB="0" distL="114300" distR="114300" simplePos="0" relativeHeight="251657216" behindDoc="0" locked="0" layoutInCell="0" allowOverlap="1">
              <wp:simplePos x="0" y="0"/>
              <wp:positionH relativeFrom="column">
                <wp:posOffset>-600710</wp:posOffset>
              </wp:positionH>
              <wp:positionV relativeFrom="paragraph">
                <wp:posOffset>-74295</wp:posOffset>
              </wp:positionV>
              <wp:extent cx="2832735" cy="5511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411A" w:rsidRDefault="005373C6">
                          <w:pPr>
                            <w:pStyle w:val="Encabezado"/>
                          </w:pPr>
                          <w:r>
                            <w:rPr>
                              <w:noProof/>
                              <w:lang w:val="es-ES" w:eastAsia="es-ES"/>
                            </w:rPr>
                            <w:drawing>
                              <wp:inline distT="0" distB="0" distL="0" distR="0">
                                <wp:extent cx="2305050" cy="428625"/>
                                <wp:effectExtent l="0" t="0" r="0" b="0"/>
                                <wp:docPr id="6"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7" type="#_x0000_t202" style="position:absolute;margin-left:-47.3pt;margin-top:-5.85pt;width:223.05pt;height:4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FJiAIAABYFAAAOAAAAZHJzL2Uyb0RvYy54bWysVMlu2zAQvRfoPxC8O1oixZZgOYiTuiiQ&#10;LkDSD6ApyiJKkSxJW0qD/nuHlO2oy6EoqoPEZfj4Zt4bLa+HTqADM5YrWeHkIsaISapqLncV/vy4&#10;mS0wso7ImgglWYWfmMXXq9evlr0uWapaJWpmEIBIW/a6wq1zuowiS1vWEXuhNJOw2SjTEQdTs4tq&#10;Q3pA70SUxvFV1CtTa6MosxZW78ZNvAr4TcOo+9g0ljkkKgzcXHib8N76d7RaknJniG45PdIg/8Ci&#10;I1zCpWeoO+II2hv+G1THqVFWNe6Cqi5STcMpCzlANkn8SzYPLdEs5ALFsfpcJvv/YOmHwyeDeA3a&#10;YSRJBxI9ssGhtRpQ6qvTa1tC0IOGMDfAso/0mVp9r+gXi6S6bYncsRtjVN8yUgO7xJ+MJkdHHOtB&#10;tv17VcM1ZO9UABoa03lAKAYCdFDp6ayMp0JhMV1cpvPLHCMKe3meJIsgXUTK02ltrHvLVIf8oMIG&#10;lA/o5HBvnWdDylNIYK8ErzdciDAxu+2tMOhAwCWb8IQEIMlpmJA+WCp/bEQcV4Ak3OH3PN2g+nOR&#10;pFm8TovZ5moxn2WbLJ8V83gxi5NiXVzFWZHdbb57gklWtryumbznkp0cmGR/p/CxF0bvBA+ivsJF&#10;nuajRFP2dppkHJ4/JdlxBw0peFfhxTmIlF7YN7KGtEnpCBfjOPqZfqgy1OD0DVUJNvDKjx5ww3Y4&#10;+g3AvEW2qn4CXxgFsoH48DOBQavMN4x6aMwK2697YhhG4p0EbxVJlvlODpMsn6cwMdOd7XSHSApQ&#10;FXYYjcNbN3b/Xhu+a+Gm0c1S3YAfGx6s8sLq6GJovpDT8Ufhu3s6D1Evv7PVDwAAAP//AwBQSwME&#10;FAAGAAgAAAAhAEJVMCzfAAAACgEAAA8AAABkcnMvZG93bnJldi54bWxMj8FOg0AQhu8mvsNmmngx&#10;7bJawCJLoyYar619gAWmQMrOEnZb6Ns7nuxtJvPln+/Pt7PtxQVH3znSoFYRCKTK1R01Gg4/n8sX&#10;ED4Yqk3vCDVc0cO2uL/LTVa7iXZ42YdGcAj5zGhoQxgyKX3VojV+5QYkvh3daE3gdWxkPZqJw20v&#10;n6IokdZ0xB9aM+BHi9Vpf7Yajt/TY7yZyq9wSHfr5N10aemuWj8s5rdXEAHn8A/Dnz6rQ8FOpTtT&#10;7UWvYblZJ4zyoFQKgonnWMUgSg1prEAWubytUPwCAAD//wMAUEsBAi0AFAAGAAgAAAAhALaDOJL+&#10;AAAA4QEAABMAAAAAAAAAAAAAAAAAAAAAAFtDb250ZW50X1R5cGVzXS54bWxQSwECLQAUAAYACAAA&#10;ACEAOP0h/9YAAACUAQAACwAAAAAAAAAAAAAAAAAvAQAAX3JlbHMvLnJlbHNQSwECLQAUAAYACAAA&#10;ACEAG5GRSYgCAAAWBQAADgAAAAAAAAAAAAAAAAAuAgAAZHJzL2Uyb0RvYy54bWxQSwECLQAUAAYA&#10;CAAAACEAQlUwLN8AAAAKAQAADwAAAAAAAAAAAAAAAADiBAAAZHJzL2Rvd25yZXYueG1sUEsFBgAA&#10;AAAEAAQA8wAAAO4FAAAAAA==&#10;" o:allowincell="f" stroked="f">
              <v:textbox>
                <w:txbxContent>
                  <w:p w:rsidR="00CD411A" w:rsidRDefault="005373C6">
                    <w:pPr>
                      <w:pStyle w:val="Encabezado"/>
                    </w:pPr>
                    <w:r>
                      <w:rPr>
                        <w:noProof/>
                        <w:lang w:val="es-ES" w:eastAsia="es-ES"/>
                      </w:rPr>
                      <w:drawing>
                        <wp:inline distT="0" distB="0" distL="0" distR="0">
                          <wp:extent cx="2305050" cy="428625"/>
                          <wp:effectExtent l="0" t="0" r="0" b="0"/>
                          <wp:docPr id="6"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 w15:restartNumberingAfterBreak="0">
    <w:nsid w:val="14B87AAD"/>
    <w:multiLevelType w:val="hybridMultilevel"/>
    <w:tmpl w:val="92A8B938"/>
    <w:lvl w:ilvl="0" w:tplc="321CEC66">
      <w:start w:val="1"/>
      <w:numFmt w:val="lowerLetter"/>
      <w:lvlText w:val="%1)"/>
      <w:lvlJc w:val="left"/>
      <w:pPr>
        <w:ind w:left="720" w:hanging="360"/>
      </w:pPr>
      <w:rPr>
        <w:rFonts w:ascii="Arial" w:eastAsia="Times New Roman"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4" w15:restartNumberingAfterBreak="0">
    <w:nsid w:val="24C95E3C"/>
    <w:multiLevelType w:val="hybridMultilevel"/>
    <w:tmpl w:val="3BAE01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4346B02"/>
    <w:multiLevelType w:val="hybridMultilevel"/>
    <w:tmpl w:val="C540B30A"/>
    <w:lvl w:ilvl="0" w:tplc="5AB43A1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15:restartNumberingAfterBreak="0">
    <w:nsid w:val="3DFD4694"/>
    <w:multiLevelType w:val="hybridMultilevel"/>
    <w:tmpl w:val="C4489B76"/>
    <w:lvl w:ilvl="0" w:tplc="62D4BE3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9"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A8315F0"/>
    <w:multiLevelType w:val="hybridMultilevel"/>
    <w:tmpl w:val="6B02B0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4" w15:restartNumberingAfterBreak="0">
    <w:nsid w:val="64AD09AA"/>
    <w:multiLevelType w:val="hybridMultilevel"/>
    <w:tmpl w:val="39CEF4CC"/>
    <w:lvl w:ilvl="0" w:tplc="AF5AA458">
      <w:start w:val="2"/>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68247271"/>
    <w:multiLevelType w:val="hybridMultilevel"/>
    <w:tmpl w:val="167C11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18" w15:restartNumberingAfterBreak="0">
    <w:nsid w:val="6FCF2A34"/>
    <w:multiLevelType w:val="hybridMultilevel"/>
    <w:tmpl w:val="FECEA84E"/>
    <w:lvl w:ilvl="0" w:tplc="3B1E6F16">
      <w:start w:val="2"/>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5A169D7"/>
    <w:multiLevelType w:val="hybridMultilevel"/>
    <w:tmpl w:val="CADE6400"/>
    <w:lvl w:ilvl="0" w:tplc="9D10DC8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0241EC"/>
    <w:multiLevelType w:val="hybridMultilevel"/>
    <w:tmpl w:val="640A6B2A"/>
    <w:lvl w:ilvl="0" w:tplc="DA3CB23E">
      <w:start w:val="6"/>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7E98558F"/>
    <w:multiLevelType w:val="hybridMultilevel"/>
    <w:tmpl w:val="5CEC4712"/>
    <w:lvl w:ilvl="0" w:tplc="351E0662">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2"/>
  </w:num>
  <w:num w:numId="4">
    <w:abstractNumId w:val="2"/>
  </w:num>
  <w:num w:numId="5">
    <w:abstractNumId w:val="10"/>
  </w:num>
  <w:num w:numId="6">
    <w:abstractNumId w:val="5"/>
  </w:num>
  <w:num w:numId="7">
    <w:abstractNumId w:val="9"/>
  </w:num>
  <w:num w:numId="8">
    <w:abstractNumId w:val="19"/>
  </w:num>
  <w:num w:numId="9">
    <w:abstractNumId w:val="8"/>
  </w:num>
  <w:num w:numId="10">
    <w:abstractNumId w:val="0"/>
  </w:num>
  <w:num w:numId="11">
    <w:abstractNumId w:val="3"/>
  </w:num>
  <w:num w:numId="12">
    <w:abstractNumId w:val="17"/>
  </w:num>
  <w:num w:numId="13">
    <w:abstractNumId w:val="20"/>
  </w:num>
  <w:num w:numId="14">
    <w:abstractNumId w:val="15"/>
  </w:num>
  <w:num w:numId="15">
    <w:abstractNumId w:val="1"/>
  </w:num>
  <w:num w:numId="16">
    <w:abstractNumId w:val="6"/>
  </w:num>
  <w:num w:numId="17">
    <w:abstractNumId w:val="4"/>
  </w:num>
  <w:num w:numId="18">
    <w:abstractNumId w:val="11"/>
  </w:num>
  <w:num w:numId="19">
    <w:abstractNumId w:val="21"/>
  </w:num>
  <w:num w:numId="20">
    <w:abstractNumId w:val="7"/>
  </w:num>
  <w:num w:numId="21">
    <w:abstractNumId w:val="18"/>
  </w:num>
  <w:num w:numId="22">
    <w:abstractNumId w:val="1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1287B"/>
    <w:rsid w:val="00040740"/>
    <w:rsid w:val="000B5D93"/>
    <w:rsid w:val="000D4BEA"/>
    <w:rsid w:val="000D6057"/>
    <w:rsid w:val="000F6D0A"/>
    <w:rsid w:val="00104CA5"/>
    <w:rsid w:val="00124369"/>
    <w:rsid w:val="0012658B"/>
    <w:rsid w:val="00130867"/>
    <w:rsid w:val="001318E6"/>
    <w:rsid w:val="00142988"/>
    <w:rsid w:val="00153BA7"/>
    <w:rsid w:val="001B0E09"/>
    <w:rsid w:val="001F616F"/>
    <w:rsid w:val="00252A23"/>
    <w:rsid w:val="0027224F"/>
    <w:rsid w:val="002D5D4E"/>
    <w:rsid w:val="002E6C26"/>
    <w:rsid w:val="00304049"/>
    <w:rsid w:val="00305064"/>
    <w:rsid w:val="0031641E"/>
    <w:rsid w:val="00357A47"/>
    <w:rsid w:val="00380F8B"/>
    <w:rsid w:val="00381436"/>
    <w:rsid w:val="00390D58"/>
    <w:rsid w:val="003D5BA5"/>
    <w:rsid w:val="004327C6"/>
    <w:rsid w:val="004365F5"/>
    <w:rsid w:val="00451E80"/>
    <w:rsid w:val="00484AA8"/>
    <w:rsid w:val="0048662A"/>
    <w:rsid w:val="00486763"/>
    <w:rsid w:val="00497B64"/>
    <w:rsid w:val="004A780B"/>
    <w:rsid w:val="004B243E"/>
    <w:rsid w:val="004D6865"/>
    <w:rsid w:val="00523735"/>
    <w:rsid w:val="005373C6"/>
    <w:rsid w:val="0055776D"/>
    <w:rsid w:val="005A1A92"/>
    <w:rsid w:val="005E3148"/>
    <w:rsid w:val="005F06E4"/>
    <w:rsid w:val="005F5437"/>
    <w:rsid w:val="00601197"/>
    <w:rsid w:val="00626B40"/>
    <w:rsid w:val="00634E08"/>
    <w:rsid w:val="006373FD"/>
    <w:rsid w:val="00640516"/>
    <w:rsid w:val="006409B7"/>
    <w:rsid w:val="00644871"/>
    <w:rsid w:val="006652B9"/>
    <w:rsid w:val="00690620"/>
    <w:rsid w:val="006B37A6"/>
    <w:rsid w:val="006D1207"/>
    <w:rsid w:val="007074FB"/>
    <w:rsid w:val="00725A63"/>
    <w:rsid w:val="00736212"/>
    <w:rsid w:val="00773E9A"/>
    <w:rsid w:val="00783C80"/>
    <w:rsid w:val="007A2708"/>
    <w:rsid w:val="00817C41"/>
    <w:rsid w:val="008359E3"/>
    <w:rsid w:val="00890398"/>
    <w:rsid w:val="008D3F70"/>
    <w:rsid w:val="008E61FF"/>
    <w:rsid w:val="00900B7E"/>
    <w:rsid w:val="00937A74"/>
    <w:rsid w:val="0096128E"/>
    <w:rsid w:val="009A0952"/>
    <w:rsid w:val="009C394D"/>
    <w:rsid w:val="009E1E84"/>
    <w:rsid w:val="009E339C"/>
    <w:rsid w:val="00A278A7"/>
    <w:rsid w:val="00AB04A1"/>
    <w:rsid w:val="00AC185C"/>
    <w:rsid w:val="00AF6D24"/>
    <w:rsid w:val="00B43ED4"/>
    <w:rsid w:val="00B62601"/>
    <w:rsid w:val="00B852CA"/>
    <w:rsid w:val="00BB62BC"/>
    <w:rsid w:val="00BD062B"/>
    <w:rsid w:val="00BD2435"/>
    <w:rsid w:val="00BF47F4"/>
    <w:rsid w:val="00C32B06"/>
    <w:rsid w:val="00C36A02"/>
    <w:rsid w:val="00C53121"/>
    <w:rsid w:val="00C82EC4"/>
    <w:rsid w:val="00C84BA5"/>
    <w:rsid w:val="00C8793C"/>
    <w:rsid w:val="00C87977"/>
    <w:rsid w:val="00CC143A"/>
    <w:rsid w:val="00CD411A"/>
    <w:rsid w:val="00CD5E5A"/>
    <w:rsid w:val="00CD74F7"/>
    <w:rsid w:val="00D27275"/>
    <w:rsid w:val="00D32947"/>
    <w:rsid w:val="00D36E4F"/>
    <w:rsid w:val="00DA69BE"/>
    <w:rsid w:val="00DB7484"/>
    <w:rsid w:val="00DD3F35"/>
    <w:rsid w:val="00DD41E8"/>
    <w:rsid w:val="00E00F17"/>
    <w:rsid w:val="00E51B0F"/>
    <w:rsid w:val="00F15E2C"/>
    <w:rsid w:val="00F609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208B49E-62EB-45AC-B3BD-14ACE388A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lang w:val="ca-ES"/>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unhideWhenUsed/>
    <w:qFormat/>
    <w:rsid w:val="006373FD"/>
    <w:pPr>
      <w:spacing w:before="240" w:after="60"/>
      <w:outlineLvl w:val="5"/>
    </w:pPr>
    <w:rPr>
      <w:rFonts w:ascii="Calibri" w:hAnsi="Calibri"/>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s-ES"/>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1"/>
    <w:qFormat/>
    <w:rsid w:val="0096128E"/>
    <w:pPr>
      <w:ind w:left="708"/>
    </w:pPr>
  </w:style>
  <w:style w:type="character" w:customStyle="1" w:styleId="Ttulo6Car">
    <w:name w:val="Título 6 Car"/>
    <w:link w:val="Ttulo6"/>
    <w:rsid w:val="006373FD"/>
    <w:rPr>
      <w:rFonts w:ascii="Calibri" w:eastAsia="Times New Roman" w:hAnsi="Calibri" w:cs="Times New Roman"/>
      <w:b/>
      <w:bCs/>
      <w:sz w:val="22"/>
      <w:szCs w:val="22"/>
      <w:lang w:val="ca-ES"/>
    </w:rPr>
  </w:style>
  <w:style w:type="character" w:customStyle="1" w:styleId="TextoindependienteCar">
    <w:name w:val="Texto independiente Car"/>
    <w:basedOn w:val="Fuentedeprrafopredeter"/>
    <w:link w:val="Textoindependiente"/>
    <w:rsid w:val="00C32B06"/>
    <w:rPr>
      <w:rFonts w:ascii="Arial" w:hAnsi="Arial"/>
      <w:sz w:val="24"/>
      <w:lang w:val="ca-ES"/>
    </w:rPr>
  </w:style>
  <w:style w:type="table" w:styleId="Tablaconcuadrcula">
    <w:name w:val="Table Grid"/>
    <w:basedOn w:val="Tablanormal"/>
    <w:rsid w:val="00380F8B"/>
    <w:rPr>
      <w:lang w:val="ca-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9E1E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267736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taprevia.ubintia.com/sentmen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ntmenat.eadministracio.cat"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2450</Words>
  <Characters>13477</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15896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dc:description/>
  <cp:lastModifiedBy>Vanessa Castell Fuster</cp:lastModifiedBy>
  <cp:revision>2</cp:revision>
  <cp:lastPrinted>2007-02-20T08:22:00Z</cp:lastPrinted>
  <dcterms:created xsi:type="dcterms:W3CDTF">2022-09-13T06:31:00Z</dcterms:created>
  <dcterms:modified xsi:type="dcterms:W3CDTF">2022-09-13T06:31:00Z</dcterms:modified>
</cp:coreProperties>
</file>