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Noto Sans" w:hAnsi="Noto Sans"/>
          <w:sz w:val="21"/>
          <w:szCs w:val="21"/>
        </w:rPr>
      </w:pPr>
      <w:r>
        <w:rPr>
          <w:rFonts w:eastAsia="Source Han Sans CN Regular" w:cs="Lohit Devanagari" w:ascii="Noto Sans" w:hAnsi="Noto Sans"/>
          <w:color w:val="auto"/>
          <w:kern w:val="2"/>
          <w:sz w:val="21"/>
          <w:szCs w:val="21"/>
          <w:lang w:val="gl-ES" w:eastAsia="zh-CN" w:bidi="hi-IN"/>
        </w:rPr>
        <w:t>BASES REGULADORAS PARA A CONCESIÓN DE AXUDAS DESTINADAS Á ADQUISICIÓN DE DISPOSITIVOS ELECTRÓNICOS, MATERIAL ESCOLAR E ROUPA E MATERIAL DEPORTIVO PARA O ALUMNADO DE EDUCACIÓN INFANTIL E ENSINO OBRIGATORIO, NO CURSO ESCOLAR 2022-23</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Polo acordo adoptado polo Pleno do Concello, na súa sesión do día 26/09/2013, sobre a Ordenanza reguladora de subvencións do Concello de Rianxo e publicado no Boletín Oficial da Provincia núm. 234 do 10/12/2013, regúlanse as bases da convocatoria do procedemento en réxime de concorrencia competitiva para a concesión de axudas destinadas á adquisición de dispositivos electrónicos, material escolar e roupa e material deportivo para o alumnado de Educación Infantil e ensino obrigatorio (Primaria e Secundaria), no curso escolar 2022-2023.</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ARTIGO 1. OBXECTO DA CONVOCATORIA</w:t>
      </w:r>
    </w:p>
    <w:p>
      <w:pPr>
        <w:pStyle w:val="Cuerpodetexto"/>
        <w:rPr>
          <w:rFonts w:ascii="Noto Sans" w:hAnsi="Noto Sans"/>
          <w:sz w:val="21"/>
          <w:szCs w:val="21"/>
        </w:rPr>
      </w:pPr>
      <w:r>
        <w:rPr>
          <w:rFonts w:ascii="Noto Sans" w:hAnsi="Noto Sans"/>
          <w:sz w:val="21"/>
          <w:szCs w:val="21"/>
        </w:rPr>
        <w:t>1. A igualdade de oportunidades ante o ensino é un dos retos principais que deben afrontar os poderes públicos para facer efectivo o dereito de todas as persoas á educación. Unha das medidas fundamentais é o establecemento dun sistema de bolsas e axudas que posibiliten o acceso aos estudos dos escolares empadroados no Concello de Rianxo.</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ARTIGO 2. TIPO DE AXUDAS</w:t>
      </w:r>
    </w:p>
    <w:p>
      <w:pPr>
        <w:pStyle w:val="Cuerpodetexto"/>
        <w:rPr>
          <w:rFonts w:ascii="Noto Sans" w:hAnsi="Noto Sans"/>
          <w:sz w:val="21"/>
          <w:szCs w:val="21"/>
        </w:rPr>
      </w:pPr>
      <w:r>
        <w:rPr>
          <w:rFonts w:ascii="Noto Sans" w:hAnsi="Noto Sans"/>
          <w:sz w:val="21"/>
          <w:szCs w:val="21"/>
        </w:rPr>
        <w:t xml:space="preserve">a) Dispositivos electrónicos e accesorios (ordenador, portátil, tableta, impresora, consumibles da impresora, altofalantes, micrófono, webcam, lapis de memoria): contía máxima da axuda por unidade familiar será do 75% do importe da factura presentada, sen que en ningún caso esta contía exceda  dos 300,00 €. </w:t>
      </w:r>
    </w:p>
    <w:p>
      <w:pPr>
        <w:pStyle w:val="Cuerpodetexto"/>
        <w:rPr>
          <w:rFonts w:ascii="Noto Sans" w:hAnsi="Noto Sans"/>
          <w:sz w:val="21"/>
          <w:szCs w:val="21"/>
        </w:rPr>
      </w:pPr>
      <w:r>
        <w:rPr>
          <w:rFonts w:ascii="Noto Sans" w:hAnsi="Noto Sans"/>
          <w:sz w:val="21"/>
          <w:szCs w:val="21"/>
        </w:rPr>
        <w:t xml:space="preserve">b) Material escolar: a contía máxima da axuda de 50,00 €. </w:t>
      </w:r>
    </w:p>
    <w:p>
      <w:pPr>
        <w:pStyle w:val="Cuerpodetexto"/>
        <w:rPr>
          <w:rFonts w:ascii="Noto Sans" w:hAnsi="Noto Sans"/>
          <w:sz w:val="21"/>
          <w:szCs w:val="21"/>
        </w:rPr>
      </w:pPr>
      <w:r>
        <w:rPr>
          <w:rFonts w:eastAsia="Times New Roman" w:cs="Liberation Sans;Arial" w:ascii="Noto Sans" w:hAnsi="Noto Sans"/>
          <w:b w:val="false"/>
          <w:bCs w:val="false"/>
          <w:color w:val="000000"/>
          <w:sz w:val="21"/>
          <w:szCs w:val="21"/>
        </w:rPr>
        <w:t>c) Roupa e material de</w:t>
      </w:r>
      <w:r>
        <w:rPr>
          <w:rFonts w:eastAsia="Times New Roman" w:cs="Liberation Sans;Arial" w:ascii="Noto Sans" w:hAnsi="Noto Sans"/>
          <w:b w:val="false"/>
          <w:bCs w:val="false"/>
          <w:color w:val="000000"/>
          <w:sz w:val="21"/>
          <w:szCs w:val="21"/>
          <w:highlight w:val="white"/>
        </w:rPr>
        <w:t>portivo: necesario para a actividade de educación física que realice no centro de ensino. A contía máxima da axuda de 75,00 €.</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ARTIGO 3. FINANCIACIÓN E PERÍODO SUBVENCIONABLE DAS AXUDAS</w:t>
      </w:r>
    </w:p>
    <w:p>
      <w:pPr>
        <w:pStyle w:val="Cuerpodetexto"/>
        <w:numPr>
          <w:ilvl w:val="0"/>
          <w:numId w:val="3"/>
        </w:numPr>
        <w:rPr>
          <w:rFonts w:ascii="Noto Sans" w:hAnsi="Noto Sans"/>
          <w:sz w:val="21"/>
          <w:szCs w:val="21"/>
        </w:rPr>
      </w:pPr>
      <w:r>
        <w:rPr>
          <w:rFonts w:ascii="Noto Sans" w:hAnsi="Noto Sans"/>
          <w:sz w:val="21"/>
          <w:szCs w:val="21"/>
        </w:rPr>
        <w:t>Para a concesión destas axudas, o concello de Rianxo,  destinará  un importe máximo  de 6.000,00€, con cargo ás aplicacións orzamentarias 231.48003 (material escolar e roupa e material deportivo) e 231.78000 (dispositivos electrónicos e accesorios).</w:t>
      </w:r>
    </w:p>
    <w:p>
      <w:pPr>
        <w:pStyle w:val="Cuerpodetexto"/>
        <w:numPr>
          <w:ilvl w:val="0"/>
          <w:numId w:val="4"/>
        </w:numPr>
        <w:rPr>
          <w:rFonts w:ascii="Noto Sans" w:hAnsi="Noto Sans"/>
          <w:sz w:val="21"/>
          <w:szCs w:val="21"/>
        </w:rPr>
      </w:pPr>
      <w:r>
        <w:rPr>
          <w:rFonts w:ascii="Noto Sans" w:hAnsi="Noto Sans"/>
          <w:sz w:val="21"/>
          <w:szCs w:val="21"/>
        </w:rPr>
        <w:t>231.48003: 3.000 €</w:t>
      </w:r>
    </w:p>
    <w:p>
      <w:pPr>
        <w:pStyle w:val="Cuerpodetexto"/>
        <w:numPr>
          <w:ilvl w:val="0"/>
          <w:numId w:val="4"/>
        </w:numPr>
        <w:rPr>
          <w:rFonts w:ascii="Noto Sans" w:hAnsi="Noto Sans"/>
          <w:sz w:val="21"/>
          <w:szCs w:val="21"/>
        </w:rPr>
      </w:pPr>
      <w:r>
        <w:rPr>
          <w:rFonts w:ascii="Noto Sans" w:hAnsi="Noto Sans"/>
          <w:sz w:val="21"/>
          <w:szCs w:val="21"/>
        </w:rPr>
        <w:t>231.78000: 3.000 €</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Esta distribución dos créditos por aplicacións orzamentarias ten carácter estimativo. Se, á vista das solicitudes, é preciso modificar a dita distribución e publicala nos mesmos medios que a convocatoria antes da resolución de concesión.</w:t>
      </w:r>
    </w:p>
    <w:p>
      <w:pPr>
        <w:pStyle w:val="Cuerpodetexto"/>
        <w:numPr>
          <w:ilvl w:val="0"/>
          <w:numId w:val="3"/>
        </w:numPr>
        <w:rPr>
          <w:rFonts w:ascii="Noto Sans" w:hAnsi="Noto Sans"/>
          <w:sz w:val="21"/>
          <w:szCs w:val="21"/>
        </w:rPr>
      </w:pPr>
      <w:r>
        <w:rPr>
          <w:rFonts w:ascii="Noto Sans" w:hAnsi="Noto Sans"/>
          <w:sz w:val="21"/>
          <w:szCs w:val="21"/>
        </w:rPr>
        <w:t xml:space="preserve">Establécese a posibilidade de incrementar o importe máximo desta convocatoria. Este incremento ven condicionado á existencia de crédito dispoñible para a mesma finalidade no Orzamento do 2022, ben como consecuencia dunha modificación orzamentaria ou por economías noutras convocatorias de axudas sociais, imputables no mesmo nivel de vinculación xurídica. Para que este importe adicional sexa efectivo, deberá aprobarse por Resolución da Alcaldía, tras as modificacións orzamentarias que procedan, antes da resolución de concesión. </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b w:val="false"/>
          <w:bCs w:val="false"/>
          <w:color w:val="000000"/>
          <w:sz w:val="21"/>
          <w:szCs w:val="21"/>
        </w:rPr>
        <w:br/>
      </w:r>
      <w:r>
        <w:rPr>
          <w:rFonts w:eastAsia="Times New Roman" w:cs="Liberation Sans;Arial" w:ascii="Noto Sans" w:hAnsi="Noto Sans"/>
          <w:b w:val="false"/>
          <w:bCs w:val="false"/>
          <w:caps/>
          <w:color w:val="000000"/>
          <w:sz w:val="21"/>
          <w:szCs w:val="21"/>
        </w:rPr>
        <w:t xml:space="preserve">Artigo 4. REQUISITOS </w:t>
      </w:r>
    </w:p>
    <w:p>
      <w:pPr>
        <w:pStyle w:val="Cuerpodetexto"/>
        <w:rPr>
          <w:rFonts w:ascii="Noto Sans" w:hAnsi="Noto Sans"/>
          <w:sz w:val="21"/>
          <w:szCs w:val="21"/>
        </w:rPr>
      </w:pPr>
      <w:r>
        <w:rPr>
          <w:rFonts w:eastAsia="Times New Roman" w:cs="Liberation Sans;Arial" w:ascii="Noto Sans" w:hAnsi="Noto Sans"/>
          <w:b w:val="false"/>
          <w:bCs w:val="false"/>
          <w:strike w:val="false"/>
          <w:dstrike w:val="false"/>
          <w:color w:val="000000"/>
          <w:sz w:val="21"/>
          <w:szCs w:val="21"/>
        </w:rPr>
        <w:t>1. As axudas destinaranse ao alumnado de educación infantil e ensino obrigator</w:t>
      </w:r>
      <w:r>
        <w:rPr>
          <w:rFonts w:eastAsia="Times New Roman" w:cs="Liberation Sans;Arial" w:ascii="Noto Sans" w:hAnsi="Noto Sans"/>
          <w:b w:val="false"/>
          <w:bCs w:val="false"/>
          <w:strike w:val="false"/>
          <w:dstrike w:val="false"/>
          <w:color w:val="000000"/>
          <w:sz w:val="21"/>
          <w:szCs w:val="21"/>
          <w:highlight w:val="white"/>
        </w:rPr>
        <w:t>io, o cal os recursos económicos da unidade familiar non superen o 1.5 IPREM. No caso de familias monoparentais,</w:t>
      </w:r>
      <w:r>
        <w:rPr>
          <w:rFonts w:eastAsia="Times New Roman" w:cs="Liberation Sans;Arial" w:ascii="Noto Sans" w:hAnsi="Noto Sans"/>
          <w:b w:val="false"/>
          <w:bCs w:val="false"/>
          <w:strike w:val="false"/>
          <w:dstrike w:val="false"/>
          <w:color w:val="000000"/>
          <w:sz w:val="21"/>
          <w:szCs w:val="21"/>
        </w:rPr>
        <w:t xml:space="preserve"> familias con algún menor con discapacidade e/ou familias con menores en s</w:t>
      </w:r>
      <w:r>
        <w:rPr>
          <w:rFonts w:eastAsia="Times New Roman" w:cs="Liberation Sans;Arial" w:ascii="Noto Sans" w:hAnsi="Noto Sans"/>
          <w:b w:val="false"/>
          <w:bCs w:val="false"/>
          <w:strike w:val="false"/>
          <w:dstrike w:val="false"/>
          <w:color w:val="000000"/>
          <w:sz w:val="21"/>
          <w:szCs w:val="21"/>
          <w:highlight w:val="white"/>
        </w:rPr>
        <w:t>ituación de</w:t>
      </w:r>
      <w:r>
        <w:rPr>
          <w:rFonts w:eastAsia="Times New Roman" w:cs="Liberation Sans;Arial" w:ascii="Noto Sans" w:hAnsi="Noto Sans"/>
          <w:b w:val="false"/>
          <w:bCs w:val="false"/>
          <w:strike w:val="false"/>
          <w:dstrike w:val="false"/>
          <w:color w:val="auto"/>
          <w:sz w:val="21"/>
          <w:szCs w:val="21"/>
          <w:highlight w:val="white"/>
        </w:rPr>
        <w:t xml:space="preserve"> violencia de xénero, este límite económico incrementarase un 10% na súa renda per cápita.</w:t>
      </w:r>
    </w:p>
    <w:p>
      <w:pPr>
        <w:pStyle w:val="Cuerpodetexto"/>
        <w:rPr>
          <w:rFonts w:ascii="Noto Sans" w:hAnsi="Noto Sans"/>
          <w:sz w:val="21"/>
          <w:szCs w:val="21"/>
        </w:rPr>
      </w:pPr>
      <w:r>
        <w:rPr>
          <w:rFonts w:ascii="Noto Sans" w:hAnsi="Noto Sans"/>
          <w:sz w:val="21"/>
          <w:szCs w:val="21"/>
        </w:rPr>
        <w:t>2. Que teñan a residencia e empadroamento real e efectivo no Concello de Rianxo.</w:t>
      </w:r>
    </w:p>
    <w:p>
      <w:pPr>
        <w:pStyle w:val="Cuerpodetexto"/>
        <w:rPr>
          <w:rFonts w:ascii="Noto Sans" w:hAnsi="Noto Sans"/>
          <w:sz w:val="21"/>
          <w:szCs w:val="21"/>
        </w:rPr>
      </w:pPr>
      <w:r>
        <w:rPr>
          <w:rFonts w:ascii="Noto Sans" w:hAnsi="Noto Sans"/>
          <w:sz w:val="21"/>
          <w:szCs w:val="21"/>
        </w:rPr>
        <w:t>3. Que no curso escolar 2022-2023 estean matriculados nun centro de ensino do Concello de Rianxo.</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b w:val="false"/>
          <w:bCs w:val="false"/>
          <w:strike w:val="false"/>
          <w:dstrike w:val="false"/>
          <w:color w:val="000000"/>
          <w:sz w:val="21"/>
          <w:szCs w:val="21"/>
        </w:rPr>
        <w:t xml:space="preserve">ARTIGO 5. </w:t>
      </w:r>
      <w:r>
        <w:rPr>
          <w:rFonts w:eastAsia="Times New Roman" w:cs="Liberation Sans;Arial" w:ascii="Noto Sans" w:hAnsi="Noto Sans"/>
          <w:b w:val="false"/>
          <w:bCs w:val="false"/>
          <w:caps/>
          <w:strike w:val="false"/>
          <w:dstrike w:val="false"/>
          <w:color w:val="000000"/>
          <w:sz w:val="21"/>
          <w:szCs w:val="21"/>
        </w:rPr>
        <w:t>Persoas destinatarias das axudas</w:t>
      </w:r>
      <w:r>
        <w:rPr>
          <w:rFonts w:eastAsia="Times New Roman" w:cs="Liberation Sans;Arial" w:ascii="Noto Sans" w:hAnsi="Noto Sans"/>
          <w:b w:val="false"/>
          <w:bCs w:val="false"/>
          <w:strike w:val="false"/>
          <w:dstrike w:val="false"/>
          <w:color w:val="000000"/>
          <w:sz w:val="21"/>
          <w:szCs w:val="21"/>
        </w:rPr>
        <w:t xml:space="preserve"> </w:t>
      </w:r>
    </w:p>
    <w:p>
      <w:pPr>
        <w:pStyle w:val="Cuerpodetexto"/>
        <w:rPr>
          <w:rFonts w:ascii="Noto Sans" w:hAnsi="Noto Sans"/>
          <w:sz w:val="21"/>
          <w:szCs w:val="21"/>
        </w:rPr>
      </w:pPr>
      <w:r>
        <w:rPr>
          <w:rFonts w:ascii="Noto Sans" w:hAnsi="Noto Sans"/>
          <w:sz w:val="21"/>
          <w:szCs w:val="21"/>
        </w:rPr>
        <w:t>1. O alumnado de infantil poderá acceder ás axudas de:</w:t>
      </w:r>
    </w:p>
    <w:p>
      <w:pPr>
        <w:pStyle w:val="Cuerpodetexto"/>
        <w:numPr>
          <w:ilvl w:val="0"/>
          <w:numId w:val="5"/>
        </w:numPr>
        <w:rPr>
          <w:rFonts w:ascii="Noto Sans" w:hAnsi="Noto Sans"/>
          <w:sz w:val="21"/>
          <w:szCs w:val="21"/>
        </w:rPr>
      </w:pPr>
      <w:r>
        <w:rPr>
          <w:rFonts w:ascii="Noto Sans" w:hAnsi="Noto Sans"/>
          <w:sz w:val="21"/>
          <w:szCs w:val="21"/>
        </w:rPr>
        <w:t>Material escolar</w:t>
      </w:r>
    </w:p>
    <w:p>
      <w:pPr>
        <w:pStyle w:val="Cuerpodetexto"/>
        <w:numPr>
          <w:ilvl w:val="0"/>
          <w:numId w:val="5"/>
        </w:numPr>
        <w:rPr>
          <w:rFonts w:ascii="Noto Sans" w:hAnsi="Noto Sans"/>
          <w:sz w:val="21"/>
          <w:szCs w:val="21"/>
        </w:rPr>
      </w:pPr>
      <w:r>
        <w:rPr>
          <w:rFonts w:ascii="Noto Sans" w:hAnsi="Noto Sans"/>
          <w:sz w:val="21"/>
          <w:szCs w:val="21"/>
        </w:rPr>
        <w:t>Roupa e material deportivo</w:t>
      </w:r>
    </w:p>
    <w:p>
      <w:pPr>
        <w:pStyle w:val="Cuerpodetexto"/>
        <w:rPr>
          <w:rFonts w:ascii="Noto Sans" w:hAnsi="Noto Sans"/>
          <w:sz w:val="21"/>
          <w:szCs w:val="21"/>
        </w:rPr>
      </w:pPr>
      <w:r>
        <w:rPr>
          <w:rFonts w:ascii="Noto Sans" w:hAnsi="Noto Sans"/>
          <w:sz w:val="21"/>
          <w:szCs w:val="21"/>
        </w:rPr>
        <w:t>2. O alumnado de ensino obrigatorio poderá acceder ás axudas de:</w:t>
      </w:r>
    </w:p>
    <w:p>
      <w:pPr>
        <w:pStyle w:val="Cuerpodetexto"/>
        <w:numPr>
          <w:ilvl w:val="0"/>
          <w:numId w:val="6"/>
        </w:numPr>
        <w:rPr>
          <w:rFonts w:ascii="Noto Sans" w:hAnsi="Noto Sans"/>
          <w:sz w:val="21"/>
          <w:szCs w:val="21"/>
        </w:rPr>
      </w:pPr>
      <w:r>
        <w:rPr>
          <w:rFonts w:ascii="Noto Sans" w:hAnsi="Noto Sans"/>
          <w:sz w:val="21"/>
          <w:szCs w:val="21"/>
        </w:rPr>
        <w:t>Dispositivos electrónicos e accesorios</w:t>
      </w:r>
    </w:p>
    <w:p>
      <w:pPr>
        <w:pStyle w:val="Cuerpodetexto"/>
        <w:numPr>
          <w:ilvl w:val="0"/>
          <w:numId w:val="6"/>
        </w:numPr>
        <w:rPr>
          <w:rFonts w:ascii="Noto Sans" w:hAnsi="Noto Sans"/>
          <w:sz w:val="21"/>
          <w:szCs w:val="21"/>
        </w:rPr>
      </w:pPr>
      <w:r>
        <w:rPr>
          <w:rFonts w:ascii="Noto Sans" w:hAnsi="Noto Sans"/>
          <w:sz w:val="21"/>
          <w:szCs w:val="21"/>
        </w:rPr>
        <w:t>Roupa e material deportivo</w:t>
      </w:r>
    </w:p>
    <w:p>
      <w:pPr>
        <w:pStyle w:val="Cuerpodetexto"/>
        <w:numPr>
          <w:ilvl w:val="0"/>
          <w:numId w:val="6"/>
        </w:numPr>
        <w:rPr>
          <w:rFonts w:ascii="Noto Sans" w:hAnsi="Noto Sans"/>
          <w:sz w:val="21"/>
          <w:szCs w:val="21"/>
        </w:rPr>
      </w:pPr>
      <w:r>
        <w:rPr>
          <w:rFonts w:ascii="Noto Sans" w:hAnsi="Noto Sans"/>
          <w:sz w:val="21"/>
          <w:szCs w:val="21"/>
        </w:rPr>
        <w:t>Material escolar</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ARTIGO 6. PRESENTACIÓN DE SOLICITUDES</w:t>
      </w:r>
    </w:p>
    <w:p>
      <w:pPr>
        <w:pStyle w:val="Cuerpodetexto"/>
        <w:rPr>
          <w:rFonts w:ascii="Noto Sans" w:hAnsi="Noto Sans"/>
          <w:sz w:val="21"/>
          <w:szCs w:val="21"/>
        </w:rPr>
      </w:pPr>
      <w:r>
        <w:rPr>
          <w:rFonts w:ascii="Noto Sans" w:hAnsi="Noto Sans"/>
          <w:sz w:val="21"/>
          <w:szCs w:val="21"/>
        </w:rPr>
        <w:t>1. Publicación</w:t>
      </w:r>
    </w:p>
    <w:p>
      <w:pPr>
        <w:pStyle w:val="Cuerpodetexto"/>
        <w:rPr/>
      </w:pPr>
      <w:r>
        <w:rPr>
          <w:rFonts w:eastAsia="Times New Roman" w:cs="Liberation Sans;Arial" w:ascii="Noto Sans" w:hAnsi="Noto Sans"/>
          <w:color w:val="000000"/>
          <w:sz w:val="21"/>
          <w:szCs w:val="21"/>
        </w:rPr>
        <w:t xml:space="preserve">A convocatoria para a concesión de axudas destinadas </w:t>
      </w:r>
      <w:r>
        <w:rPr>
          <w:rFonts w:eastAsia="Times New Roman" w:cs="Liberation Sans;Arial" w:ascii="Noto Sans" w:hAnsi="Noto Sans"/>
          <w:b w:val="false"/>
          <w:bCs w:val="false"/>
          <w:caps/>
          <w:strike w:val="false"/>
          <w:dstrike w:val="false"/>
          <w:color w:val="000000"/>
          <w:sz w:val="21"/>
          <w:szCs w:val="21"/>
        </w:rPr>
        <w:t>Á ADQUISICIÓN DE LIBROS DE TEXTO, MATERIAL ESCOLAR, E ROUPA E MATERIAL DEPORTIVO PARA O ALUMNADO DE EDUCACIÓN INFANTIL E ENSINO OBRIGATORIO</w:t>
      </w:r>
      <w:r>
        <w:rPr>
          <w:rFonts w:eastAsia="Times New Roman" w:cs="Liberation Sans;Arial" w:ascii="Noto Sans" w:hAnsi="Noto Sans"/>
          <w:b w:val="false"/>
          <w:bCs w:val="false"/>
          <w:caps w:val="false"/>
          <w:smallCaps w:val="false"/>
          <w:strike w:val="false"/>
          <w:dstrike w:val="false"/>
          <w:color w:val="000000"/>
          <w:sz w:val="21"/>
          <w:szCs w:val="21"/>
        </w:rPr>
        <w:t xml:space="preserve"> (educación primaria e educación secundaria), </w:t>
      </w:r>
      <w:r>
        <w:rPr>
          <w:rFonts w:eastAsia="Times New Roman" w:cs="Liberation Sans;Arial" w:ascii="Noto Sans" w:hAnsi="Noto Sans"/>
          <w:b w:val="false"/>
          <w:bCs w:val="false"/>
          <w:caps/>
          <w:strike w:val="false"/>
          <w:dstrike w:val="false"/>
          <w:color w:val="000000"/>
          <w:sz w:val="21"/>
          <w:szCs w:val="21"/>
        </w:rPr>
        <w:t>NO CURSO ESCOLAR 2022-2023</w:t>
      </w:r>
      <w:r>
        <w:rPr>
          <w:rFonts w:eastAsia="Times New Roman" w:cs="Liberation Sans;Arial" w:ascii="Noto Sans" w:hAnsi="Noto Sans"/>
          <w:b w:val="false"/>
          <w:bCs w:val="false"/>
          <w:color w:val="000000"/>
          <w:sz w:val="21"/>
          <w:szCs w:val="21"/>
        </w:rPr>
        <w:t>,</w:t>
      </w:r>
      <w:r>
        <w:rPr>
          <w:rFonts w:eastAsia="Times New Roman" w:cs="Liberation Sans;Arial" w:ascii="Noto Sans" w:hAnsi="Noto Sans"/>
          <w:color w:val="000000"/>
          <w:sz w:val="21"/>
          <w:szCs w:val="21"/>
        </w:rPr>
        <w:t xml:space="preserve"> será publicada no Boletín Oficial da Provincia, no taboleiro de anuncios do Concello de Rianxo, e mediante a difusión de bandos informativos, así como tamén na sede electrónica do Concello de Rianxo: </w:t>
      </w:r>
      <w:hyperlink r:id="rId2" w:tgtFrame="_blank">
        <w:r>
          <w:rPr>
            <w:rStyle w:val="EnlacedeInternet"/>
            <w:rFonts w:eastAsia="Times New Roman" w:cs="Liberation Sans;Arial" w:ascii="Noto Sans" w:hAnsi="Noto Sans"/>
            <w:i w:val="false"/>
            <w:iCs w:val="false"/>
            <w:color w:val="000000"/>
            <w:sz w:val="21"/>
            <w:szCs w:val="21"/>
          </w:rPr>
          <w:t>https://sede.concelloderianxo.es</w:t>
        </w:r>
      </w:hyperlink>
    </w:p>
    <w:p>
      <w:pPr>
        <w:pStyle w:val="Cuerpodetexto"/>
        <w:rPr>
          <w:rFonts w:eastAsia="Times New Roman" w:cs="Liberation Sans;Arial"/>
          <w:color w:val="000000"/>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color w:val="000000"/>
          <w:sz w:val="21"/>
          <w:szCs w:val="21"/>
        </w:rPr>
        <w:t xml:space="preserve">2. </w:t>
      </w:r>
      <w:r>
        <w:rPr>
          <w:rFonts w:eastAsia="Times New Roman" w:cs="Liberation Sans;Arial" w:ascii="Noto Sans" w:hAnsi="Noto Sans"/>
          <w:caps w:val="false"/>
          <w:smallCaps w:val="false"/>
          <w:color w:val="000000"/>
          <w:sz w:val="21"/>
          <w:szCs w:val="21"/>
        </w:rPr>
        <w:t>Prazo</w:t>
      </w:r>
    </w:p>
    <w:p>
      <w:pPr>
        <w:pStyle w:val="Cuerpodetexto"/>
        <w:rPr>
          <w:rFonts w:ascii="Noto Sans" w:hAnsi="Noto Sans"/>
          <w:sz w:val="21"/>
          <w:szCs w:val="21"/>
        </w:rPr>
      </w:pPr>
      <w:r>
        <w:rPr>
          <w:rFonts w:ascii="Noto Sans" w:hAnsi="Noto Sans"/>
          <w:sz w:val="21"/>
          <w:szCs w:val="21"/>
        </w:rPr>
        <w:t>Quince días hábiles contados a partir da publicación da convocatoria no BOP.</w:t>
      </w:r>
    </w:p>
    <w:p>
      <w:pPr>
        <w:pStyle w:val="Cuerpodetexto"/>
        <w:rPr>
          <w:rFonts w:eastAsia="Times New Roman" w:cs="Liberation Sans;Arial"/>
          <w:color w:val="000000"/>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color w:val="000000"/>
          <w:sz w:val="21"/>
          <w:szCs w:val="21"/>
        </w:rPr>
        <w:t xml:space="preserve">3. </w:t>
      </w:r>
      <w:r>
        <w:rPr>
          <w:rFonts w:eastAsia="Times New Roman" w:cs="Liberation Sans;Arial" w:ascii="Noto Sans" w:hAnsi="Noto Sans"/>
          <w:caps w:val="false"/>
          <w:smallCaps w:val="false"/>
          <w:color w:val="000000"/>
          <w:sz w:val="21"/>
          <w:szCs w:val="21"/>
        </w:rPr>
        <w:t>Lugar</w:t>
      </w:r>
    </w:p>
    <w:p>
      <w:pPr>
        <w:pStyle w:val="Cuerpodetexto"/>
        <w:rPr>
          <w:rFonts w:ascii="Noto Sans" w:hAnsi="Noto Sans"/>
          <w:sz w:val="21"/>
          <w:szCs w:val="21"/>
        </w:rPr>
      </w:pPr>
      <w:r>
        <w:rPr>
          <w:rFonts w:ascii="Noto Sans" w:hAnsi="Noto Sans"/>
          <w:sz w:val="21"/>
          <w:szCs w:val="21"/>
        </w:rPr>
        <w:t>Na sede electrónica ou no Rexistro Xeral do Concello de Rianxo.</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color w:val="000000"/>
          <w:sz w:val="21"/>
          <w:szCs w:val="21"/>
        </w:rPr>
        <w:t xml:space="preserve">4. </w:t>
      </w:r>
      <w:r>
        <w:rPr>
          <w:rFonts w:eastAsia="Times New Roman" w:cs="Liberation Sans;Arial" w:ascii="Noto Sans" w:hAnsi="Noto Sans"/>
          <w:caps w:val="false"/>
          <w:smallCaps w:val="false"/>
          <w:color w:val="000000"/>
          <w:sz w:val="21"/>
          <w:szCs w:val="21"/>
        </w:rPr>
        <w:t>Documentación</w:t>
      </w:r>
    </w:p>
    <w:p>
      <w:pPr>
        <w:pStyle w:val="Cuerpodetexto"/>
        <w:rPr>
          <w:rFonts w:ascii="Noto Sans" w:hAnsi="Noto Sans"/>
          <w:sz w:val="21"/>
          <w:szCs w:val="21"/>
        </w:rPr>
      </w:pPr>
      <w:r>
        <w:rPr>
          <w:rFonts w:ascii="Noto Sans" w:hAnsi="Noto Sans"/>
          <w:sz w:val="21"/>
          <w:szCs w:val="21"/>
        </w:rPr>
        <w:t>4.1. Xenérica:</w:t>
      </w:r>
    </w:p>
    <w:p>
      <w:pPr>
        <w:pStyle w:val="Cuerpodetexto"/>
        <w:rPr>
          <w:rFonts w:ascii="Noto Sans" w:hAnsi="Noto Sans"/>
          <w:sz w:val="21"/>
          <w:szCs w:val="21"/>
        </w:rPr>
      </w:pPr>
      <w:r>
        <w:rPr>
          <w:rFonts w:ascii="Noto Sans" w:hAnsi="Noto Sans"/>
          <w:sz w:val="21"/>
          <w:szCs w:val="21"/>
        </w:rPr>
        <w:t>- Modelo de solicitude (dispoñible na páxina web do Concello de Rianxo, no Rexistro Xeral e no departamento de Servizos Sociais). A solicitude deberá realizala o/a pai/nai/titor/a legal do/a alumno/a por tratarse de menores de idade.</w:t>
      </w:r>
    </w:p>
    <w:p>
      <w:pPr>
        <w:pStyle w:val="Cuerpodetexto"/>
        <w:rPr>
          <w:rFonts w:ascii="Noto Sans" w:hAnsi="Noto Sans"/>
          <w:sz w:val="21"/>
          <w:szCs w:val="21"/>
        </w:rPr>
      </w:pPr>
      <w:r>
        <w:rPr>
          <w:rFonts w:ascii="Noto Sans" w:hAnsi="Noto Sans"/>
          <w:sz w:val="21"/>
          <w:szCs w:val="21"/>
        </w:rPr>
        <w:t>- Anexo 2: Declaración responsable do conxunto de todas as solicitudes efectuadas ou concedidas para a mesma finalidade das distintas administracións públicas competentes e de non estar incurso/a en ningún dos supostos que impiden obter a condición de persoa beneficiaria de subvencións das administracións públicas, que atopan recollidos no artigo 13 da Lei 38/2003, xeral de subvencións.</w:t>
      </w:r>
    </w:p>
    <w:p>
      <w:pPr>
        <w:pStyle w:val="Cuerpodetexto"/>
        <w:rPr>
          <w:rFonts w:ascii="Noto Sans" w:hAnsi="Noto Sans"/>
          <w:sz w:val="21"/>
          <w:szCs w:val="21"/>
        </w:rPr>
      </w:pPr>
      <w:r>
        <w:rPr>
          <w:rFonts w:ascii="Noto Sans" w:hAnsi="Noto Sans"/>
          <w:sz w:val="21"/>
          <w:szCs w:val="21"/>
        </w:rPr>
        <w:t>- Copia do DNI, pasaporte, NIE ou documento análogo de todas as persoas da unidade familiar.</w:t>
      </w:r>
    </w:p>
    <w:p>
      <w:pPr>
        <w:pStyle w:val="Cuerpodetexto"/>
        <w:rPr>
          <w:rFonts w:ascii="Noto Sans" w:hAnsi="Noto Sans"/>
          <w:sz w:val="21"/>
          <w:szCs w:val="21"/>
        </w:rPr>
      </w:pPr>
      <w:r>
        <w:rPr>
          <w:rFonts w:ascii="Noto Sans" w:hAnsi="Noto Sans"/>
          <w:sz w:val="21"/>
          <w:szCs w:val="21"/>
        </w:rPr>
        <w:t>- Factura do gasto realizado, debidamente cuberta con todos os datos da persoa solicitante e do alumnado beneficiario da axuda. Deberá constar o detalle do material, dispositivos electrónicos, así como a descrición da roupa e material deportivo en cada factura por separado.</w:t>
      </w:r>
    </w:p>
    <w:p>
      <w:pPr>
        <w:pStyle w:val="Cuerpodetexto"/>
        <w:rPr>
          <w:rFonts w:ascii="Noto Sans" w:hAnsi="Noto Sans"/>
          <w:sz w:val="21"/>
          <w:szCs w:val="21"/>
        </w:rPr>
      </w:pPr>
      <w:r>
        <w:rPr>
          <w:rFonts w:ascii="Noto Sans" w:hAnsi="Noto Sans"/>
          <w:sz w:val="21"/>
          <w:szCs w:val="21"/>
        </w:rPr>
        <w:t>- Copia da resolución da Consellería de Educación da contía recoñecida, no curso escolar 2022-2023, para libros de texto e material escolar.</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 Datos bancarios: certificación bancaria do Código IBAN a nome do/a solicitante cuñada pola entidade bancaria.</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4.2. Xustificación de ingresos:</w:t>
      </w:r>
    </w:p>
    <w:p>
      <w:pPr>
        <w:pStyle w:val="Cuerpodetexto"/>
        <w:rPr>
          <w:rFonts w:ascii="Noto Sans" w:hAnsi="Noto Sans"/>
          <w:sz w:val="21"/>
          <w:szCs w:val="21"/>
        </w:rPr>
      </w:pPr>
      <w:r>
        <w:rPr>
          <w:rFonts w:ascii="Noto Sans" w:hAnsi="Noto Sans"/>
          <w:sz w:val="21"/>
          <w:szCs w:val="21"/>
        </w:rPr>
        <w:t>Se está presentada a declaración da renda:</w:t>
      </w:r>
    </w:p>
    <w:p>
      <w:pPr>
        <w:pStyle w:val="Cuerpodetexto"/>
        <w:rPr>
          <w:rFonts w:ascii="Noto Sans" w:hAnsi="Noto Sans"/>
          <w:sz w:val="21"/>
          <w:szCs w:val="21"/>
        </w:rPr>
      </w:pPr>
      <w:r>
        <w:rPr>
          <w:rFonts w:ascii="Noto Sans" w:hAnsi="Noto Sans"/>
          <w:sz w:val="21"/>
          <w:szCs w:val="21"/>
        </w:rPr>
        <w:t>- Copia da Declaración do IRPF correspondente ao exercicio 2021</w:t>
      </w:r>
    </w:p>
    <w:p>
      <w:pPr>
        <w:pStyle w:val="Cuerpodetexto"/>
        <w:rPr>
          <w:rFonts w:ascii="Noto Sans" w:hAnsi="Noto Sans"/>
          <w:sz w:val="21"/>
          <w:szCs w:val="21"/>
        </w:rPr>
      </w:pPr>
      <w:r>
        <w:rPr>
          <w:rFonts w:ascii="Noto Sans" w:hAnsi="Noto Sans"/>
          <w:sz w:val="21"/>
          <w:szCs w:val="21"/>
        </w:rPr>
        <w:t>Se non está presentada a declaración da renda:</w:t>
      </w:r>
    </w:p>
    <w:p>
      <w:pPr>
        <w:pStyle w:val="Cuerpodetexto"/>
        <w:rPr>
          <w:rFonts w:ascii="Noto Sans" w:hAnsi="Noto Sans"/>
          <w:sz w:val="21"/>
          <w:szCs w:val="21"/>
        </w:rPr>
      </w:pPr>
      <w:r>
        <w:rPr>
          <w:rFonts w:ascii="Noto Sans" w:hAnsi="Noto Sans"/>
          <w:sz w:val="21"/>
          <w:szCs w:val="21"/>
        </w:rPr>
        <w:t>- Certificación expedida pola AEAT de non ter presentada a Declaración do IRPF correspondente ao exercicio 2021.</w:t>
      </w:r>
    </w:p>
    <w:p>
      <w:pPr>
        <w:pStyle w:val="Cuerpodetexto"/>
        <w:rPr>
          <w:rFonts w:ascii="Noto Sans" w:hAnsi="Noto Sans"/>
          <w:sz w:val="21"/>
          <w:szCs w:val="21"/>
        </w:rPr>
      </w:pPr>
      <w:r>
        <w:rPr>
          <w:rFonts w:ascii="Noto Sans" w:hAnsi="Noto Sans"/>
          <w:sz w:val="21"/>
          <w:szCs w:val="21"/>
        </w:rPr>
        <w:t>- Xustificantes de ingresos do exercicio 2021 de todas as persoas da unidade familiar maiores de idade (nóminas, certificado do INEM, certificado da pensión, etc.) se non aparecen datos económicos na certificación.</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4.3. Específica:</w:t>
      </w:r>
    </w:p>
    <w:p>
      <w:pPr>
        <w:pStyle w:val="Cuerpodetexto"/>
        <w:rPr>
          <w:rFonts w:ascii="Noto Sans" w:hAnsi="Noto Sans"/>
          <w:sz w:val="21"/>
          <w:szCs w:val="21"/>
        </w:rPr>
      </w:pPr>
      <w:r>
        <w:rPr>
          <w:rFonts w:ascii="Noto Sans" w:hAnsi="Noto Sans"/>
          <w:sz w:val="21"/>
          <w:szCs w:val="21"/>
        </w:rPr>
        <w:t>- Titulo de familia numerosa, se é o caso.</w:t>
      </w:r>
    </w:p>
    <w:p>
      <w:pPr>
        <w:pStyle w:val="Cuerpodetexto"/>
        <w:rPr>
          <w:rFonts w:ascii="Noto Sans" w:hAnsi="Noto Sans"/>
          <w:sz w:val="21"/>
          <w:szCs w:val="21"/>
        </w:rPr>
      </w:pPr>
      <w:r>
        <w:rPr>
          <w:rFonts w:ascii="Noto Sans" w:hAnsi="Noto Sans"/>
          <w:sz w:val="21"/>
          <w:szCs w:val="21"/>
        </w:rPr>
        <w:t>- Certificado de discapacidade igual ou superior ao 33%, se é o caso.</w:t>
      </w:r>
    </w:p>
    <w:p>
      <w:pPr>
        <w:pStyle w:val="Cuerpodetexto"/>
        <w:rPr>
          <w:rFonts w:ascii="Noto Sans" w:hAnsi="Noto Sans"/>
          <w:sz w:val="21"/>
          <w:szCs w:val="21"/>
        </w:rPr>
      </w:pPr>
      <w:r>
        <w:rPr>
          <w:rFonts w:eastAsia="Times New Roman" w:cs="Liberation Sans;Arial" w:ascii="Noto Sans" w:hAnsi="Noto Sans"/>
          <w:color w:val="000000"/>
          <w:sz w:val="21"/>
          <w:szCs w:val="21"/>
          <w:highlight w:val="white"/>
        </w:rPr>
        <w:t xml:space="preserve">- Acreditación da unidade familiar monoparental, se é o caso, mediante </w:t>
      </w:r>
      <w:r>
        <w:rPr>
          <w:rFonts w:cs="Liberation Sans;Arial" w:ascii="Noto Sans" w:hAnsi="Noto Sans"/>
          <w:sz w:val="21"/>
          <w:szCs w:val="21"/>
          <w:highlight w:val="white"/>
        </w:rPr>
        <w:t>sentenza de separación ou divorcio, convenio regulador ou resolución de medidas paterno-filiais.</w:t>
      </w:r>
    </w:p>
    <w:p>
      <w:pPr>
        <w:pStyle w:val="Cuerpodetexto"/>
        <w:rPr>
          <w:rFonts w:ascii="Noto Sans" w:hAnsi="Noto Sans"/>
          <w:sz w:val="21"/>
          <w:szCs w:val="21"/>
        </w:rPr>
      </w:pPr>
      <w:r>
        <w:rPr>
          <w:rFonts w:ascii="Noto Sans" w:hAnsi="Noto Sans"/>
          <w:sz w:val="21"/>
          <w:szCs w:val="21"/>
        </w:rPr>
        <w:t>- Xustificante de gasto de alugueiro (anexo 3), se é o caso.</w:t>
      </w:r>
    </w:p>
    <w:p>
      <w:pPr>
        <w:pStyle w:val="Cuerpodetexto"/>
        <w:rPr>
          <w:rFonts w:ascii="Noto Sans" w:hAnsi="Noto Sans"/>
          <w:sz w:val="21"/>
          <w:szCs w:val="21"/>
        </w:rPr>
      </w:pPr>
      <w:r>
        <w:rPr>
          <w:rFonts w:eastAsia="Times New Roman" w:cs="Liberation Sans;Arial" w:ascii="Noto Sans" w:hAnsi="Noto Sans"/>
          <w:color w:val="000000"/>
          <w:sz w:val="21"/>
          <w:szCs w:val="21"/>
        </w:rPr>
        <w:t>- Xustificante de hipoteca da vivenda habitual, se é o caso, na que consten claramente os datos da persoa titular e d</w:t>
      </w:r>
      <w:r>
        <w:rPr>
          <w:rFonts w:eastAsia="Times New Roman" w:cs="Liberation Sans;Arial" w:ascii="Noto Sans" w:hAnsi="Noto Sans"/>
          <w:color w:val="000000"/>
          <w:sz w:val="21"/>
          <w:szCs w:val="21"/>
          <w:highlight w:val="white"/>
        </w:rPr>
        <w:t>eclaración responsable (anexo 4) onde deberá constar que se trata da primeira vivenda e que esta é residencia habitual.</w:t>
      </w:r>
    </w:p>
    <w:p>
      <w:pPr>
        <w:pStyle w:val="Cuerpodetexto"/>
        <w:rPr>
          <w:rFonts w:ascii="Noto Sans" w:hAnsi="Noto Sans"/>
          <w:sz w:val="21"/>
          <w:szCs w:val="21"/>
        </w:rPr>
      </w:pPr>
      <w:r>
        <w:rPr>
          <w:rFonts w:ascii="Noto Sans" w:hAnsi="Noto Sans"/>
          <w:sz w:val="21"/>
          <w:szCs w:val="21"/>
        </w:rPr>
        <w:t>- Certificado do INEM que acredite a  situación de desemprego e a data de alta como demandante de emprego, se é o caso.</w:t>
      </w:r>
    </w:p>
    <w:p>
      <w:pPr>
        <w:pStyle w:val="Cuerpodetexto"/>
        <w:rPr>
          <w:rFonts w:ascii="Noto Sans" w:hAnsi="Noto Sans"/>
          <w:sz w:val="21"/>
          <w:szCs w:val="21"/>
        </w:rPr>
      </w:pPr>
      <w:r>
        <w:rPr>
          <w:rFonts w:ascii="Noto Sans" w:hAnsi="Noto Sans"/>
          <w:sz w:val="21"/>
          <w:szCs w:val="21"/>
        </w:rPr>
        <w:t>- Certificado do INEM que acredite ser beneficiario/a ou non dalgunha prestación económica e a data do seu inicio e remate, se é o caso.</w:t>
      </w:r>
    </w:p>
    <w:p>
      <w:pPr>
        <w:pStyle w:val="Cuerpodetexto"/>
        <w:rPr>
          <w:rFonts w:ascii="Noto Sans" w:hAnsi="Noto Sans"/>
          <w:sz w:val="21"/>
          <w:szCs w:val="21"/>
        </w:rPr>
      </w:pPr>
      <w:r>
        <w:rPr>
          <w:rFonts w:eastAsia="Times New Roman" w:cs="Liberation Sans;Arial" w:ascii="Noto Sans" w:hAnsi="Noto Sans"/>
          <w:color w:val="000000"/>
          <w:sz w:val="21"/>
          <w:szCs w:val="21"/>
        </w:rPr>
        <w:t>- Certificado da secretaría do centro de ensino ou copia da matrícula no caso de que haxa algún membro na unidade familiar menor de 25 anos cursando estudos</w:t>
      </w:r>
      <w:r>
        <w:rPr>
          <w:rFonts w:eastAsia="Times New Roman" w:cs="Liberation Sans;Arial" w:ascii="Noto Sans" w:hAnsi="Noto Sans"/>
          <w:color w:val="000000"/>
          <w:sz w:val="21"/>
          <w:szCs w:val="21"/>
          <w:u w:val="none"/>
        </w:rPr>
        <w:t xml:space="preserve"> postobrigatorios</w:t>
      </w:r>
      <w:r>
        <w:rPr>
          <w:rFonts w:eastAsia="Times New Roman" w:cs="Liberation Sans;Arial" w:ascii="Noto Sans" w:hAnsi="Noto Sans"/>
          <w:color w:val="000000"/>
          <w:sz w:val="21"/>
          <w:szCs w:val="21"/>
        </w:rPr>
        <w:t xml:space="preserve"> ou universitarios.</w:t>
      </w:r>
    </w:p>
    <w:p>
      <w:pPr>
        <w:pStyle w:val="Cuerpodetexto"/>
        <w:rPr>
          <w:rFonts w:ascii="Noto Sans" w:hAnsi="Noto Sans"/>
          <w:sz w:val="21"/>
          <w:szCs w:val="21"/>
        </w:rPr>
      </w:pPr>
      <w:r>
        <w:rPr>
          <w:rFonts w:ascii="Noto Sans" w:hAnsi="Noto Sans"/>
          <w:sz w:val="21"/>
          <w:szCs w:val="21"/>
        </w:rPr>
        <w:t>No formulario de solicitude autorízase a comprobación, polos Servizos Sociais Comunitarios municipais, dos datos de residencia e convivencia, e incorpora un volante para estes efectos.</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ARTIGO 7. CRITERIOS DE AVALIACIÓN</w:t>
      </w:r>
    </w:p>
    <w:p>
      <w:pPr>
        <w:pStyle w:val="Cuerpodetexto"/>
        <w:rPr>
          <w:rFonts w:ascii="Noto Sans" w:hAnsi="Noto Sans"/>
          <w:sz w:val="21"/>
          <w:szCs w:val="21"/>
        </w:rPr>
      </w:pPr>
      <w:r>
        <w:rPr>
          <w:rFonts w:ascii="Noto Sans" w:hAnsi="Noto Sans"/>
          <w:sz w:val="21"/>
          <w:szCs w:val="21"/>
        </w:rPr>
        <w:t>A persoa responsable do Servizo de Educación e Apoio Familiar e, na súa ausencia, a traballadora social dos Servizos Sociais Comunitarios determinará a concesión ou denegación segundo os seguintes criterios:</w:t>
      </w:r>
    </w:p>
    <w:p>
      <w:pPr>
        <w:pStyle w:val="Cuerpodetexto"/>
        <w:rPr>
          <w:rFonts w:ascii="Noto Sans" w:hAnsi="Noto Sans"/>
          <w:sz w:val="21"/>
          <w:szCs w:val="21"/>
        </w:rPr>
      </w:pPr>
      <w:r>
        <w:rPr>
          <w:rFonts w:ascii="Noto Sans" w:hAnsi="Noto Sans"/>
          <w:sz w:val="21"/>
          <w:szCs w:val="21"/>
        </w:rPr>
        <w:t>1. Renda per cápita.</w:t>
      </w:r>
    </w:p>
    <w:p>
      <w:pPr>
        <w:pStyle w:val="Cuerpodetexto"/>
        <w:rPr>
          <w:rFonts w:ascii="Noto Sans" w:hAnsi="Noto Sans"/>
          <w:sz w:val="21"/>
          <w:szCs w:val="21"/>
        </w:rPr>
      </w:pPr>
      <w:r>
        <w:rPr>
          <w:rFonts w:ascii="Noto Sans" w:hAnsi="Noto Sans"/>
          <w:sz w:val="21"/>
          <w:szCs w:val="21"/>
        </w:rPr>
        <w:t>2. Número de membros da unidade familiar.</w:t>
      </w:r>
    </w:p>
    <w:p>
      <w:pPr>
        <w:pStyle w:val="Cuerpodetexto"/>
        <w:rPr>
          <w:rFonts w:ascii="Noto Sans" w:hAnsi="Noto Sans"/>
          <w:sz w:val="21"/>
          <w:szCs w:val="21"/>
        </w:rPr>
      </w:pPr>
      <w:r>
        <w:rPr>
          <w:rFonts w:ascii="Noto Sans" w:hAnsi="Noto Sans"/>
          <w:sz w:val="21"/>
          <w:szCs w:val="21"/>
        </w:rPr>
        <w:t>3. Condicións familiares da persoa solicitante.</w:t>
      </w:r>
    </w:p>
    <w:p>
      <w:pPr>
        <w:pStyle w:val="Cuerpodetexto"/>
        <w:rPr>
          <w:rFonts w:ascii="Noto Sans" w:hAnsi="Noto Sans"/>
          <w:sz w:val="21"/>
          <w:szCs w:val="21"/>
        </w:rPr>
      </w:pPr>
      <w:r>
        <w:rPr>
          <w:rFonts w:ascii="Noto Sans" w:hAnsi="Noto Sans"/>
          <w:sz w:val="21"/>
          <w:szCs w:val="21"/>
        </w:rPr>
        <w:t>4. Vivenda.</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A ponderación destas situacións será a seguinte, para cada un dos criterios:</w:t>
      </w:r>
    </w:p>
    <w:p>
      <w:pPr>
        <w:pStyle w:val="Cuerpodetexto"/>
        <w:rPr>
          <w:rFonts w:ascii="Noto Sans" w:hAnsi="Noto Sans"/>
          <w:sz w:val="21"/>
          <w:szCs w:val="21"/>
        </w:rPr>
      </w:pPr>
      <w:r>
        <w:rPr>
          <w:rFonts w:eastAsia="Times New Roman" w:cs="Liberation Sans;Arial" w:ascii="Noto Sans" w:hAnsi="Noto Sans"/>
          <w:smallCaps/>
          <w:color w:val="000000"/>
          <w:sz w:val="21"/>
          <w:szCs w:val="21"/>
        </w:rPr>
        <w:t>1.</w:t>
      </w:r>
      <w:r>
        <w:rPr>
          <w:rFonts w:eastAsia="Times New Roman" w:cs="Liberation Sans;Arial" w:ascii="Noto Sans" w:hAnsi="Noto Sans"/>
          <w:caps w:val="false"/>
          <w:smallCaps w:val="false"/>
          <w:color w:val="000000"/>
          <w:sz w:val="21"/>
          <w:szCs w:val="21"/>
        </w:rPr>
        <w:t xml:space="preserve"> Renda per cápita</w:t>
      </w:r>
    </w:p>
    <w:p>
      <w:pPr>
        <w:pStyle w:val="Cuerpodetexto"/>
        <w:rPr>
          <w:rFonts w:ascii="Noto Sans" w:hAnsi="Noto Sans"/>
          <w:sz w:val="21"/>
          <w:szCs w:val="21"/>
        </w:rPr>
      </w:pPr>
      <w:r>
        <w:rPr>
          <w:rFonts w:ascii="Noto Sans" w:hAnsi="Noto Sans"/>
          <w:sz w:val="21"/>
          <w:szCs w:val="21"/>
        </w:rPr>
        <w:t>Naquelas solicitudes que sexan valoradas pola declaración do IRPF de 202</w:t>
      </w:r>
      <w:r>
        <w:rPr>
          <w:rFonts w:ascii="Noto Sans" w:hAnsi="Noto Sans"/>
          <w:sz w:val="21"/>
          <w:szCs w:val="21"/>
        </w:rPr>
        <w:t>1</w:t>
      </w:r>
      <w:r>
        <w:rPr>
          <w:rFonts w:ascii="Noto Sans" w:hAnsi="Noto Sans"/>
          <w:sz w:val="21"/>
          <w:szCs w:val="21"/>
        </w:rPr>
        <w:t xml:space="preserve">, a renda virá determinada pola suma da base impoñible xeral maila base impoñible do aforro (recadros 435 e 460) e dividida esta entre os 12 meses do ano e polo número de membros da unidade familiar. </w:t>
      </w:r>
    </w:p>
    <w:p>
      <w:pPr>
        <w:pStyle w:val="Cuerpodetexto"/>
        <w:rPr>
          <w:rFonts w:ascii="Noto Sans" w:hAnsi="Noto Sans"/>
          <w:sz w:val="21"/>
          <w:szCs w:val="21"/>
        </w:rPr>
      </w:pPr>
      <w:r>
        <w:rPr>
          <w:rFonts w:ascii="Noto Sans" w:hAnsi="Noto Sans"/>
          <w:sz w:val="21"/>
          <w:szCs w:val="21"/>
        </w:rPr>
        <w:t xml:space="preserve">Nos outros casos, valoraranse os ingresos líquidos máis a contía da retención do IRPF. </w:t>
      </w:r>
    </w:p>
    <w:p>
      <w:pPr>
        <w:pStyle w:val="Cuerpodetexto"/>
        <w:rPr>
          <w:rFonts w:ascii="Noto Sans" w:hAnsi="Noto Sans"/>
          <w:sz w:val="21"/>
          <w:szCs w:val="21"/>
        </w:rPr>
      </w:pPr>
      <w:r>
        <w:rPr>
          <w:rFonts w:ascii="Noto Sans" w:hAnsi="Noto Sans"/>
          <w:sz w:val="21"/>
          <w:szCs w:val="21"/>
        </w:rPr>
        <w:t>Nas familias monoparentais, sumaranse os ingresos da pensión de alimentos se corresponde.</w:t>
      </w:r>
    </w:p>
    <w:p>
      <w:pPr>
        <w:pStyle w:val="Cuerpodetexto"/>
        <w:rPr>
          <w:rFonts w:ascii="Noto Sans" w:hAnsi="Noto Sans"/>
          <w:sz w:val="21"/>
          <w:szCs w:val="21"/>
        </w:rPr>
      </w:pPr>
      <w:r>
        <w:rPr>
          <w:rFonts w:ascii="Noto Sans" w:hAnsi="Noto Sans"/>
          <w:sz w:val="21"/>
          <w:szCs w:val="21"/>
        </w:rPr>
        <w:t>RPC mensual da unidade familiar, referida ao Indicador Público de Efectos Múltiples (IPREM)</w:t>
      </w:r>
    </w:p>
    <w:p>
      <w:pPr>
        <w:pStyle w:val="Cuerpodetexto"/>
        <w:tabs>
          <w:tab w:val="clear" w:pos="4819"/>
          <w:tab w:val="left" w:pos="335" w:leader="none"/>
        </w:tabs>
        <w:rPr>
          <w:rFonts w:ascii="Noto Sans" w:hAnsi="Noto Sans"/>
          <w:sz w:val="21"/>
          <w:szCs w:val="21"/>
        </w:rPr>
      </w:pPr>
      <w:r>
        <w:rPr>
          <w:rFonts w:eastAsia="Tahoma" w:cs="Liberation Sans;Arial" w:ascii="Noto Sans" w:hAnsi="Noto Sans"/>
          <w:color w:val="000000"/>
          <w:sz w:val="21"/>
          <w:szCs w:val="21"/>
        </w:rPr>
        <w:t>-</w:t>
        <w:tab/>
      </w:r>
      <w:r>
        <w:rPr>
          <w:rFonts w:eastAsia="Times New Roman" w:cs="Liberation Sans;Arial" w:ascii="Noto Sans" w:hAnsi="Noto Sans"/>
          <w:color w:val="000000"/>
          <w:sz w:val="21"/>
          <w:szCs w:val="21"/>
        </w:rPr>
        <w:t>Inferior ao 25% do IPREM: 10 puntos</w:t>
      </w:r>
    </w:p>
    <w:p>
      <w:pPr>
        <w:pStyle w:val="Cuerpodetexto"/>
        <w:tabs>
          <w:tab w:val="clear" w:pos="4819"/>
          <w:tab w:val="left" w:pos="335" w:leader="none"/>
        </w:tabs>
        <w:rPr>
          <w:rFonts w:ascii="Noto Sans" w:hAnsi="Noto Sans"/>
          <w:sz w:val="21"/>
          <w:szCs w:val="21"/>
        </w:rPr>
      </w:pPr>
      <w:r>
        <w:rPr>
          <w:rFonts w:eastAsia="Tahoma" w:cs="Liberation Sans;Arial" w:ascii="Noto Sans" w:hAnsi="Noto Sans"/>
          <w:color w:val="000000"/>
          <w:sz w:val="21"/>
          <w:szCs w:val="21"/>
        </w:rPr>
        <w:t>-</w:t>
        <w:tab/>
      </w:r>
      <w:r>
        <w:rPr>
          <w:rFonts w:eastAsia="Times New Roman" w:cs="Liberation Sans;Arial" w:ascii="Noto Sans" w:hAnsi="Noto Sans"/>
          <w:color w:val="000000"/>
          <w:sz w:val="21"/>
          <w:szCs w:val="21"/>
        </w:rPr>
        <w:t>Entre o 25% e o 50% do IPREM: 8 puntos</w:t>
      </w:r>
    </w:p>
    <w:p>
      <w:pPr>
        <w:pStyle w:val="Cuerpodetexto"/>
        <w:tabs>
          <w:tab w:val="clear" w:pos="4819"/>
          <w:tab w:val="left" w:pos="335" w:leader="none"/>
        </w:tabs>
        <w:rPr>
          <w:rFonts w:ascii="Noto Sans" w:hAnsi="Noto Sans"/>
          <w:sz w:val="21"/>
          <w:szCs w:val="21"/>
        </w:rPr>
      </w:pPr>
      <w:r>
        <w:rPr>
          <w:rFonts w:eastAsia="Tahoma" w:cs="Liberation Sans;Arial" w:ascii="Noto Sans" w:hAnsi="Noto Sans"/>
          <w:color w:val="000000"/>
          <w:sz w:val="21"/>
          <w:szCs w:val="21"/>
        </w:rPr>
        <w:t>-</w:t>
        <w:tab/>
      </w:r>
      <w:r>
        <w:rPr>
          <w:rFonts w:eastAsia="Times New Roman" w:cs="Liberation Sans;Arial" w:ascii="Noto Sans" w:hAnsi="Noto Sans"/>
          <w:color w:val="000000"/>
          <w:sz w:val="21"/>
          <w:szCs w:val="21"/>
        </w:rPr>
        <w:t>Entre o 50% e o 75% do IPREM: 6 puntos</w:t>
      </w:r>
    </w:p>
    <w:p>
      <w:pPr>
        <w:pStyle w:val="Cuerpodetexto"/>
        <w:tabs>
          <w:tab w:val="clear" w:pos="4819"/>
          <w:tab w:val="left" w:pos="335" w:leader="none"/>
        </w:tabs>
        <w:rPr>
          <w:rFonts w:ascii="Noto Sans" w:hAnsi="Noto Sans"/>
          <w:sz w:val="21"/>
          <w:szCs w:val="21"/>
        </w:rPr>
      </w:pPr>
      <w:r>
        <w:rPr>
          <w:rFonts w:eastAsia="Tahoma" w:cs="Liberation Sans;Arial" w:ascii="Noto Sans" w:hAnsi="Noto Sans"/>
          <w:color w:val="000000"/>
          <w:sz w:val="21"/>
          <w:szCs w:val="21"/>
        </w:rPr>
        <w:t>-</w:t>
        <w:tab/>
      </w:r>
      <w:r>
        <w:rPr>
          <w:rFonts w:eastAsia="Times New Roman" w:cs="Liberation Sans;Arial" w:ascii="Noto Sans" w:hAnsi="Noto Sans"/>
          <w:color w:val="000000"/>
          <w:sz w:val="21"/>
          <w:szCs w:val="21"/>
        </w:rPr>
        <w:t>Entre o 75% e o 100% do IPREM: 4 puntos</w:t>
      </w:r>
    </w:p>
    <w:p>
      <w:pPr>
        <w:pStyle w:val="Cuerpodetexto"/>
        <w:rPr>
          <w:rFonts w:ascii="Noto Sans" w:hAnsi="Noto Sans"/>
          <w:sz w:val="21"/>
          <w:szCs w:val="21"/>
        </w:rPr>
      </w:pPr>
      <w:r>
        <w:rPr>
          <w:rFonts w:ascii="Noto Sans" w:hAnsi="Noto Sans"/>
          <w:sz w:val="21"/>
          <w:szCs w:val="21"/>
        </w:rPr>
        <w:t>-     Entre o 100% e o 150% do IPREM: 2 puntos</w:t>
      </w:r>
    </w:p>
    <w:p>
      <w:pPr>
        <w:pStyle w:val="Cuerpodetexto"/>
        <w:tabs>
          <w:tab w:val="clear" w:pos="4819"/>
          <w:tab w:val="left" w:pos="335" w:leader="none"/>
        </w:tabs>
        <w:rPr>
          <w:rFonts w:ascii="Noto Sans" w:hAnsi="Noto Sans"/>
          <w:sz w:val="21"/>
          <w:szCs w:val="21"/>
        </w:rPr>
      </w:pPr>
      <w:r>
        <w:rPr>
          <w:rFonts w:eastAsia="Tahoma" w:cs="Liberation Sans;Arial" w:ascii="Noto Sans" w:hAnsi="Noto Sans"/>
          <w:color w:val="000000"/>
          <w:sz w:val="21"/>
          <w:szCs w:val="21"/>
        </w:rPr>
        <w:t>-</w:t>
        <w:tab/>
      </w:r>
      <w:r>
        <w:rPr>
          <w:rFonts w:eastAsia="Times New Roman" w:cs="Liberation Sans;Arial" w:ascii="Noto Sans" w:hAnsi="Noto Sans"/>
          <w:color w:val="000000"/>
          <w:sz w:val="21"/>
          <w:szCs w:val="21"/>
        </w:rPr>
        <w:t>Exclúense do proceso de concorrencia as solicitudes superiores ao 1.5 do IPREM</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smallCaps/>
          <w:color w:val="000000"/>
          <w:sz w:val="21"/>
          <w:szCs w:val="21"/>
        </w:rPr>
        <w:t xml:space="preserve">2. </w:t>
      </w:r>
      <w:r>
        <w:rPr>
          <w:rFonts w:eastAsia="Times New Roman" w:cs="Liberation Sans;Arial" w:ascii="Noto Sans" w:hAnsi="Noto Sans"/>
          <w:caps w:val="false"/>
          <w:smallCaps w:val="false"/>
          <w:color w:val="000000"/>
          <w:sz w:val="21"/>
          <w:szCs w:val="21"/>
        </w:rPr>
        <w:t>Número de membros da unidade familiar</w:t>
      </w:r>
    </w:p>
    <w:p>
      <w:pPr>
        <w:pStyle w:val="Cuerpodetexto"/>
        <w:rPr>
          <w:rFonts w:ascii="Noto Sans" w:hAnsi="Noto Sans"/>
          <w:sz w:val="21"/>
          <w:szCs w:val="21"/>
        </w:rPr>
      </w:pPr>
      <w:r>
        <w:rPr>
          <w:rFonts w:eastAsia="Times New Roman" w:cs="Liberation Sans;Arial" w:ascii="Noto Sans" w:hAnsi="Noto Sans"/>
          <w:color w:val="000000"/>
          <w:sz w:val="21"/>
          <w:szCs w:val="21"/>
        </w:rPr>
        <w:t>Enténdese por unidade familiar a formada polos pais e fillos ou fillas menores de 18 anos (ou menores de 25 anos se están cursando estudos</w:t>
      </w:r>
      <w:r>
        <w:rPr>
          <w:rFonts w:eastAsia="Times New Roman" w:cs="Liberation Sans;Arial" w:ascii="Noto Sans" w:hAnsi="Noto Sans"/>
          <w:color w:val="000000"/>
          <w:sz w:val="21"/>
          <w:szCs w:val="21"/>
          <w:u w:val="none"/>
        </w:rPr>
        <w:t xml:space="preserve"> postobrigatorios </w:t>
      </w:r>
      <w:r>
        <w:rPr>
          <w:rFonts w:eastAsia="Times New Roman" w:cs="Liberation Sans;Arial" w:ascii="Noto Sans" w:hAnsi="Noto Sans"/>
          <w:color w:val="000000"/>
          <w:sz w:val="21"/>
          <w:szCs w:val="21"/>
        </w:rPr>
        <w:t>ou universitarios) ou fillos/as maiores de 18 anos cunha discapacidade igual ou superior ao 33%.</w:t>
      </w:r>
    </w:p>
    <w:p>
      <w:pPr>
        <w:pStyle w:val="Cuerpodetexto"/>
        <w:rPr>
          <w:rFonts w:ascii="Noto Sans" w:hAnsi="Noto Sans"/>
          <w:sz w:val="21"/>
          <w:szCs w:val="21"/>
        </w:rPr>
      </w:pPr>
      <w:r>
        <w:rPr>
          <w:rFonts w:ascii="Noto Sans" w:hAnsi="Noto Sans"/>
          <w:sz w:val="21"/>
          <w:szCs w:val="21"/>
        </w:rPr>
        <w:t>Por cada membro integrante da unidade familiar: 0,5 puntos.</w:t>
      </w:r>
    </w:p>
    <w:p>
      <w:pPr>
        <w:pStyle w:val="Cuerpodetexto"/>
        <w:rPr>
          <w:rFonts w:ascii="Noto Sans" w:hAnsi="Noto Sans"/>
          <w:sz w:val="21"/>
          <w:szCs w:val="21"/>
        </w:rPr>
      </w:pPr>
      <w:r>
        <w:rPr>
          <w:rFonts w:ascii="Noto Sans" w:hAnsi="Noto Sans"/>
          <w:sz w:val="21"/>
          <w:szCs w:val="21"/>
        </w:rPr>
        <w:t>No caso de familias monoparentais, por cada membro integrante da unidade familiar: 0,8 puntos.</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smallCaps/>
          <w:color w:val="000000"/>
          <w:sz w:val="21"/>
          <w:szCs w:val="21"/>
        </w:rPr>
        <w:t xml:space="preserve">3. </w:t>
      </w:r>
      <w:r>
        <w:rPr>
          <w:rFonts w:eastAsia="Times New Roman" w:cs="Liberation Sans;Arial" w:ascii="Noto Sans" w:hAnsi="Noto Sans"/>
          <w:caps w:val="false"/>
          <w:smallCaps w:val="false"/>
          <w:color w:val="000000"/>
          <w:sz w:val="21"/>
          <w:szCs w:val="21"/>
        </w:rPr>
        <w:t>Condicións familiares da persoa solicitante</w:t>
      </w:r>
    </w:p>
    <w:p>
      <w:pPr>
        <w:pStyle w:val="Cuerpodetexto"/>
        <w:rPr>
          <w:rFonts w:ascii="Noto Sans" w:hAnsi="Noto Sans"/>
          <w:sz w:val="21"/>
          <w:szCs w:val="21"/>
        </w:rPr>
      </w:pPr>
      <w:r>
        <w:rPr>
          <w:rFonts w:ascii="Noto Sans" w:hAnsi="Noto Sans"/>
          <w:sz w:val="21"/>
          <w:szCs w:val="21"/>
        </w:rPr>
        <w:t>Por familia numerosa Categoría Xeral: 1 punto.</w:t>
      </w:r>
    </w:p>
    <w:p>
      <w:pPr>
        <w:pStyle w:val="Cuerpodetexto"/>
        <w:rPr>
          <w:rFonts w:ascii="Noto Sans" w:hAnsi="Noto Sans"/>
          <w:sz w:val="21"/>
          <w:szCs w:val="21"/>
        </w:rPr>
      </w:pPr>
      <w:r>
        <w:rPr>
          <w:rFonts w:ascii="Noto Sans" w:hAnsi="Noto Sans"/>
          <w:sz w:val="21"/>
          <w:szCs w:val="21"/>
        </w:rPr>
        <w:t>Por familia numerosa Categoría Especial: 2 puntos.</w:t>
      </w:r>
    </w:p>
    <w:p>
      <w:pPr>
        <w:pStyle w:val="Cuerpodetexto"/>
        <w:rPr>
          <w:rFonts w:ascii="Noto Sans" w:hAnsi="Noto Sans"/>
          <w:sz w:val="21"/>
          <w:szCs w:val="21"/>
        </w:rPr>
      </w:pPr>
      <w:r>
        <w:rPr>
          <w:rFonts w:ascii="Noto Sans" w:hAnsi="Noto Sans"/>
          <w:sz w:val="21"/>
          <w:szCs w:val="21"/>
        </w:rPr>
        <w:t>Por familia monoparental: 1 punto.</w:t>
      </w:r>
    </w:p>
    <w:p>
      <w:pPr>
        <w:pStyle w:val="Cuerpodetexto"/>
        <w:rPr>
          <w:rFonts w:ascii="Noto Sans" w:hAnsi="Noto Sans"/>
          <w:sz w:val="21"/>
          <w:szCs w:val="21"/>
        </w:rPr>
      </w:pPr>
      <w:r>
        <w:rPr>
          <w:rFonts w:ascii="Noto Sans" w:hAnsi="Noto Sans"/>
          <w:sz w:val="21"/>
          <w:szCs w:val="21"/>
        </w:rPr>
        <w:t>Por cada membro da unidade familiar con certificado de discapacidade igual ou superior ao 33%: 1 punto.</w:t>
      </w:r>
    </w:p>
    <w:p>
      <w:pPr>
        <w:pStyle w:val="Cuerpodetexto"/>
        <w:rPr>
          <w:rFonts w:ascii="Noto Sans" w:hAnsi="Noto Sans"/>
          <w:sz w:val="21"/>
          <w:szCs w:val="21"/>
        </w:rPr>
      </w:pPr>
      <w:r>
        <w:rPr>
          <w:rFonts w:ascii="Noto Sans" w:hAnsi="Noto Sans"/>
          <w:sz w:val="21"/>
          <w:szCs w:val="21"/>
        </w:rPr>
        <w:t>Por cada membro da unidade familiar desempregado (cunha antigüidade igual ou superior a tres meses) con prestación económica: 0.5 puntos.</w:t>
      </w:r>
    </w:p>
    <w:p>
      <w:pPr>
        <w:pStyle w:val="Cuerpodetexto"/>
        <w:rPr>
          <w:rFonts w:ascii="Noto Sans" w:hAnsi="Noto Sans"/>
          <w:sz w:val="21"/>
          <w:szCs w:val="21"/>
        </w:rPr>
      </w:pPr>
      <w:r>
        <w:rPr>
          <w:rFonts w:ascii="Noto Sans" w:hAnsi="Noto Sans"/>
          <w:sz w:val="21"/>
          <w:szCs w:val="21"/>
        </w:rPr>
        <w:t>Por cada membro da unidade familiar desempregado (cunha antigüidade igual ou superior a tres meses) sen prestación económica: 1 punto.</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color w:val="000000"/>
          <w:sz w:val="21"/>
          <w:szCs w:val="21"/>
        </w:rPr>
        <w:t>4. V</w:t>
      </w:r>
      <w:r>
        <w:rPr>
          <w:rFonts w:eastAsia="Times New Roman" w:cs="Liberation Sans;Arial" w:ascii="Noto Sans" w:hAnsi="Noto Sans"/>
          <w:caps w:val="false"/>
          <w:smallCaps w:val="false"/>
          <w:color w:val="000000"/>
          <w:sz w:val="21"/>
          <w:szCs w:val="21"/>
        </w:rPr>
        <w:t>ivenda</w:t>
      </w:r>
    </w:p>
    <w:p>
      <w:pPr>
        <w:pStyle w:val="Cuerpodetexto"/>
        <w:rPr>
          <w:rFonts w:ascii="Noto Sans" w:hAnsi="Noto Sans"/>
          <w:sz w:val="21"/>
          <w:szCs w:val="21"/>
        </w:rPr>
      </w:pPr>
      <w:r>
        <w:rPr>
          <w:rFonts w:ascii="Noto Sans" w:hAnsi="Noto Sans"/>
          <w:sz w:val="21"/>
          <w:szCs w:val="21"/>
        </w:rPr>
        <w:t>En alugueiro: 1 punto</w:t>
      </w:r>
    </w:p>
    <w:p>
      <w:pPr>
        <w:pStyle w:val="Cuerpodetexto"/>
        <w:rPr>
          <w:rFonts w:ascii="Noto Sans" w:hAnsi="Noto Sans"/>
          <w:sz w:val="21"/>
          <w:szCs w:val="21"/>
        </w:rPr>
      </w:pPr>
      <w:r>
        <w:rPr>
          <w:rFonts w:ascii="Noto Sans" w:hAnsi="Noto Sans"/>
          <w:sz w:val="21"/>
          <w:szCs w:val="21"/>
        </w:rPr>
        <w:t>Propia e habitual con cargas: 0,5 puntos</w:t>
      </w:r>
    </w:p>
    <w:p>
      <w:pPr>
        <w:pStyle w:val="Cuerpodetexto"/>
        <w:rPr>
          <w:rFonts w:ascii="Noto Sans" w:hAnsi="Noto Sans"/>
          <w:sz w:val="21"/>
          <w:szCs w:val="21"/>
        </w:rPr>
      </w:pPr>
      <w:r>
        <w:rPr>
          <w:rFonts w:eastAsia="Times New Roman" w:cs="Liberation Sans;Arial" w:ascii="Noto Sans" w:hAnsi="Noto Sans"/>
          <w:color w:val="000000"/>
          <w:sz w:val="21"/>
          <w:szCs w:val="21"/>
        </w:rPr>
        <w:t>As axudas adxudicaranse por estrita orde de puntuación ata esgotar a consignación dispoñíbel regulada no artigo 3º. En</w:t>
      </w:r>
      <w:r>
        <w:rPr>
          <w:rFonts w:eastAsia="Times New Roman" w:cs="Liberation Sans;Arial" w:ascii="Noto Sans" w:hAnsi="Noto Sans"/>
          <w:b/>
          <w:bCs/>
          <w:color w:val="000000"/>
          <w:sz w:val="21"/>
          <w:szCs w:val="21"/>
        </w:rPr>
        <w:t xml:space="preserve"> </w:t>
      </w:r>
      <w:r>
        <w:rPr>
          <w:rFonts w:eastAsia="Times New Roman" w:cs="Liberation Sans;Arial" w:ascii="Noto Sans" w:hAnsi="Noto Sans"/>
          <w:color w:val="000000"/>
          <w:sz w:val="21"/>
          <w:szCs w:val="21"/>
        </w:rPr>
        <w:t>caso de empate, atenderase en primeiro lugar á renda per cápita familiar e en segundo lugar ao maior número de crianzas escolarizadas.</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ascii="Noto Sans" w:hAnsi="Noto Sans"/>
          <w:sz w:val="21"/>
          <w:szCs w:val="21"/>
        </w:rPr>
        <w:t>ARTIGO 8. OBRIGAS DAS PERSOAS BENEFICIARIAS</w:t>
      </w:r>
    </w:p>
    <w:p>
      <w:pPr>
        <w:pStyle w:val="Cuerpodetexto"/>
        <w:rPr>
          <w:rFonts w:ascii="Noto Sans" w:hAnsi="Noto Sans"/>
          <w:sz w:val="21"/>
          <w:szCs w:val="21"/>
        </w:rPr>
      </w:pPr>
      <w:r>
        <w:rPr>
          <w:rFonts w:ascii="Noto Sans" w:hAnsi="Noto Sans"/>
          <w:sz w:val="21"/>
          <w:szCs w:val="21"/>
        </w:rPr>
        <w:t>A presentación da solicitude implica a aceptación das bases desta convocatoria e a obrigación de:</w:t>
      </w:r>
    </w:p>
    <w:p>
      <w:pPr>
        <w:pStyle w:val="Cuerpodetexto"/>
        <w:rPr>
          <w:rFonts w:ascii="Noto Sans" w:hAnsi="Noto Sans"/>
          <w:sz w:val="21"/>
          <w:szCs w:val="21"/>
        </w:rPr>
      </w:pPr>
      <w:r>
        <w:rPr>
          <w:rFonts w:ascii="Noto Sans" w:hAnsi="Noto Sans"/>
          <w:sz w:val="21"/>
          <w:szCs w:val="21"/>
        </w:rPr>
        <w:t>a) Comunicar por escrito calquera variación ou modificación que se produza durante a tramitación do procedemento respecto das circunstancias alegadas na solicitude e de someterse ás actuacións de comprobación que acorde o concello de Rianxo.</w:t>
      </w:r>
    </w:p>
    <w:p>
      <w:pPr>
        <w:pStyle w:val="Cuerpodetexto"/>
        <w:rPr>
          <w:rFonts w:ascii="Noto Sans" w:hAnsi="Noto Sans"/>
          <w:sz w:val="21"/>
          <w:szCs w:val="21"/>
        </w:rPr>
      </w:pPr>
      <w:r>
        <w:rPr>
          <w:rFonts w:ascii="Noto Sans" w:hAnsi="Noto Sans"/>
          <w:sz w:val="21"/>
          <w:szCs w:val="21"/>
        </w:rPr>
        <w:t>b) Comunicar por escrito a renuncia á axuda no caso de producirse unha causa que determine dita renuncia.</w:t>
      </w:r>
    </w:p>
    <w:p>
      <w:pPr>
        <w:pStyle w:val="Cuerpodetexto"/>
        <w:rPr>
          <w:rFonts w:ascii="Noto Sans" w:hAnsi="Noto Sans"/>
          <w:sz w:val="21"/>
          <w:szCs w:val="21"/>
        </w:rPr>
      </w:pPr>
      <w:r>
        <w:rPr>
          <w:rFonts w:ascii="Noto Sans" w:hAnsi="Noto Sans"/>
          <w:sz w:val="21"/>
          <w:szCs w:val="21"/>
        </w:rPr>
        <w:t>c) Informar ao órgano que concede a bolsa da obtención doutras subvencións ou axudas para a mesma finalidade, procedentes de calquera Administración pública, ente público ou privado.</w:t>
      </w:r>
    </w:p>
    <w:p>
      <w:pPr>
        <w:pStyle w:val="Cuerpodetexto"/>
        <w:rPr>
          <w:rFonts w:ascii="Noto Sans" w:hAnsi="Noto Sans"/>
          <w:sz w:val="21"/>
          <w:szCs w:val="21"/>
        </w:rPr>
      </w:pPr>
      <w:r>
        <w:rPr>
          <w:rFonts w:ascii="Noto Sans" w:hAnsi="Noto Sans"/>
          <w:sz w:val="21"/>
          <w:szCs w:val="21"/>
        </w:rPr>
        <w:t>d) Presentar debidamente cuberta a solicitude xunto con toda a documentación requirida no prazo estipulado.</w:t>
      </w:r>
    </w:p>
    <w:p>
      <w:pPr>
        <w:pStyle w:val="Cuerpodetexto"/>
        <w:rPr>
          <w:rFonts w:ascii="Noto Sans" w:hAnsi="Noto Sans"/>
          <w:sz w:val="21"/>
          <w:szCs w:val="21"/>
        </w:rPr>
      </w:pPr>
      <w:r>
        <w:rPr>
          <w:rFonts w:ascii="Noto Sans" w:hAnsi="Noto Sans"/>
          <w:sz w:val="21"/>
          <w:szCs w:val="21"/>
        </w:rPr>
        <w:t>e) Terá que acreditar, antes de cobrar a axuda que se conceda, no seu caso, que:</w:t>
      </w:r>
    </w:p>
    <w:p>
      <w:pPr>
        <w:pStyle w:val="Cuerpodetexto"/>
        <w:rPr>
          <w:rFonts w:ascii="Noto Sans" w:hAnsi="Noto Sans"/>
          <w:sz w:val="21"/>
          <w:szCs w:val="21"/>
        </w:rPr>
      </w:pPr>
      <w:r>
        <w:rPr>
          <w:rFonts w:ascii="Noto Sans" w:hAnsi="Noto Sans"/>
          <w:sz w:val="21"/>
          <w:szCs w:val="21"/>
        </w:rPr>
        <w:t>e.1. Está ao corrente das súas obrigas tributarias estatais, provinciais e municipais, mediante declaración expresa e sen prexuízo da súa comprobación.</w:t>
      </w:r>
    </w:p>
    <w:p>
      <w:pPr>
        <w:pStyle w:val="Cuerpodetexto"/>
        <w:rPr>
          <w:rFonts w:ascii="Noto Sans" w:hAnsi="Noto Sans"/>
          <w:sz w:val="21"/>
          <w:szCs w:val="21"/>
        </w:rPr>
      </w:pPr>
      <w:r>
        <w:rPr>
          <w:rFonts w:ascii="Noto Sans" w:hAnsi="Noto Sans"/>
          <w:sz w:val="21"/>
          <w:szCs w:val="21"/>
        </w:rPr>
        <w:t>e.2. Non ter pendente de xustificar ningunha subvención concedida polo Concello de Rianxo.</w:t>
      </w:r>
    </w:p>
    <w:p>
      <w:pPr>
        <w:pStyle w:val="Cuerpodetexto"/>
        <w:rPr>
          <w:rFonts w:ascii="Noto Sans" w:hAnsi="Noto Sans"/>
          <w:sz w:val="21"/>
          <w:szCs w:val="21"/>
        </w:rPr>
      </w:pPr>
      <w:r>
        <w:rPr>
          <w:rFonts w:ascii="Noto Sans" w:hAnsi="Noto Sans"/>
          <w:sz w:val="21"/>
          <w:szCs w:val="21"/>
        </w:rPr>
        <w:t>f) Someterse ás actuacións de comprobación do Concello de Rianxo e ás de control financeiro que corresponden á Intervención municipal.</w:t>
      </w:r>
    </w:p>
    <w:p>
      <w:pPr>
        <w:pStyle w:val="Cuerpodetexto"/>
        <w:rPr>
          <w:rFonts w:ascii="Noto Sans" w:hAnsi="Noto Sans"/>
          <w:sz w:val="21"/>
          <w:szCs w:val="21"/>
        </w:rPr>
      </w:pPr>
      <w:r>
        <w:rPr>
          <w:rFonts w:ascii="Noto Sans" w:hAnsi="Noto Sans"/>
          <w:sz w:val="21"/>
          <w:szCs w:val="21"/>
        </w:rPr>
        <w:t>g) Seguir durante o curso académico os estudos nos que o/a menor estea matriculada.</w:t>
      </w:r>
    </w:p>
    <w:p>
      <w:pPr>
        <w:pStyle w:val="Cuerpodetexto"/>
        <w:rPr>
          <w:rFonts w:ascii="Noto Sans" w:hAnsi="Noto Sans"/>
          <w:sz w:val="21"/>
          <w:szCs w:val="21"/>
        </w:rPr>
      </w:pPr>
      <w:r>
        <w:rPr>
          <w:rFonts w:ascii="Noto Sans" w:hAnsi="Noto Sans"/>
          <w:sz w:val="21"/>
          <w:szCs w:val="21"/>
        </w:rPr>
      </w:r>
    </w:p>
    <w:p>
      <w:pPr>
        <w:pStyle w:val="Cuerpodetexto"/>
        <w:rPr>
          <w:rFonts w:ascii="Noto Sans" w:hAnsi="Noto Sans"/>
          <w:sz w:val="21"/>
          <w:szCs w:val="21"/>
        </w:rPr>
      </w:pPr>
      <w:r>
        <w:rPr>
          <w:rFonts w:eastAsia="Times New Roman" w:cs="Liberation Sans;Arial" w:ascii="Noto Sans" w:hAnsi="Noto Sans"/>
          <w:color w:val="000000"/>
          <w:sz w:val="21"/>
          <w:szCs w:val="21"/>
        </w:rPr>
        <w:br/>
      </w:r>
      <w:r>
        <w:rPr>
          <w:rFonts w:eastAsia="Times New Roman" w:cs="Liberation Sans;Arial" w:ascii="Noto Sans" w:hAnsi="Noto Sans"/>
          <w:b w:val="false"/>
          <w:bCs w:val="false"/>
          <w:caps/>
          <w:color w:val="000000"/>
          <w:sz w:val="21"/>
          <w:szCs w:val="21"/>
        </w:rPr>
        <w:t>Artigo 9. Procedemento e outorgamento de subvencións</w:t>
      </w:r>
    </w:p>
    <w:p>
      <w:pPr>
        <w:pStyle w:val="Cuerpodetexto"/>
        <w:rPr>
          <w:rFonts w:ascii="Noto Sans" w:hAnsi="Noto Sans"/>
          <w:sz w:val="21"/>
          <w:szCs w:val="21"/>
        </w:rPr>
      </w:pPr>
      <w:r>
        <w:rPr>
          <w:rFonts w:ascii="Noto Sans" w:hAnsi="Noto Sans"/>
          <w:sz w:val="21"/>
          <w:szCs w:val="21"/>
        </w:rPr>
        <w:t>1. O órgano instrutor será a persoa responsable do Servizo de Educación e Apoio Familiar e, na súa ausencia, a traballadora social dos Servizos Sociais Comunitarios, quen emitirá o informe correspondente, e mediante resolución da Xunta de Goberno Local, procederase á concesión ou á denegación das axudas. Aquelas solicitudes que, a pesar do requirimento demandado, non completaran a documentación, declararanse desistidas.</w:t>
      </w:r>
    </w:p>
    <w:p>
      <w:pPr>
        <w:pStyle w:val="Cuerpodetexto"/>
        <w:rPr>
          <w:rFonts w:ascii="Noto Sans" w:hAnsi="Noto Sans"/>
          <w:sz w:val="21"/>
          <w:szCs w:val="21"/>
        </w:rPr>
      </w:pPr>
      <w:r>
        <w:rPr>
          <w:rFonts w:ascii="Noto Sans" w:hAnsi="Noto Sans"/>
          <w:sz w:val="21"/>
          <w:szCs w:val="21"/>
        </w:rPr>
        <w:t>2. De acordo co artigo 21 da Lei 9/2007, do 13 de xuño, de subvencións de Galicia, establécese unha fase de pre-avaliación das solicitudes, na que se determinará se cumpren ou non os requisitos do artigo 4 destas bases e se a documentación da solicitude está completa ou non.</w:t>
      </w:r>
    </w:p>
    <w:p>
      <w:pPr>
        <w:pStyle w:val="Cuerpodetexto"/>
        <w:rPr>
          <w:rFonts w:ascii="Noto Sans" w:hAnsi="Noto Sans"/>
          <w:sz w:val="21"/>
          <w:szCs w:val="21"/>
        </w:rPr>
      </w:pPr>
      <w:r>
        <w:rPr>
          <w:rFonts w:ascii="Noto Sans" w:hAnsi="Noto Sans"/>
          <w:sz w:val="21"/>
          <w:szCs w:val="21"/>
        </w:rPr>
        <w:t>Tras a verificación destes extremos, publicarase no taboleiro de anuncios a relación de solicitudes, coa indicación das deficiencias detectadas ou a documentación da que carezan, co fin de que a persoa solicitante, no prazo de (10) días hábiles, emenda as deficiencias ou remita os documentos preceptivos.</w:t>
      </w:r>
    </w:p>
    <w:p>
      <w:pPr>
        <w:pStyle w:val="Cuerpodetexto"/>
        <w:rPr>
          <w:rFonts w:ascii="Noto Sans" w:hAnsi="Noto Sans"/>
          <w:sz w:val="21"/>
          <w:szCs w:val="21"/>
        </w:rPr>
      </w:pPr>
      <w:r>
        <w:rPr>
          <w:rFonts w:cs="Liberation Sans;Arial" w:ascii="Noto Sans" w:hAnsi="Noto Sans"/>
          <w:sz w:val="21"/>
          <w:szCs w:val="21"/>
        </w:rPr>
        <w:t>Cando a persoa interesada emende as deficiencias da solicitude ou da documentación, o</w:t>
      </w:r>
      <w:r>
        <w:rPr>
          <w:rFonts w:eastAsia="Times New Roman" w:cs="Liberation Sans;Arial" w:ascii="Noto Sans" w:hAnsi="Noto Sans"/>
          <w:color w:val="000000"/>
          <w:sz w:val="21"/>
          <w:szCs w:val="21"/>
        </w:rPr>
        <w:t xml:space="preserve"> órgano instrutor </w:t>
      </w:r>
      <w:r>
        <w:rPr>
          <w:rFonts w:cs="Liberation Sans;Arial" w:ascii="Noto Sans" w:hAnsi="Noto Sans"/>
          <w:sz w:val="21"/>
          <w:szCs w:val="21"/>
        </w:rPr>
        <w:t xml:space="preserve"> procederá a validalas.</w:t>
      </w:r>
    </w:p>
    <w:p>
      <w:pPr>
        <w:pStyle w:val="Cuerpodetexto"/>
        <w:rPr>
          <w:rFonts w:ascii="Noto Sans" w:hAnsi="Noto Sans"/>
          <w:sz w:val="21"/>
          <w:szCs w:val="21"/>
        </w:rPr>
      </w:pPr>
      <w:r>
        <w:rPr>
          <w:rFonts w:ascii="Noto Sans" w:hAnsi="Noto Sans"/>
          <w:sz w:val="21"/>
          <w:szCs w:val="21"/>
        </w:rPr>
        <w:t>Quedarán excluídas as solicitudes que non se puidesen validar por estar presentadas fóra de prazo, por falta de corrección das deficiencias da solicitude e/ou da documentación.</w:t>
      </w:r>
    </w:p>
    <w:p>
      <w:pPr>
        <w:pStyle w:val="Cuerpodetexto"/>
        <w:rPr>
          <w:rFonts w:ascii="Noto Sans" w:hAnsi="Noto Sans"/>
          <w:sz w:val="21"/>
          <w:szCs w:val="21"/>
        </w:rPr>
      </w:pPr>
      <w:r>
        <w:rPr>
          <w:rFonts w:ascii="Noto Sans" w:hAnsi="Noto Sans"/>
          <w:sz w:val="21"/>
          <w:szCs w:val="21"/>
        </w:rPr>
        <w:t>3. Rematada a fase de pre-avaliación, o órgano instrutor emitirá o informe correspondente e a proposta de resolución. Deberá indicarse de modo expreso que as persoas propostas como beneficiarias das subvencións cumpren todos os requisitos da convocatoria.</w:t>
      </w:r>
    </w:p>
    <w:p>
      <w:pPr>
        <w:pStyle w:val="Cuerpodetexto"/>
        <w:rPr>
          <w:rFonts w:ascii="Noto Sans" w:hAnsi="Noto Sans"/>
          <w:sz w:val="21"/>
          <w:szCs w:val="21"/>
        </w:rPr>
      </w:pPr>
      <w:r>
        <w:rPr>
          <w:rFonts w:ascii="Noto Sans" w:hAnsi="Noto Sans"/>
          <w:sz w:val="21"/>
          <w:szCs w:val="21"/>
        </w:rPr>
        <w:t>4. Mediante resolución da Xunta de Goberno Local, procederase á concesión ou á denegación das axudas. Aquelas solicitudes que, a pesar do requirimento demandado, non completaran a documentación, declararanse desistidas.</w:t>
      </w:r>
    </w:p>
    <w:p>
      <w:pPr>
        <w:pStyle w:val="Cuerpodetexto"/>
        <w:rPr>
          <w:rFonts w:ascii="Noto Sans" w:hAnsi="Noto Sans"/>
          <w:sz w:val="21"/>
          <w:szCs w:val="21"/>
        </w:rPr>
      </w:pPr>
      <w:r>
        <w:rPr>
          <w:rFonts w:eastAsia="Times New Roman" w:cs="Liberation Sans;Arial" w:ascii="Noto Sans" w:hAnsi="Noto Sans"/>
          <w:color w:val="000000"/>
          <w:sz w:val="21"/>
          <w:szCs w:val="21"/>
        </w:rPr>
        <w:t>5. A contía da axuda por alumno/a será a establecida no artigo 2 desta convocatoria</w:t>
      </w:r>
      <w:r>
        <w:rPr>
          <w:rFonts w:eastAsia="Times New Roman" w:cs="Liberation Sans;Arial" w:ascii="Noto Sans" w:hAnsi="Noto Sans"/>
          <w:b/>
          <w:bCs/>
          <w:color w:val="000000"/>
          <w:sz w:val="21"/>
          <w:szCs w:val="21"/>
        </w:rPr>
        <w:t>.</w:t>
      </w:r>
    </w:p>
    <w:p>
      <w:pPr>
        <w:pStyle w:val="Cuerpodetexto"/>
        <w:rPr>
          <w:rFonts w:ascii="Noto Sans" w:hAnsi="Noto Sans"/>
          <w:sz w:val="21"/>
          <w:szCs w:val="21"/>
        </w:rPr>
      </w:pPr>
      <w:r>
        <w:rPr>
          <w:rFonts w:ascii="Noto Sans" w:hAnsi="Noto Sans"/>
          <w:sz w:val="21"/>
          <w:szCs w:val="21"/>
        </w:rPr>
        <w:t>6. O importe da axuda en ningún caso poderá ser de tal contía que, illadamente ou en concorrencia con outras subvencións, ou axudas doutras administracións públicas ou privadas, supere o custo dos gastos acreditados pola persoa beneficiaria.</w:t>
      </w:r>
    </w:p>
    <w:p>
      <w:pPr>
        <w:pStyle w:val="Cuerpodetexto"/>
        <w:rPr>
          <w:rFonts w:ascii="Noto Sans" w:hAnsi="Noto Sans"/>
          <w:sz w:val="21"/>
          <w:szCs w:val="21"/>
        </w:rPr>
      </w:pPr>
      <w:r>
        <w:rPr>
          <w:rFonts w:ascii="Noto Sans" w:hAnsi="Noto Sans"/>
          <w:sz w:val="21"/>
          <w:szCs w:val="21"/>
        </w:rPr>
        <w:t>7. As solicitudes presentadas resolveranse no prazo de tres meses, que se contarán a partir do día seguinte á data de remate do prazo desta convocatoria, e a resolución notificaráselles ás persoas solicitantes.</w:t>
      </w:r>
    </w:p>
    <w:p>
      <w:pPr>
        <w:pStyle w:val="Cuerpodetexto"/>
        <w:rPr>
          <w:rFonts w:ascii="Noto Sans" w:hAnsi="Noto Sans"/>
          <w:sz w:val="21"/>
          <w:szCs w:val="21"/>
        </w:rPr>
      </w:pPr>
      <w:r>
        <w:rPr>
          <w:rFonts w:eastAsia="Times New Roman" w:cs="Liberation Sans;Arial" w:ascii="Noto Sans" w:hAnsi="Noto Sans"/>
          <w:color w:val="000000"/>
          <w:sz w:val="21"/>
          <w:szCs w:val="21"/>
        </w:rPr>
        <w:t xml:space="preserve">8. </w:t>
      </w:r>
      <w:r>
        <w:rPr>
          <w:rFonts w:cs="Liberation Sans;Arial" w:ascii="Noto Sans" w:hAnsi="Noto Sans"/>
          <w:sz w:val="21"/>
          <w:szCs w:val="21"/>
        </w:rPr>
        <w:t>O pago da axuda regulada nesta convocatoria farase unicamente na conta que os solicitantes fagan constar na solicitude, que debe permanecer activa para estes efectos mentres non se teña constancia da finalización do expediente. A Administración non se fará responsable da imposibilidade de efectuar o ingreso por causas directamente imputables aos solicitantes.</w:t>
      </w:r>
    </w:p>
    <w:p>
      <w:pPr>
        <w:pStyle w:val="Cuerpodetexto"/>
        <w:rPr>
          <w:rFonts w:ascii="Noto Sans" w:hAnsi="Noto Sans"/>
          <w:sz w:val="21"/>
          <w:szCs w:val="21"/>
        </w:rPr>
      </w:pPr>
      <w:r>
        <w:rPr>
          <w:rFonts w:eastAsia="Times New Roman" w:cs="Liberation Sans;Arial" w:ascii="Noto Sans" w:hAnsi="Noto Sans"/>
          <w:color w:val="000000"/>
          <w:sz w:val="21"/>
          <w:szCs w:val="21"/>
        </w:rPr>
        <w:t xml:space="preserve">9. Reintegro da axuda: De conformidade co disposto no apartado 9 do artigo 28 da Lei 9/2007, do 13 de xuño, de subvencións de Galicia, a condición de persoa beneficiaria baséase na concorrencia dunha determinada situación que soamente requirirá acreditar, con carácter previo á concesión, que a persoa solicitante reúne os requisitos establecidos nesta orde. Polo que, procederá o reintegro, total ou parcial, da axuda recibida, xunto cos intereses de demora, nos casos indicados no artigo 33 da Lei 9/2007, do 13 de xuño, de subvencións de Galicia, e especialmente no caso de que se detectase que o importe recibido non fose empregado no tipo de axuda concedida e que ao tempo da xustificación da achega non se acredite que permanezan matriculados </w:t>
      </w:r>
      <w:r>
        <w:rPr>
          <w:rFonts w:eastAsia="Times New Roman" w:cs="Liberation Sans;Arial" w:ascii="Noto Sans" w:hAnsi="Noto Sans"/>
          <w:b w:val="false"/>
          <w:bCs w:val="false"/>
          <w:strike w:val="false"/>
          <w:dstrike w:val="false"/>
          <w:color w:val="000000"/>
          <w:sz w:val="21"/>
          <w:szCs w:val="21"/>
        </w:rPr>
        <w:t xml:space="preserve"> no curso escolar 202</w:t>
      </w:r>
      <w:r>
        <w:rPr>
          <w:rFonts w:eastAsia="Times New Roman" w:cs="Liberation Sans;Arial" w:ascii="Noto Sans" w:hAnsi="Noto Sans"/>
          <w:b w:val="false"/>
          <w:bCs w:val="false"/>
          <w:strike w:val="false"/>
          <w:dstrike w:val="false"/>
          <w:color w:val="000000"/>
          <w:sz w:val="21"/>
          <w:szCs w:val="21"/>
        </w:rPr>
        <w:t>2</w:t>
      </w:r>
      <w:r>
        <w:rPr>
          <w:rFonts w:eastAsia="Times New Roman" w:cs="Liberation Sans;Arial" w:ascii="Noto Sans" w:hAnsi="Noto Sans"/>
          <w:b w:val="false"/>
          <w:bCs w:val="false"/>
          <w:strike w:val="false"/>
          <w:dstrike w:val="false"/>
          <w:color w:val="000000"/>
          <w:sz w:val="21"/>
          <w:szCs w:val="21"/>
        </w:rPr>
        <w:t>-202</w:t>
      </w:r>
      <w:r>
        <w:rPr>
          <w:rFonts w:eastAsia="Times New Roman" w:cs="Liberation Sans;Arial" w:ascii="Noto Sans" w:hAnsi="Noto Sans"/>
          <w:b w:val="false"/>
          <w:bCs w:val="false"/>
          <w:strike w:val="false"/>
          <w:dstrike w:val="false"/>
          <w:color w:val="000000"/>
          <w:sz w:val="21"/>
          <w:szCs w:val="21"/>
        </w:rPr>
        <w:t>3</w:t>
      </w:r>
      <w:r>
        <w:rPr>
          <w:rFonts w:eastAsia="Times New Roman" w:cs="Liberation Sans;Arial" w:ascii="Noto Sans" w:hAnsi="Noto Sans"/>
          <w:b w:val="false"/>
          <w:bCs w:val="false"/>
          <w:strike w:val="false"/>
          <w:dstrike w:val="false"/>
          <w:color w:val="000000"/>
          <w:sz w:val="21"/>
          <w:szCs w:val="21"/>
        </w:rPr>
        <w:t xml:space="preserve"> nun centro de ensino do Concello de Rianxo.</w:t>
      </w:r>
    </w:p>
    <w:p>
      <w:pPr>
        <w:pStyle w:val="Cuerpodetexto"/>
        <w:rPr>
          <w:rFonts w:ascii="Noto Sans" w:hAnsi="Noto Sans"/>
          <w:sz w:val="21"/>
          <w:szCs w:val="21"/>
        </w:rPr>
      </w:pPr>
      <w:r>
        <w:rPr>
          <w:rFonts w:ascii="Noto Sans" w:hAnsi="Noto Sans"/>
          <w:sz w:val="21"/>
          <w:szCs w:val="21"/>
        </w:rPr>
        <w:t>10. As subvencións non serán obxecto de publicación, de acordo co artigo 18.3.d) da Lei xeral de subvencións.</w:t>
      </w:r>
    </w:p>
    <w:p>
      <w:pPr>
        <w:pStyle w:val="Cuerpodetexto"/>
        <w:rPr>
          <w:rFonts w:ascii="Noto Sans" w:hAnsi="Noto Sans"/>
          <w:sz w:val="21"/>
          <w:szCs w:val="21"/>
        </w:rPr>
      </w:pPr>
      <w:r>
        <w:rPr>
          <w:rFonts w:ascii="Noto Sans" w:hAnsi="Noto Sans"/>
          <w:sz w:val="21"/>
          <w:szCs w:val="21"/>
        </w:rPr>
        <w:t>11. A resolución do procedemento porá fin á vía administrativa e contra ela poderase interpoñer o recurso contencioso-administrativo perante o Xulgado do Contencioso-Administrativo, no prazo de dous meses contados desde o seguinte ao da notificación da resolución ou no prazo de seis meses a contar desde o día seguinte á data na que poida entenderse desestimada a solicitude por silencio administrativo.</w:t>
      </w:r>
    </w:p>
    <w:p>
      <w:pPr>
        <w:pStyle w:val="Cuerpodetexto"/>
        <w:rPr>
          <w:rFonts w:ascii="Noto Sans" w:hAnsi="Noto Sans"/>
          <w:sz w:val="21"/>
          <w:szCs w:val="21"/>
        </w:rPr>
      </w:pPr>
      <w:r>
        <w:rPr>
          <w:rFonts w:ascii="Noto Sans" w:hAnsi="Noto Sans"/>
          <w:sz w:val="21"/>
          <w:szCs w:val="21"/>
        </w:rPr>
        <w:t>Con carácter potestativo, de conformidade co artigo 123 da Lei 39/2015, do 1 de outubro, de procedemento administrativo común, poderase interpoñer o recurso de reposición no prazo dun mes contado a partir do seguinte ao da notificación da resolución ou desde o seguinte a aquel no que a solicitude poida entenderse desestimada por silencio administrativo.</w:t>
      </w:r>
    </w:p>
    <w:p>
      <w:pPr>
        <w:pStyle w:val="Textopredeterminado"/>
        <w:bidi w:val="0"/>
        <w:jc w:val="both"/>
        <w:rPr>
          <w:rFonts w:ascii="Liberation Sans;Arial" w:hAnsi="Liberation Sans;Arial" w:eastAsia="Times New Roman" w:cs="Liberation Sans;Arial"/>
          <w:i w:val="false"/>
          <w:i w:val="false"/>
          <w:iCs w:val="false"/>
          <w:color w:val="auto"/>
          <w:sz w:val="21"/>
          <w:szCs w:val="21"/>
          <w:lang w:val="gl-ES" w:bidi="ar-SA"/>
        </w:rPr>
      </w:pPr>
      <w:r>
        <w:rPr>
          <w:rFonts w:eastAsia="Times New Roman" w:cs="Liberation Sans;Arial" w:ascii="Liberation Sans;Arial" w:hAnsi="Liberation Sans;Arial"/>
          <w:i w:val="false"/>
          <w:iCs w:val="false"/>
          <w:color w:val="auto"/>
          <w:sz w:val="21"/>
          <w:szCs w:val="21"/>
          <w:lang w:val="gl-ES" w:bidi="ar-SA"/>
        </w:rPr>
      </w:r>
    </w:p>
    <w:p>
      <w:pPr>
        <w:pStyle w:val="Cuerpodetexto"/>
        <w:rPr>
          <w:rFonts w:ascii="Liberation Sans;Arial" w:hAnsi="Liberation Sans;Arial" w:eastAsia="Times New Roman" w:cs="Liberation Sans;Arial"/>
          <w:i w:val="false"/>
          <w:i w:val="false"/>
          <w:iCs w:val="false"/>
          <w:color w:val="auto"/>
          <w:sz w:val="21"/>
          <w:szCs w:val="21"/>
          <w:lang w:val="gl-ES" w:bidi="ar-SA"/>
        </w:rPr>
      </w:pPr>
      <w:r>
        <w:rPr>
          <w:rFonts w:eastAsia="Times New Roman" w:cs="Liberation Sans;Arial" w:ascii="Liberation Sans;Arial" w:hAnsi="Liberation Sans;Arial"/>
          <w:i w:val="false"/>
          <w:iCs w:val="false"/>
          <w:color w:val="auto"/>
          <w:sz w:val="21"/>
          <w:szCs w:val="21"/>
          <w:lang w:val="gl-ES" w:bidi="ar-SA"/>
        </w:rPr>
      </w:r>
    </w:p>
    <w:p>
      <w:pPr>
        <w:pStyle w:val="Cuerpodetexto"/>
        <w:spacing w:before="0" w:after="140"/>
        <w:rPr/>
      </w:pPr>
      <w:r>
        <w:rPr/>
      </w:r>
    </w:p>
    <w:sectPr>
      <w:headerReference w:type="default" r:id="rId3"/>
      <w:headerReference w:type="first" r:id="rId4"/>
      <w:footerReference w:type="default" r:id="rId5"/>
      <w:footerReference w:type="first" r:id="rId6"/>
      <w:type w:val="nextPage"/>
      <w:pgSz w:w="11906" w:h="16838"/>
      <w:pgMar w:left="1134" w:right="1134" w:header="1134" w:top="2438" w:footer="567" w:bottom="130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altName w:val="Liberation Sans"/>
    <w:charset w:val="01"/>
    <w:family w:val="swiss"/>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Noto Sans">
    <w:charset w:val="01"/>
    <w:family w:val="swiss"/>
    <w:pitch w:val="variable"/>
  </w:font>
  <w:font w:name="Tahoma">
    <w:charset w:val="01"/>
    <w:family w:val="swiss"/>
    <w:pitch w:val="variable"/>
  </w:font>
  <w:font w:name="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color w:val="999999"/>
      </w:rPr>
      <w:t xml:space="preserve">Páx. </w:t>
    </w:r>
    <w:r>
      <w:rPr>
        <w:color w:val="999999"/>
      </w:rPr>
      <w:fldChar w:fldCharType="begin"/>
    </w:r>
    <w:r>
      <w:rPr>
        <w:color w:val="999999"/>
      </w:rPr>
      <w:instrText> PAGE </w:instrText>
    </w:r>
    <w:r>
      <w:rPr>
        <w:color w:val="999999"/>
      </w:rPr>
      <w:fldChar w:fldCharType="separate"/>
    </w:r>
    <w:r>
      <w:rPr>
        <w:color w:val="999999"/>
      </w:rPr>
      <w:t>8</w:t>
    </w:r>
    <w:r>
      <w:rPr>
        <w:color w:val="999999"/>
      </w:rPr>
      <w:fldChar w:fldCharType="end"/>
    </w:r>
    <w:r>
      <w:rPr>
        <w:color w:val="999999"/>
      </w:rPr>
      <w:t xml:space="preserve"> de </w:t>
    </w:r>
    <w:r>
      <w:rPr>
        <w:color w:val="999999"/>
      </w:rPr>
      <w:fldChar w:fldCharType="begin"/>
    </w:r>
    <w:r>
      <w:rPr>
        <w:color w:val="999999"/>
      </w:rPr>
      <w:instrText> NUMPAGES \* ARABIC </w:instrText>
    </w:r>
    <w:r>
      <w:rPr>
        <w:color w:val="999999"/>
      </w:rPr>
      <w:fldChar w:fldCharType="separate"/>
    </w:r>
    <w:r>
      <w:rPr>
        <w:color w:val="999999"/>
      </w:rPr>
      <w:t>8</w:t>
    </w:r>
    <w:r>
      <w:rPr>
        <w:color w:val="999999"/>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t>Este documento asinado por medios electrónicos pode ser cotexado co seu orixinal co Código de Verificación Dixital (CVD) que se indica á marxe na Sede Electrónica do Concello de Rianxo https://sede.concelloderianxo.gal (artigo 27.3.c da Lei 39/2015).</w:t>
    </w:r>
  </w:p>
  <w:p>
    <w:pPr>
      <w:pStyle w:val="Piedepgina"/>
      <w:tabs>
        <w:tab w:val="clear" w:pos="4819"/>
        <w:tab w:val="right" w:pos="9638" w:leader="none"/>
      </w:tabs>
      <w:jc w:val="right"/>
      <w:rPr>
        <w:color w:val="999999"/>
      </w:rPr>
    </w:pPr>
    <w:r>
      <w:rPr>
        <w:color w:val="999999"/>
      </w:rPr>
      <w:t>doc. 434.773 exp. 2022/G007/000015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0" distT="0" distB="0" distL="0" distR="0" simplePos="0" locked="0" layoutInCell="0" allowOverlap="1" relativeHeight="9">
          <wp:simplePos x="0" y="0"/>
          <wp:positionH relativeFrom="column">
            <wp:posOffset>0</wp:posOffset>
          </wp:positionH>
          <wp:positionV relativeFrom="paragraph">
            <wp:posOffset>5080</wp:posOffset>
          </wp:positionV>
          <wp:extent cx="1608455" cy="424180"/>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267" t="-995" r="-267" b="-995"/>
                  <a:stretch>
                    <a:fillRect/>
                  </a:stretch>
                </pic:blipFill>
                <pic:spPr bwMode="auto">
                  <a:xfrm>
                    <a:off x="0" y="0"/>
                    <a:ext cx="1608455" cy="4241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drawing>
        <wp:anchor behindDoc="0" distT="0" distB="0" distL="0" distR="0" simplePos="0" locked="0" layoutInCell="0" allowOverlap="1" relativeHeight="2">
          <wp:simplePos x="0" y="0"/>
          <wp:positionH relativeFrom="column">
            <wp:posOffset>0</wp:posOffset>
          </wp:positionH>
          <wp:positionV relativeFrom="paragraph">
            <wp:posOffset>5080</wp:posOffset>
          </wp:positionV>
          <wp:extent cx="1608455" cy="424180"/>
          <wp:effectExtent l="0" t="0" r="0" b="0"/>
          <wp:wrapSquare wrapText="largest"/>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267" t="-995" r="-267" b="-995"/>
                  <a:stretch>
                    <a:fillRect/>
                  </a:stretch>
                </pic:blipFill>
                <pic:spPr bwMode="auto">
                  <a:xfrm>
                    <a:off x="0" y="0"/>
                    <a:ext cx="1608455" cy="424180"/>
                  </a:xfrm>
                  <a:prstGeom prst="rect">
                    <a:avLst/>
                  </a:prstGeom>
                </pic:spPr>
              </pic:pic>
            </a:graphicData>
          </a:graphic>
        </wp:anchor>
      </w:drawing>
    </w:r>
    <w:r>
      <w:rPr/>
      <w:t>C</w:t>
    </w:r>
    <w:r>
      <w:rPr/>
      <w:t>oncello de Rianxo</w:t>
    </w:r>
  </w:p>
  <w:p>
    <w:pPr>
      <w:pStyle w:val="Cabecera"/>
      <w:rPr/>
    </w:pPr>
    <w:r>
      <w:rPr/>
      <w:t>Praza Castelao 1, 15920 Rianxo</w:t>
    </w:r>
  </w:p>
  <w:p>
    <w:pPr>
      <w:pStyle w:val="Cabecera"/>
      <w:rPr/>
    </w:pPr>
    <w:r>
      <w:rPr>
        <w:b/>
        <w:bCs/>
      </w:rPr>
      <w:t>Tfno.</w:t>
    </w:r>
    <w:r>
      <w:rPr/>
      <w:t xml:space="preserve"> 981 860 075 </w:t>
    </w:r>
    <w:r>
      <w:rPr>
        <w:b/>
        <w:bCs/>
      </w:rPr>
      <w:t>Fax</w:t>
    </w:r>
    <w:r>
      <w:rPr/>
      <w:t xml:space="preserve"> 981 866 628</w:t>
    </w:r>
  </w:p>
  <w:p>
    <w:pPr>
      <w:pStyle w:val="Cabecera"/>
      <w:rPr/>
    </w:pPr>
    <w:r>
      <w:rPr/>
      <w:t>rianxo</w:t>
    </w:r>
    <w:r>
      <w:rPr>
        <w:b/>
        <w:bCs/>
      </w:rPr>
      <w:t>.gal</w:t>
    </w:r>
    <w:r>
      <w:rPr/>
      <w:t xml:space="preserve"> concelloderianxo</w:t>
    </w:r>
    <w:r>
      <w:rPr>
        <w:b/>
        <w:bCs/>
      </w:rPr>
      <w:t>.gal</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432" w:hanging="432"/>
      </w:pPr>
      <w:rPr/>
    </w:lvl>
    <w:lvl w:ilvl="1">
      <w:start w:val="1"/>
      <w:pStyle w:val="Ttulo2"/>
      <w:numFmt w:val="none"/>
      <w:suff w:val="nothing"/>
      <w:lvlText w:val=""/>
      <w:lvlJc w:val="left"/>
      <w:pPr>
        <w:tabs>
          <w:tab w:val="num" w:pos="0"/>
        </w:tabs>
        <w:ind w:left="576" w:hanging="576"/>
      </w:pPr>
      <w:rPr/>
    </w:lvl>
    <w:lvl w:ilvl="2">
      <w:start w:val="1"/>
      <w:pStyle w:val="Ttulo3"/>
      <w:numFmt w:val="none"/>
      <w:suff w:val="nothing"/>
      <w:lvlText w:val=""/>
      <w:lvlJc w:val="left"/>
      <w:pPr>
        <w:tabs>
          <w:tab w:val="num" w:pos="0"/>
        </w:tabs>
        <w:ind w:left="720" w:hanging="720"/>
      </w:pPr>
      <w:rPr/>
    </w:lvl>
    <w:lvl w:ilvl="3">
      <w:start w:val="1"/>
      <w:pStyle w:val="Ttulo4"/>
      <w:numFmt w:val="none"/>
      <w:suff w:val="nothing"/>
      <w:lvlText w:val=""/>
      <w:lvlJc w:val="left"/>
      <w:pPr>
        <w:tabs>
          <w:tab w:val="num" w:pos="0"/>
        </w:tabs>
        <w:ind w:left="864" w:hanging="864"/>
      </w:pPr>
      <w:rPr/>
    </w:lvl>
    <w:lvl w:ilvl="4">
      <w:start w:val="1"/>
      <w:pStyle w:val="Ttulo5"/>
      <w:numFmt w:val="none"/>
      <w:suff w:val="nothing"/>
      <w:lvlText w:val=""/>
      <w:lvlJc w:val="left"/>
      <w:pPr>
        <w:tabs>
          <w:tab w:val="num" w:pos="0"/>
        </w:tabs>
        <w:ind w:left="1008" w:hanging="1008"/>
      </w:pPr>
      <w:rPr/>
    </w:lvl>
    <w:lvl w:ilvl="5">
      <w:start w:val="1"/>
      <w:pStyle w:val="Ttulo6"/>
      <w:numFmt w:val="none"/>
      <w:suff w:val="nothing"/>
      <w:lvlText w:val=""/>
      <w:lvlJc w:val="left"/>
      <w:pPr>
        <w:tabs>
          <w:tab w:val="num" w:pos="0"/>
        </w:tabs>
        <w:ind w:left="1152" w:hanging="1152"/>
      </w:pPr>
      <w:rPr/>
    </w:lvl>
    <w:lvl w:ilvl="6">
      <w:start w:val="1"/>
      <w:pStyle w:val="Ttulo7"/>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lvl>
    <w:lvl w:ilvl="8">
      <w:start w:val="1"/>
      <w:pStyle w:val="Ttulo9"/>
      <w:numFmt w:val="none"/>
      <w:suff w:val="nothing"/>
      <w:lvlText w:val=""/>
      <w:lvlJc w:val="left"/>
      <w:pPr>
        <w:tabs>
          <w:tab w:val="num" w:pos="0"/>
        </w:tabs>
        <w:ind w:left="1584" w:hanging="1584"/>
      </w:pPr>
      <w:rPr/>
    </w:lvl>
  </w:abstractNum>
  <w:abstractNum w:abstractNumId="2">
    <w:lvl w:ilvl="0">
      <w:start w:val="1"/>
      <w:numFmt w:val="decimal"/>
      <w:suff w:val="space"/>
      <w:lvlText w:val="%1."/>
      <w:lvlJc w:val="left"/>
      <w:pPr>
        <w:tabs>
          <w:tab w:val="num" w:pos="0"/>
        </w:tabs>
        <w:ind w:left="283" w:hanging="283"/>
      </w:pPr>
      <w:rPr/>
    </w:lvl>
    <w:lvl w:ilvl="1">
      <w:start w:val="1"/>
      <w:numFmt w:val="decimal"/>
      <w:suff w:val="space"/>
      <w:lvlText w:val="%2."/>
      <w:lvlJc w:val="left"/>
      <w:pPr>
        <w:tabs>
          <w:tab w:val="num" w:pos="0"/>
        </w:tabs>
        <w:ind w:left="567" w:hanging="283"/>
      </w:pPr>
      <w:rPr/>
    </w:lvl>
    <w:lvl w:ilvl="2">
      <w:start w:val="1"/>
      <w:numFmt w:val="decimal"/>
      <w:suff w:val="space"/>
      <w:lvlText w:val="%3."/>
      <w:lvlJc w:val="left"/>
      <w:pPr>
        <w:tabs>
          <w:tab w:val="num" w:pos="0"/>
        </w:tabs>
        <w:ind w:left="850" w:hanging="283"/>
      </w:pPr>
      <w:rPr/>
    </w:lvl>
    <w:lvl w:ilvl="3">
      <w:start w:val="1"/>
      <w:numFmt w:val="decimal"/>
      <w:suff w:val="space"/>
      <w:lvlText w:val="%4."/>
      <w:lvlJc w:val="left"/>
      <w:pPr>
        <w:tabs>
          <w:tab w:val="num" w:pos="0"/>
        </w:tabs>
        <w:ind w:left="1134" w:hanging="283"/>
      </w:pPr>
      <w:rPr/>
    </w:lvl>
    <w:lvl w:ilvl="4">
      <w:start w:val="1"/>
      <w:numFmt w:val="decimal"/>
      <w:suff w:val="space"/>
      <w:lvlText w:val="%5."/>
      <w:lvlJc w:val="left"/>
      <w:pPr>
        <w:tabs>
          <w:tab w:val="num" w:pos="0"/>
        </w:tabs>
        <w:ind w:left="1417" w:hanging="283"/>
      </w:pPr>
      <w:rPr/>
    </w:lvl>
    <w:lvl w:ilvl="5">
      <w:start w:val="1"/>
      <w:numFmt w:val="decimal"/>
      <w:suff w:val="space"/>
      <w:lvlText w:val="%6."/>
      <w:lvlJc w:val="left"/>
      <w:pPr>
        <w:tabs>
          <w:tab w:val="num" w:pos="0"/>
        </w:tabs>
        <w:ind w:left="1701" w:hanging="283"/>
      </w:pPr>
      <w:rPr/>
    </w:lvl>
    <w:lvl w:ilvl="6">
      <w:start w:val="1"/>
      <w:numFmt w:val="decimal"/>
      <w:suff w:val="space"/>
      <w:lvlText w:val="%7."/>
      <w:lvlJc w:val="left"/>
      <w:pPr>
        <w:tabs>
          <w:tab w:val="num" w:pos="0"/>
        </w:tabs>
        <w:ind w:left="1984" w:hanging="283"/>
      </w:pPr>
      <w:rPr/>
    </w:lvl>
    <w:lvl w:ilvl="7">
      <w:start w:val="1"/>
      <w:numFmt w:val="decimal"/>
      <w:suff w:val="space"/>
      <w:lvlText w:val="%8."/>
      <w:lvlJc w:val="left"/>
      <w:pPr>
        <w:tabs>
          <w:tab w:val="num" w:pos="0"/>
        </w:tabs>
        <w:ind w:left="2268" w:hanging="283"/>
      </w:pPr>
      <w:rPr/>
    </w:lvl>
    <w:lvl w:ilvl="8">
      <w:start w:val="1"/>
      <w:numFmt w:val="decimal"/>
      <w:suff w:val="space"/>
      <w:lvlText w:val="%9."/>
      <w:lvlJc w:val="left"/>
      <w:pPr>
        <w:tabs>
          <w:tab w:val="num" w:pos="0"/>
        </w:tabs>
        <w:ind w:left="2551" w:hanging="283"/>
      </w:pPr>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1080"/>
        </w:tabs>
        <w:ind w:left="1080" w:hanging="360"/>
      </w:pPr>
      <w:rPr>
        <w:rFonts w:ascii="Symbol" w:hAnsi="Symbol" w:cs="Symbol" w:hint="default"/>
      </w:rPr>
    </w:lvl>
    <w:lvl w:ilvl="1">
      <w:start w:val="1"/>
      <w:numFmt w:val="bullet"/>
      <w:lvlText w:val="◦"/>
      <w:lvlJc w:val="left"/>
      <w:pPr>
        <w:tabs>
          <w:tab w:val="num" w:pos="1440"/>
        </w:tabs>
        <w:ind w:left="1440" w:hanging="360"/>
      </w:pPr>
      <w:rPr>
        <w:rFonts w:ascii="OpenSymbol" w:hAnsi="OpenSymbol" w:cs="OpenSymbol" w:hint="default"/>
      </w:rPr>
    </w:lvl>
    <w:lvl w:ilvl="2">
      <w:start w:val="1"/>
      <w:numFmt w:val="bullet"/>
      <w:lvlText w:val="▪"/>
      <w:lvlJc w:val="left"/>
      <w:pPr>
        <w:tabs>
          <w:tab w:val="num" w:pos="1800"/>
        </w:tabs>
        <w:ind w:left="1800" w:hanging="360"/>
      </w:pPr>
      <w:rPr>
        <w:rFonts w:ascii="OpenSymbol" w:hAnsi="OpenSymbol" w:cs="OpenSymbol" w:hint="default"/>
      </w:rPr>
    </w:lvl>
    <w:lvl w:ilvl="3">
      <w:start w:val="1"/>
      <w:numFmt w:val="bullet"/>
      <w:lvlText w:val=""/>
      <w:lvlJc w:val="left"/>
      <w:pPr>
        <w:tabs>
          <w:tab w:val="num" w:pos="2160"/>
        </w:tabs>
        <w:ind w:left="2160" w:hanging="360"/>
      </w:pPr>
      <w:rPr>
        <w:rFonts w:ascii="Symbol" w:hAnsi="Symbol" w:cs="Symbol" w:hint="default"/>
      </w:rPr>
    </w:lvl>
    <w:lvl w:ilvl="4">
      <w:start w:val="1"/>
      <w:numFmt w:val="bullet"/>
      <w:lvlText w:val="◦"/>
      <w:lvlJc w:val="left"/>
      <w:pPr>
        <w:tabs>
          <w:tab w:val="num" w:pos="2520"/>
        </w:tabs>
        <w:ind w:left="2520" w:hanging="360"/>
      </w:pPr>
      <w:rPr>
        <w:rFonts w:ascii="OpenSymbol" w:hAnsi="OpenSymbol" w:cs="OpenSymbol" w:hint="default"/>
      </w:rPr>
    </w:lvl>
    <w:lvl w:ilvl="5">
      <w:start w:val="1"/>
      <w:numFmt w:val="bullet"/>
      <w:lvlText w:val="▪"/>
      <w:lvlJc w:val="left"/>
      <w:pPr>
        <w:tabs>
          <w:tab w:val="num" w:pos="2880"/>
        </w:tabs>
        <w:ind w:left="2880" w:hanging="360"/>
      </w:pPr>
      <w:rPr>
        <w:rFonts w:ascii="OpenSymbol" w:hAnsi="OpenSymbol" w:cs="OpenSymbol" w:hint="default"/>
      </w:rPr>
    </w:lvl>
    <w:lvl w:ilvl="6">
      <w:start w:val="1"/>
      <w:numFmt w:val="bullet"/>
      <w:lvlText w:val=""/>
      <w:lvlJc w:val="left"/>
      <w:pPr>
        <w:tabs>
          <w:tab w:val="num" w:pos="3240"/>
        </w:tabs>
        <w:ind w:left="3240" w:hanging="360"/>
      </w:pPr>
      <w:rPr>
        <w:rFonts w:ascii="Symbol" w:hAnsi="Symbol" w:cs="Symbol" w:hint="default"/>
      </w:rPr>
    </w:lvl>
    <w:lvl w:ilvl="7">
      <w:start w:val="1"/>
      <w:numFmt w:val="bullet"/>
      <w:lvlText w:val="◦"/>
      <w:lvlJc w:val="left"/>
      <w:pPr>
        <w:tabs>
          <w:tab w:val="num" w:pos="3600"/>
        </w:tabs>
        <w:ind w:left="3600" w:hanging="360"/>
      </w:pPr>
      <w:rPr>
        <w:rFonts w:ascii="OpenSymbol" w:hAnsi="OpenSymbol" w:cs="OpenSymbol" w:hint="default"/>
      </w:rPr>
    </w:lvl>
    <w:lvl w:ilvl="8">
      <w:start w:val="1"/>
      <w:numFmt w:val="bullet"/>
      <w:lvlText w:val="▪"/>
      <w:lvlJc w:val="left"/>
      <w:pPr>
        <w:tabs>
          <w:tab w:val="num" w:pos="3960"/>
        </w:tabs>
        <w:ind w:left="396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68"/>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gl-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Noto Sans;Liberation Sans" w:hAnsi="Noto Sans;Liberation Sans" w:eastAsia="Source Han Sans CN Regular" w:cs="Lohit Devanagari"/>
      <w:color w:val="auto"/>
      <w:kern w:val="2"/>
      <w:sz w:val="21"/>
      <w:szCs w:val="24"/>
      <w:lang w:val="gl-ES" w:eastAsia="zh-CN" w:bidi="hi-IN"/>
    </w:rPr>
  </w:style>
  <w:style w:type="paragraph" w:styleId="Ttulo1">
    <w:name w:val="Heading 1"/>
    <w:basedOn w:val="Ttulo"/>
    <w:next w:val="Cuerpodetexto"/>
    <w:qFormat/>
    <w:pPr>
      <w:numPr>
        <w:ilvl w:val="0"/>
        <w:numId w:val="1"/>
      </w:numPr>
      <w:bidi w:val="0"/>
      <w:spacing w:before="240" w:after="120"/>
      <w:ind w:left="0" w:right="0" w:hanging="0"/>
      <w:outlineLvl w:val="0"/>
    </w:pPr>
    <w:rPr>
      <w:b w:val="false"/>
      <w:bCs/>
      <w:caps/>
      <w:sz w:val="21"/>
      <w:szCs w:val="36"/>
    </w:rPr>
  </w:style>
  <w:style w:type="paragraph" w:styleId="Ttulo2">
    <w:name w:val="Heading 2"/>
    <w:basedOn w:val="Ttulo"/>
    <w:next w:val="Cuerpodetexto"/>
    <w:qFormat/>
    <w:pPr>
      <w:numPr>
        <w:ilvl w:val="1"/>
        <w:numId w:val="1"/>
      </w:numPr>
      <w:bidi w:val="0"/>
      <w:spacing w:before="200" w:after="120"/>
      <w:ind w:left="0" w:right="0" w:hanging="0"/>
      <w:outlineLvl w:val="1"/>
    </w:pPr>
    <w:rPr>
      <w:b/>
      <w:bCs/>
      <w:sz w:val="21"/>
      <w:szCs w:val="32"/>
    </w:rPr>
  </w:style>
  <w:style w:type="paragraph" w:styleId="Ttulo3">
    <w:name w:val="Heading 3"/>
    <w:basedOn w:val="Ttulo"/>
    <w:next w:val="Cuerpodetexto"/>
    <w:qFormat/>
    <w:pPr>
      <w:numPr>
        <w:ilvl w:val="2"/>
        <w:numId w:val="1"/>
      </w:numPr>
      <w:bidi w:val="0"/>
      <w:spacing w:before="140" w:after="120"/>
      <w:outlineLvl w:val="2"/>
    </w:pPr>
    <w:rPr>
      <w:b w:val="false"/>
      <w:bCs/>
      <w:i w:val="false"/>
      <w:sz w:val="21"/>
      <w:szCs w:val="28"/>
      <w:u w:val="single"/>
    </w:rPr>
  </w:style>
  <w:style w:type="paragraph" w:styleId="Ttulo4">
    <w:name w:val="Heading 4"/>
    <w:basedOn w:val="Ttulo"/>
    <w:next w:val="Cuerpodetexto"/>
    <w:qFormat/>
    <w:pPr>
      <w:numPr>
        <w:ilvl w:val="3"/>
        <w:numId w:val="1"/>
      </w:numPr>
      <w:spacing w:before="120" w:after="120"/>
      <w:outlineLvl w:val="3"/>
    </w:pPr>
    <w:rPr>
      <w:b/>
      <w:bCs/>
      <w:i/>
      <w:iCs/>
      <w:sz w:val="20"/>
      <w:szCs w:val="27"/>
    </w:rPr>
  </w:style>
  <w:style w:type="paragraph" w:styleId="Ttulo5">
    <w:name w:val="Heading 5"/>
    <w:basedOn w:val="Ttulo"/>
    <w:next w:val="Cuerpodetexto"/>
    <w:qFormat/>
    <w:pPr>
      <w:numPr>
        <w:ilvl w:val="4"/>
        <w:numId w:val="1"/>
      </w:numPr>
      <w:spacing w:before="120" w:after="60"/>
      <w:outlineLvl w:val="4"/>
    </w:pPr>
    <w:rPr>
      <w:b/>
      <w:bCs/>
      <w:sz w:val="18"/>
      <w:szCs w:val="24"/>
    </w:rPr>
  </w:style>
  <w:style w:type="paragraph" w:styleId="Ttulo6">
    <w:name w:val="Heading 6"/>
    <w:basedOn w:val="Ttulo"/>
    <w:next w:val="Cuerpodetexto"/>
    <w:qFormat/>
    <w:pPr>
      <w:numPr>
        <w:ilvl w:val="5"/>
        <w:numId w:val="1"/>
      </w:numPr>
      <w:spacing w:before="60" w:after="60"/>
      <w:outlineLvl w:val="5"/>
    </w:pPr>
    <w:rPr>
      <w:b/>
      <w:bCs/>
      <w:i/>
      <w:iCs/>
      <w:sz w:val="18"/>
      <w:szCs w:val="24"/>
    </w:rPr>
  </w:style>
  <w:style w:type="paragraph" w:styleId="Ttulo7">
    <w:name w:val="Heading 7"/>
    <w:basedOn w:val="Ttulo"/>
    <w:next w:val="Cuerpodetexto"/>
    <w:qFormat/>
    <w:pPr>
      <w:numPr>
        <w:ilvl w:val="6"/>
        <w:numId w:val="1"/>
      </w:numPr>
      <w:spacing w:before="60" w:after="60"/>
      <w:outlineLvl w:val="6"/>
    </w:pPr>
    <w:rPr>
      <w:b/>
      <w:bCs/>
      <w:sz w:val="17"/>
      <w:szCs w:val="22"/>
    </w:rPr>
  </w:style>
  <w:style w:type="paragraph" w:styleId="Ttulo9">
    <w:name w:val="Heading 9"/>
    <w:basedOn w:val="Ttulo"/>
    <w:next w:val="Cuerpodetexto"/>
    <w:qFormat/>
    <w:pPr>
      <w:numPr>
        <w:ilvl w:val="8"/>
        <w:numId w:val="1"/>
      </w:numPr>
      <w:spacing w:before="60" w:after="60"/>
      <w:outlineLvl w:val="8"/>
    </w:pPr>
    <w:rPr>
      <w:b/>
      <w:bCs/>
      <w:sz w:val="18"/>
      <w:szCs w:val="1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5z0">
    <w:name w:val="WW8Num5z0"/>
    <w:qFormat/>
    <w:rPr>
      <w:rFonts w:ascii="Symbol" w:hAnsi="Symbol" w:cs="OpenSymbol;Arial Unicode MS"/>
    </w:rPr>
  </w:style>
  <w:style w:type="character" w:styleId="WW8Num5z1">
    <w:name w:val="WW8Num5z1"/>
    <w:qFormat/>
    <w:rPr>
      <w:rFonts w:ascii="OpenSymbol;Arial Unicode MS" w:hAnsi="OpenSymbol;Arial Unicode MS" w:cs="OpenSymbol;Arial Unicode MS"/>
    </w:rPr>
  </w:style>
  <w:style w:type="character" w:styleId="WW8Num6z0">
    <w:name w:val="WW8Num6z0"/>
    <w:qFormat/>
    <w:rPr>
      <w:rFonts w:ascii="Symbol" w:hAnsi="Symbol" w:cs="OpenSymbol;Arial Unicode MS"/>
    </w:rPr>
  </w:style>
  <w:style w:type="character" w:styleId="WW8Num6z1">
    <w:name w:val="WW8Num6z1"/>
    <w:qFormat/>
    <w:rPr>
      <w:rFonts w:ascii="OpenSymbol;Arial Unicode MS" w:hAnsi="OpenSymbol;Arial Unicode MS" w:cs="OpenSymbol;Arial Unicode MS"/>
    </w:rPr>
  </w:style>
  <w:style w:type="character" w:styleId="Smbolosdenumeracin">
    <w:name w:val="Símbolos de numeración"/>
    <w:qForma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character" w:styleId="WWWW8Num3z0">
    <w:name w:val="WW-WW8Num3z0"/>
    <w:qFormat/>
    <w:rPr>
      <w:rFonts w:ascii="Symbol" w:hAnsi="Symbol" w:cs="OpenSymbol;Arial Unicode MS"/>
    </w:rPr>
  </w:style>
  <w:style w:type="character" w:styleId="WWWW8Num3z1">
    <w:name w:val="WW-WW8Num3z1"/>
    <w:qFormat/>
    <w:rPr>
      <w:rFonts w:ascii="OpenSymbol;Arial Unicode MS" w:hAnsi="OpenSymbol;Arial Unicode MS" w:cs="OpenSymbol;Arial Unicode MS"/>
    </w:rPr>
  </w:style>
  <w:style w:type="character" w:styleId="WWWW8Num4z0">
    <w:name w:val="WW-WW8Num4z0"/>
    <w:qFormat/>
    <w:rPr>
      <w:rFonts w:ascii="Symbol" w:hAnsi="Symbol" w:cs="OpenSymbol;Arial Unicode MS"/>
    </w:rPr>
  </w:style>
  <w:style w:type="character" w:styleId="WWWW8Num5z0">
    <w:name w:val="WW-WW8Num5z0"/>
    <w:qFormat/>
    <w:rPr>
      <w:rFonts w:ascii="Symbol" w:hAnsi="Symbol" w:cs="OpenSymbol;Arial Unicode MS"/>
    </w:rPr>
  </w:style>
  <w:style w:type="character" w:styleId="WWWW8Num5z1">
    <w:name w:val="WW-WW8Num5z1"/>
    <w:qFormat/>
    <w:rPr>
      <w:rFonts w:ascii="OpenSymbol;Arial Unicode MS" w:hAnsi="OpenSymbol;Arial Unicode MS" w:cs="OpenSymbol;Arial Unicode MS"/>
    </w:rPr>
  </w:style>
  <w:style w:type="character" w:styleId="EnlacedeInternetvisitado">
    <w:name w:val="Enlace de Internet visitado"/>
    <w:rPr>
      <w:color w:val="800000"/>
      <w:u w:val="single"/>
      <w:lang w:val="zxx" w:eastAsia="zxx" w:bidi="zxx"/>
    </w:rPr>
  </w:style>
  <w:style w:type="paragraph" w:styleId="Ttulo">
    <w:name w:val="Título"/>
    <w:basedOn w:val="Normal"/>
    <w:next w:val="Cuerpodetexto"/>
    <w:qFormat/>
    <w:pPr>
      <w:keepNext w:val="true"/>
      <w:bidi w:val="0"/>
      <w:spacing w:before="240" w:after="120"/>
    </w:pPr>
    <w:rPr>
      <w:rFonts w:ascii="Noto Sans;Liberation Sans" w:hAnsi="Noto Sans;Liberation Sans" w:eastAsia="Source Han Sans CN Regular" w:cs="Lohit Devanagari"/>
      <w:sz w:val="21"/>
      <w:szCs w:val="28"/>
    </w:rPr>
  </w:style>
  <w:style w:type="paragraph" w:styleId="Cuerpodetexto">
    <w:name w:val="Body Text"/>
    <w:basedOn w:val="Normal"/>
    <w:pPr>
      <w:tabs>
        <w:tab w:val="clear" w:pos="709"/>
        <w:tab w:val="left" w:pos="4819" w:leader="none"/>
      </w:tabs>
      <w:bidi w:val="0"/>
      <w:spacing w:lineRule="auto" w:line="276" w:before="0" w:after="140"/>
      <w:jc w:val="both"/>
    </w:pPr>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ohit Devanagari"/>
    </w:rPr>
  </w:style>
  <w:style w:type="paragraph" w:styleId="Lenda">
    <w:name w:val="Lenda"/>
    <w:basedOn w:val="Normal"/>
    <w:qFormat/>
    <w:pPr>
      <w:suppressLineNumbers/>
      <w:spacing w:before="120" w:after="120"/>
    </w:pPr>
    <w:rPr>
      <w:rFonts w:cs="Lohit Devanagari"/>
      <w:i/>
      <w:iCs/>
      <w:sz w:val="24"/>
      <w:szCs w:val="24"/>
    </w:rPr>
  </w:style>
  <w:style w:type="paragraph" w:styleId="Heading">
    <w:name w:val="Heading"/>
    <w:basedOn w:val="Ttulo"/>
    <w:next w:val="Cuerpodetexto"/>
    <w:qFormat/>
    <w:pPr>
      <w:bidi w:val="0"/>
      <w:jc w:val="left"/>
    </w:pPr>
    <w:rPr>
      <w:b w:val="false"/>
      <w:bCs/>
      <w:caps/>
      <w:sz w:val="21"/>
      <w:szCs w:val="56"/>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lang w:val="zxx" w:eastAsia="zxx" w:bidi="zxx"/>
    </w:rPr>
  </w:style>
  <w:style w:type="paragraph" w:styleId="Citas">
    <w:name w:val="Citas"/>
    <w:basedOn w:val="Normal"/>
    <w:qFormat/>
    <w:pPr>
      <w:spacing w:before="0" w:after="283"/>
      <w:ind w:left="567" w:right="567" w:hanging="0"/>
    </w:pPr>
    <w:rPr/>
  </w:style>
  <w:style w:type="paragraph" w:styleId="Subttulo">
    <w:name w:val="Subtitle"/>
    <w:basedOn w:val="Ttulo"/>
    <w:next w:val="Cuerpodetexto"/>
    <w:qFormat/>
    <w:pPr>
      <w:bidi w:val="0"/>
      <w:spacing w:before="60" w:after="120"/>
      <w:jc w:val="left"/>
    </w:pPr>
    <w:rPr>
      <w:i/>
      <w:sz w:val="21"/>
      <w:szCs w:val="36"/>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4819" w:leader="none"/>
        <w:tab w:val="right" w:pos="9638" w:leader="none"/>
      </w:tabs>
      <w:bidi w:val="0"/>
      <w:jc w:val="right"/>
    </w:pPr>
    <w:rPr>
      <w:rFonts w:ascii="Noto Sans" w:hAnsi="Noto Sans" w:cs="Noto Sans"/>
      <w:sz w:val="16"/>
    </w:rPr>
  </w:style>
  <w:style w:type="paragraph" w:styleId="Piedepgina">
    <w:name w:val="Footer"/>
    <w:basedOn w:val="Normal"/>
    <w:pPr>
      <w:suppressLineNumbers/>
      <w:tabs>
        <w:tab w:val="clear" w:pos="709"/>
        <w:tab w:val="center" w:pos="4819" w:leader="none"/>
        <w:tab w:val="right" w:pos="9638" w:leader="none"/>
      </w:tabs>
      <w:bidi w:val="0"/>
    </w:pPr>
    <w:rPr>
      <w:sz w:val="16"/>
    </w:rPr>
  </w:style>
  <w:style w:type="paragraph" w:styleId="Cabeceiraesquerda">
    <w:name w:val="Cabeceira esquerda"/>
    <w:basedOn w:val="Normal"/>
    <w:qFormat/>
    <w:pPr>
      <w:suppressLineNumbers/>
      <w:tabs>
        <w:tab w:val="clear" w:pos="709"/>
        <w:tab w:val="center" w:pos="4819" w:leader="none"/>
        <w:tab w:val="right" w:pos="9638" w:leader="none"/>
      </w:tabs>
    </w:pPr>
    <w:rPr/>
  </w:style>
  <w:style w:type="paragraph" w:styleId="Lista1">
    <w:name w:val="List 2"/>
    <w:basedOn w:val="Lista"/>
    <w:pPr>
      <w:widowControl/>
      <w:spacing w:before="0" w:after="120"/>
      <w:ind w:left="360" w:right="0" w:hanging="360"/>
    </w:pPr>
    <w:rPr>
      <w:rFonts w:ascii="Times New Roman" w:hAnsi="Times New Roman" w:eastAsia="Times New Roman" w:cs="Times New Roman"/>
      <w:color w:val="auto"/>
      <w:sz w:val="20"/>
      <w:szCs w:val="20"/>
    </w:rPr>
  </w:style>
  <w:style w:type="paragraph" w:styleId="Numeracin1">
    <w:name w:val="List 3"/>
    <w:basedOn w:val="Lista"/>
    <w:pPr>
      <w:widowControl/>
      <w:numPr>
        <w:ilvl w:val="0"/>
        <w:numId w:val="2"/>
      </w:numPr>
      <w:spacing w:before="1134" w:after="425"/>
      <w:ind w:left="0" w:right="0" w:hanging="0"/>
    </w:pPr>
    <w:rPr>
      <w:rFonts w:ascii="Times New Roman" w:hAnsi="Times New Roman" w:eastAsia="Times New Roman" w:cs="Times New Roman"/>
      <w:b/>
      <w:caps/>
      <w:color w:val="auto"/>
      <w:sz w:val="24"/>
      <w:szCs w:val="20"/>
    </w:rPr>
  </w:style>
  <w:style w:type="paragraph" w:styleId="Textoindependiente2">
    <w:name w:val="Texto independiente 2"/>
    <w:basedOn w:val="Normal"/>
    <w:qFormat/>
    <w:pPr>
      <w:widowControl/>
      <w:jc w:val="center"/>
    </w:pPr>
    <w:rPr>
      <w:rFonts w:ascii="Tahoma" w:hAnsi="Tahoma" w:eastAsia="Times New Roman" w:cs="Tahoma"/>
      <w:b/>
      <w:color w:val="auto"/>
      <w:sz w:val="28"/>
      <w:szCs w:val="22"/>
      <w:lang w:val="gl-ES"/>
    </w:rPr>
  </w:style>
  <w:style w:type="paragraph" w:styleId="Cuerpodetextoconsangra">
    <w:name w:val="Body Text Indent"/>
    <w:basedOn w:val="Normal"/>
    <w:pPr>
      <w:ind w:left="283" w:right="0" w:hanging="0"/>
    </w:pPr>
    <w:rPr/>
  </w:style>
  <w:style w:type="paragraph" w:styleId="Textopredeterminado">
    <w:name w:val="Texto predeterminado"/>
    <w:qFormat/>
    <w:pPr>
      <w:widowControl w:val="false"/>
      <w:suppressAutoHyphens w:val="true"/>
      <w:bidi w:val="0"/>
      <w:ind w:left="0" w:right="0" w:hanging="0"/>
    </w:pPr>
    <w:rPr>
      <w:rFonts w:ascii="Times New Roman" w:hAnsi="Times New Roman" w:eastAsia="Times New Roman" w:cs="Times New Roman"/>
      <w:color w:val="000000"/>
      <w:sz w:val="24"/>
      <w:szCs w:val="24"/>
      <w:lang w:val="gl-ES"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ede.concelloderianxo.gal/opencms/gl/"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Default</Template>
  <TotalTime>166</TotalTime>
  <Application>LibreOffice/7.0.2.2$Windows_X86_64 LibreOffice_project/8349ace3c3162073abd90d81fd06dcfb6b36b994</Application>
  <Pages>8</Pages>
  <Words>2505</Words>
  <Characters>13697</Characters>
  <CharactersWithSpaces>16089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2018-02-19T11:07:30Z</dcterms:created>
  <dc:creator/>
  <dc:description/>
  <dc:language>gl-ES</dc:language>
  <cp:lastModifiedBy/>
  <dcterms:modified xsi:type="dcterms:W3CDTF">2022-09-06T13:21:58Z</dcterms:modified>
  <cp:revision>34</cp:revision>
  <dc:subject/>
  <dc:title/>
</cp:coreProperties>
</file>