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rFonts w:ascii="Century Gothic" w:hAnsi="Century Gothic" w:eastAsia="Times New Roman" w:cs="Arial"/>
          <w:b/>
          <w:b/>
          <w:bCs/>
          <w:color w:val="000000"/>
          <w:kern w:val="2"/>
          <w:sz w:val="48"/>
          <w:szCs w:val="48"/>
          <w:lang w:eastAsia="es-ES"/>
        </w:rPr>
      </w:pPr>
      <w:r>
        <w:rPr>
          <w:rFonts w:eastAsia="Times New Roman" w:cs="Arial" w:ascii="Century Gothic" w:hAnsi="Century Gothic"/>
          <w:b/>
          <w:bCs/>
          <w:color w:val="000000"/>
          <w:kern w:val="2"/>
          <w:sz w:val="48"/>
          <w:szCs w:val="48"/>
          <w:lang w:eastAsia="es-ES"/>
        </w:rPr>
        <w:drawing>
          <wp:anchor behindDoc="0" distT="0" distB="0" distL="114300" distR="114300" simplePos="0" locked="0" layoutInCell="0" allowOverlap="1" relativeHeight="10">
            <wp:simplePos x="0" y="0"/>
            <wp:positionH relativeFrom="column">
              <wp:posOffset>-213995</wp:posOffset>
            </wp:positionH>
            <wp:positionV relativeFrom="paragraph">
              <wp:posOffset>1289685</wp:posOffset>
            </wp:positionV>
            <wp:extent cx="3561080" cy="1250950"/>
            <wp:effectExtent l="0" t="0" r="0" b="0"/>
            <wp:wrapTight wrapText="bothSides">
              <wp:wrapPolygon edited="0">
                <wp:start x="2076" y="2628"/>
                <wp:lineTo x="1151" y="3942"/>
                <wp:lineTo x="920" y="13154"/>
                <wp:lineTo x="1614" y="15783"/>
                <wp:lineTo x="1730" y="15783"/>
                <wp:lineTo x="20104" y="15783"/>
                <wp:lineTo x="20218" y="15783"/>
                <wp:lineTo x="20564" y="13811"/>
                <wp:lineTo x="20795" y="10520"/>
                <wp:lineTo x="19756" y="9862"/>
                <wp:lineTo x="11782" y="7233"/>
                <wp:lineTo x="2654" y="2628"/>
                <wp:lineTo x="2076" y="2628"/>
              </wp:wrapPolygon>
            </wp:wrapTight>
            <wp:docPr id="1" name="0 Imagen" descr="logoalmendralej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Imagen" descr="logoalmendralejo.png"/>
                    <pic:cNvPicPr>
                      <a:picLocks noChangeAspect="1" noChangeArrowheads="1"/>
                    </pic:cNvPicPr>
                  </pic:nvPicPr>
                  <pic:blipFill>
                    <a:blip r:embed="rId2"/>
                    <a:stretch>
                      <a:fillRect/>
                    </a:stretch>
                  </pic:blipFill>
                  <pic:spPr bwMode="auto">
                    <a:xfrm>
                      <a:off x="0" y="0"/>
                      <a:ext cx="3561080" cy="1250950"/>
                    </a:xfrm>
                    <a:prstGeom prst="rect">
                      <a:avLst/>
                    </a:prstGeom>
                  </pic:spPr>
                </pic:pic>
              </a:graphicData>
            </a:graphic>
          </wp:anchor>
        </w:drawing>
      </w:r>
    </w:p>
    <w:p>
      <w:pPr>
        <w:pStyle w:val="Normal"/>
        <w:spacing w:lineRule="auto" w:line="360"/>
        <w:jc w:val="center"/>
        <w:rPr>
          <w:rFonts w:ascii="Century Gothic" w:hAnsi="Century Gothic" w:eastAsia="Times New Roman" w:cs="Arial"/>
          <w:b/>
          <w:b/>
          <w:bCs/>
          <w:color w:val="000000"/>
          <w:kern w:val="2"/>
          <w:sz w:val="48"/>
          <w:szCs w:val="48"/>
          <w:lang w:eastAsia="es-ES"/>
        </w:rPr>
      </w:pPr>
      <w:r>
        <w:rPr>
          <w:rFonts w:eastAsia="Times New Roman" w:cs="Arial" w:ascii="Century Gothic" w:hAnsi="Century Gothic"/>
          <w:b/>
          <w:bCs/>
          <w:color w:val="000000"/>
          <w:kern w:val="2"/>
          <w:sz w:val="48"/>
          <w:szCs w:val="48"/>
          <w:lang w:eastAsia="es-ES"/>
        </w:rPr>
        <w:drawing>
          <wp:anchor behindDoc="0" distT="0" distB="0" distL="114300" distR="114300" simplePos="0" locked="0" layoutInCell="0" allowOverlap="1" relativeHeight="19">
            <wp:simplePos x="0" y="0"/>
            <wp:positionH relativeFrom="column">
              <wp:posOffset>3180715</wp:posOffset>
            </wp:positionH>
            <wp:positionV relativeFrom="paragraph">
              <wp:posOffset>400685</wp:posOffset>
            </wp:positionV>
            <wp:extent cx="2500630" cy="1690370"/>
            <wp:effectExtent l="0" t="0" r="0" b="0"/>
            <wp:wrapTight wrapText="bothSides">
              <wp:wrapPolygon edited="0">
                <wp:start x="-165" y="0"/>
                <wp:lineTo x="-165" y="21416"/>
                <wp:lineTo x="21552" y="21416"/>
                <wp:lineTo x="21552" y="0"/>
                <wp:lineTo x="-165" y="0"/>
              </wp:wrapPolygon>
            </wp:wrapTight>
            <wp:docPr id="2" name="4 Imagen" descr="in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 Imagen" descr="inn.png"/>
                    <pic:cNvPicPr>
                      <a:picLocks noChangeAspect="1" noChangeArrowheads="1"/>
                    </pic:cNvPicPr>
                  </pic:nvPicPr>
                  <pic:blipFill>
                    <a:blip r:embed="rId3"/>
                    <a:stretch>
                      <a:fillRect/>
                    </a:stretch>
                  </pic:blipFill>
                  <pic:spPr bwMode="auto">
                    <a:xfrm>
                      <a:off x="0" y="0"/>
                      <a:ext cx="2500630" cy="1690370"/>
                    </a:xfrm>
                    <a:prstGeom prst="rect">
                      <a:avLst/>
                    </a:prstGeom>
                  </pic:spPr>
                </pic:pic>
              </a:graphicData>
            </a:graphic>
          </wp:anchor>
        </w:drawing>
      </w:r>
    </w:p>
    <w:p>
      <w:pPr>
        <w:pStyle w:val="Normal"/>
        <w:spacing w:lineRule="auto" w:line="360"/>
        <w:jc w:val="center"/>
        <w:rPr>
          <w:rFonts w:ascii="Century Gothic" w:hAnsi="Century Gothic" w:eastAsia="Times New Roman" w:cs="Arial"/>
          <w:b/>
          <w:b/>
          <w:bCs/>
          <w:color w:val="000000"/>
          <w:kern w:val="2"/>
          <w:sz w:val="48"/>
          <w:szCs w:val="48"/>
          <w:lang w:eastAsia="es-ES"/>
        </w:rPr>
      </w:pPr>
      <w:r>
        <w:rPr>
          <w:rFonts w:eastAsia="Times New Roman" w:cs="Arial" w:ascii="Century Gothic" w:hAnsi="Century Gothic"/>
          <w:b/>
          <w:bCs/>
          <w:color w:val="000000"/>
          <w:kern w:val="2"/>
          <w:sz w:val="48"/>
          <w:szCs w:val="48"/>
          <w:lang w:eastAsia="es-ES"/>
        </w:rPr>
      </w:r>
    </w:p>
    <w:p>
      <w:pPr>
        <w:pStyle w:val="Normal"/>
        <w:spacing w:lineRule="auto" w:line="360"/>
        <w:rPr>
          <w:rFonts w:ascii="Century Gothic" w:hAnsi="Century Gothic" w:eastAsia="Times New Roman" w:cs="Arial"/>
          <w:b/>
          <w:b/>
          <w:bCs/>
          <w:color w:val="000000"/>
          <w:kern w:val="2"/>
          <w:sz w:val="48"/>
          <w:szCs w:val="48"/>
          <w:lang w:eastAsia="es-ES"/>
        </w:rPr>
      </w:pPr>
      <w:r>
        <w:rPr>
          <w:rFonts w:eastAsia="Times New Roman" w:cs="Arial" w:ascii="Century Gothic" w:hAnsi="Century Gothic"/>
          <w:b/>
          <w:bCs/>
          <w:color w:val="000000"/>
          <w:kern w:val="2"/>
          <w:sz w:val="48"/>
          <w:szCs w:val="48"/>
          <w:lang w:eastAsia="es-ES"/>
        </w:rPr>
      </w:r>
    </w:p>
    <w:p>
      <w:pPr>
        <w:pStyle w:val="Normal"/>
        <w:spacing w:lineRule="auto" w:line="360"/>
        <w:jc w:val="center"/>
        <w:rPr>
          <w:rFonts w:ascii="Century Gothic" w:hAnsi="Century Gothic" w:eastAsia="Times New Roman" w:cs="Arial"/>
          <w:b/>
          <w:b/>
          <w:bCs/>
          <w:color w:val="365F91" w:themeColor="accent1" w:themeShade="bf"/>
          <w:kern w:val="2"/>
          <w:sz w:val="48"/>
          <w:szCs w:val="48"/>
          <w:lang w:eastAsia="es-ES"/>
        </w:rPr>
      </w:pPr>
      <w:r>
        <w:rPr>
          <w:rFonts w:eastAsia="Times New Roman" w:cs="Arial" w:ascii="Century Gothic" w:hAnsi="Century Gothic"/>
          <w:b/>
          <w:bCs/>
          <w:color w:val="365F91" w:themeColor="accent1" w:themeShade="bf"/>
          <w:kern w:val="2"/>
          <w:sz w:val="48"/>
          <w:szCs w:val="48"/>
          <w:lang w:eastAsia="es-ES"/>
        </w:rPr>
        <w:t xml:space="preserve">PREMIO PYME INNOVADORA “CIUDAD DE ALMENDRALEJO” </w:t>
      </w:r>
    </w:p>
    <w:p>
      <w:pPr>
        <w:pStyle w:val="Normal"/>
        <w:spacing w:lineRule="auto" w:line="360"/>
        <w:jc w:val="center"/>
        <w:rPr>
          <w:rFonts w:ascii="Century Gothic" w:hAnsi="Century Gothic" w:eastAsia="Times New Roman" w:cs="Arial"/>
          <w:b/>
          <w:b/>
          <w:bCs/>
          <w:color w:val="365F91" w:themeColor="accent1" w:themeShade="bf"/>
          <w:kern w:val="2"/>
          <w:sz w:val="48"/>
          <w:szCs w:val="48"/>
          <w:lang w:eastAsia="es-ES"/>
        </w:rPr>
      </w:pPr>
      <w:r>
        <w:rPr>
          <w:rFonts w:eastAsia="Times New Roman" w:cs="Arial" w:ascii="Century Gothic" w:hAnsi="Century Gothic"/>
          <w:b/>
          <w:bCs/>
          <w:color w:val="365F91" w:themeColor="accent1" w:themeShade="bf"/>
          <w:kern w:val="2"/>
          <w:sz w:val="48"/>
          <w:szCs w:val="48"/>
          <w:lang w:eastAsia="es-ES"/>
        </w:rPr>
        <w:t>2022</w:t>
      </w:r>
    </w:p>
    <w:p>
      <w:pPr>
        <w:pStyle w:val="Normal"/>
        <w:spacing w:lineRule="auto" w:line="360"/>
        <w:jc w:val="center"/>
        <w:rPr>
          <w:rFonts w:ascii="Century Gothic" w:hAnsi="Century Gothic" w:eastAsia="Times New Roman" w:cs="Arial"/>
          <w:b/>
          <w:b/>
          <w:bCs/>
          <w:color w:val="365F91" w:themeColor="accent1" w:themeShade="bf"/>
          <w:kern w:val="2"/>
          <w:sz w:val="24"/>
          <w:szCs w:val="24"/>
          <w:lang w:eastAsia="es-ES"/>
        </w:rPr>
      </w:pPr>
      <w:r>
        <w:rPr>
          <w:rFonts w:eastAsia="Times New Roman" w:cs="Arial" w:ascii="Century Gothic" w:hAnsi="Century Gothic"/>
          <w:b/>
          <w:bCs/>
          <w:color w:val="365F91" w:themeColor="accent1" w:themeShade="bf"/>
          <w:kern w:val="2"/>
          <w:sz w:val="24"/>
          <w:szCs w:val="24"/>
          <w:lang w:eastAsia="es-ES"/>
        </w:rPr>
      </w:r>
    </w:p>
    <w:p>
      <w:pPr>
        <w:pStyle w:val="Normal"/>
        <w:spacing w:lineRule="auto" w:line="360"/>
        <w:jc w:val="center"/>
        <w:rPr>
          <w:rFonts w:ascii="Century Gothic" w:hAnsi="Century Gothic" w:eastAsia="Times New Roman" w:cs="Arial"/>
          <w:b/>
          <w:b/>
          <w:bCs/>
          <w:color w:val="365F91" w:themeColor="accent1" w:themeShade="bf"/>
          <w:kern w:val="2"/>
          <w:sz w:val="24"/>
          <w:szCs w:val="24"/>
          <w:lang w:eastAsia="es-ES"/>
        </w:rPr>
      </w:pPr>
      <w:r>
        <w:rPr>
          <w:rFonts w:eastAsia="Times New Roman" w:cs="Arial" w:ascii="Century Gothic" w:hAnsi="Century Gothic"/>
          <w:b/>
          <w:bCs/>
          <w:color w:val="365F91" w:themeColor="accent1" w:themeShade="bf"/>
          <w:kern w:val="2"/>
          <w:sz w:val="24"/>
          <w:szCs w:val="24"/>
          <w:lang w:eastAsia="es-ES"/>
        </w:rPr>
      </w:r>
    </w:p>
    <w:p>
      <w:pPr>
        <w:pStyle w:val="Normal"/>
        <w:spacing w:lineRule="auto" w:line="360"/>
        <w:jc w:val="center"/>
        <w:rPr>
          <w:rFonts w:ascii="Century Gothic" w:hAnsi="Century Gothic" w:eastAsia="Times New Roman" w:cs="Arial"/>
          <w:b/>
          <w:b/>
          <w:bCs/>
          <w:color w:val="365F91" w:themeColor="accent1" w:themeShade="bf"/>
          <w:kern w:val="2"/>
          <w:sz w:val="40"/>
          <w:szCs w:val="40"/>
          <w:lang w:eastAsia="es-ES"/>
        </w:rPr>
      </w:pPr>
      <w:r>
        <w:rPr>
          <w:rFonts w:eastAsia="Times New Roman" w:cs="Arial" w:ascii="Century Gothic" w:hAnsi="Century Gothic"/>
          <w:b/>
          <w:bCs/>
          <w:color w:val="365F91" w:themeColor="accent1" w:themeShade="bf"/>
          <w:kern w:val="2"/>
          <w:sz w:val="40"/>
          <w:szCs w:val="40"/>
          <w:lang w:eastAsia="es-ES"/>
        </w:rPr>
        <w:t>BASES PARA LA SELECCIÓN DE UNA PYME INNOVADORA DE LA CIUDAD DE ALMENDRALEJO EN EL MARCO DE LA RED INNPULSO COMO CIUDAD DE LA CIENCIA Y LA INNOVACIÓN</w:t>
      </w:r>
    </w:p>
    <w:p>
      <w:pPr>
        <w:pStyle w:val="Normal"/>
        <w:spacing w:lineRule="auto" w:line="360"/>
        <w:rPr>
          <w:rFonts w:ascii="Century Gothic" w:hAnsi="Century Gothic" w:eastAsia="Times New Roman" w:cs="Arial"/>
          <w:bCs/>
          <w:color w:val="000000"/>
          <w:kern w:val="2"/>
          <w:sz w:val="24"/>
          <w:szCs w:val="24"/>
          <w:lang w:eastAsia="es-ES"/>
        </w:rPr>
      </w:pPr>
      <w:r>
        <w:rPr>
          <w:rFonts w:eastAsia="Times New Roman" w:cs="Arial" w:ascii="Century Gothic" w:hAnsi="Century Gothic"/>
          <w:bCs/>
          <w:color w:val="000000"/>
          <w:kern w:val="2"/>
          <w:sz w:val="24"/>
          <w:szCs w:val="24"/>
          <w:lang w:eastAsia="es-ES"/>
        </w:rPr>
      </w:r>
    </w:p>
    <w:p>
      <w:pPr>
        <w:pStyle w:val="Normal"/>
        <w:spacing w:lineRule="auto" w:line="360"/>
        <w:jc w:val="both"/>
        <w:rPr>
          <w:rFonts w:ascii="Century Gothic" w:hAnsi="Century Gothic" w:eastAsia="Times New Roman" w:cs="Arial"/>
          <w:b/>
          <w:b/>
          <w:bCs/>
          <w:color w:val="365F91" w:themeColor="accent1" w:themeShade="bf"/>
          <w:kern w:val="2"/>
          <w:sz w:val="24"/>
          <w:szCs w:val="24"/>
          <w:lang w:eastAsia="es-ES"/>
        </w:rPr>
      </w:pPr>
      <w:r>
        <w:rPr>
          <w:rFonts w:eastAsia="Times New Roman" w:cs="Arial" w:ascii="Century Gothic" w:hAnsi="Century Gothic"/>
          <w:b/>
          <w:bCs/>
          <w:color w:val="365F91" w:themeColor="accent1" w:themeShade="bf"/>
          <w:kern w:val="2"/>
          <w:sz w:val="24"/>
          <w:szCs w:val="24"/>
          <w:lang w:eastAsia="es-ES"/>
        </w:rPr>
        <w:t>OBJETO</w:t>
      </w:r>
    </w:p>
    <w:p>
      <w:pPr>
        <w:pStyle w:val="Normal"/>
        <w:spacing w:lineRule="auto" w:line="360" w:before="0" w:after="0"/>
        <w:ind w:firstLine="708"/>
        <w:jc w:val="both"/>
        <w:rPr>
          <w:rFonts w:ascii="Century Gothic" w:hAnsi="Century Gothic" w:cs="TTE1F4C8D0t00"/>
          <w:sz w:val="24"/>
          <w:szCs w:val="24"/>
        </w:rPr>
      </w:pPr>
      <w:r>
        <w:rPr>
          <w:rFonts w:cs="TTE1F4C8D0t00" w:ascii="Century Gothic" w:hAnsi="Century Gothic"/>
          <w:sz w:val="24"/>
          <w:szCs w:val="24"/>
        </w:rPr>
        <w:t>Almendralejo forma parte, junto con otras 82 ciudades españolas, de la Red de Ciudades de la Ciencia y la Innovación, Red Innpulso, entidad dependiente del ministerio de innovación. Tras haber recibido y mantenido este distintivo desde 2010, sigue demostrando un importante esfuerzo y compromiso con la innovación, así como su contribución desde la esfera local al cambio de modelo productivo.</w:t>
      </w:r>
    </w:p>
    <w:p>
      <w:pPr>
        <w:pStyle w:val="Normal"/>
        <w:spacing w:lineRule="auto" w:line="360" w:before="0" w:after="0"/>
        <w:ind w:firstLine="708"/>
        <w:jc w:val="both"/>
        <w:rPr>
          <w:rFonts w:ascii="Century Gothic" w:hAnsi="Century Gothic" w:cs="TTE1F4C8D0t00"/>
          <w:sz w:val="24"/>
          <w:szCs w:val="24"/>
        </w:rPr>
      </w:pPr>
      <w:r>
        <w:rPr>
          <w:rFonts w:cs="TTE1F4C8D0t00" w:ascii="Century Gothic" w:hAnsi="Century Gothic"/>
          <w:sz w:val="24"/>
          <w:szCs w:val="24"/>
        </w:rPr>
        <w:t>En este marco, se ha venido trabajando con el resto de ciudades participantes en la potenciación de la colaboración con el tejido empresarial, especialmente con las pymes de base innovadora, a fin de mejorar su nivel de competitividad.</w:t>
      </w:r>
    </w:p>
    <w:p>
      <w:pPr>
        <w:pStyle w:val="Normal"/>
        <w:spacing w:lineRule="auto" w:line="360" w:before="0" w:after="0"/>
        <w:ind w:firstLine="708"/>
        <w:jc w:val="both"/>
        <w:rPr>
          <w:rFonts w:ascii="Century Gothic" w:hAnsi="Century Gothic" w:cs="TTE1F4C8D0t00"/>
          <w:sz w:val="24"/>
          <w:szCs w:val="24"/>
        </w:rPr>
      </w:pPr>
      <w:r>
        <w:rPr>
          <w:rFonts w:cs="TTE1F4C8D0t00" w:ascii="Century Gothic" w:hAnsi="Century Gothic"/>
          <w:sz w:val="24"/>
          <w:szCs w:val="24"/>
        </w:rPr>
        <w:t xml:space="preserve">Uno de los eventos anuales más representativos de la Red Innpulso es Innpulso Emprende, que en su VI edición, celebra el encuentro de alcaldes y alcaldesas de la red, en la que se dan cita con personas emprendedoras y empresas más innovadoras de nuestros municipios. </w:t>
      </w:r>
    </w:p>
    <w:p>
      <w:pPr>
        <w:pStyle w:val="Normal"/>
        <w:spacing w:lineRule="auto" w:line="360" w:before="0" w:after="0"/>
        <w:jc w:val="both"/>
        <w:rPr>
          <w:rFonts w:ascii="Century Gothic" w:hAnsi="Century Gothic" w:cs="TTE1F4C8D0t00"/>
          <w:sz w:val="24"/>
          <w:szCs w:val="24"/>
        </w:rPr>
      </w:pPr>
      <w:r>
        <w:rPr>
          <w:rFonts w:cs="TTE1F4C8D0t00" w:ascii="Century Gothic" w:hAnsi="Century Gothic"/>
          <w:sz w:val="24"/>
          <w:szCs w:val="24"/>
        </w:rPr>
      </w:r>
    </w:p>
    <w:p>
      <w:pPr>
        <w:pStyle w:val="Normal"/>
        <w:spacing w:lineRule="auto" w:line="360" w:before="0" w:after="0"/>
        <w:ind w:firstLine="708"/>
        <w:jc w:val="both"/>
        <w:rPr>
          <w:rFonts w:ascii="Century Gothic" w:hAnsi="Century Gothic" w:cs="TTE1F4C8D0t00"/>
          <w:sz w:val="24"/>
          <w:szCs w:val="24"/>
        </w:rPr>
      </w:pPr>
      <w:r>
        <w:rPr>
          <w:rFonts w:cs="TTE1F4C8D0t00" w:ascii="Century Gothic" w:hAnsi="Century Gothic"/>
          <w:sz w:val="24"/>
          <w:szCs w:val="24"/>
        </w:rPr>
        <w:t xml:space="preserve">La finalidad de estas bases es la convocatoria para el proceso de selección de la Pyme Innovadora de Almendralejo que, en compañía de la Alcaldía del Ayuntamiento de Almendralejo, participe en el VI Innpulso Emprende, que tendrá lugar en la ciudad de Valencia el próximo 14 de octubre de 2022. </w:t>
      </w:r>
    </w:p>
    <w:p>
      <w:pPr>
        <w:pStyle w:val="Normal"/>
        <w:spacing w:lineRule="auto" w:line="360" w:before="0" w:after="0"/>
        <w:ind w:firstLine="708"/>
        <w:jc w:val="both"/>
        <w:rPr>
          <w:rFonts w:ascii="Century Gothic" w:hAnsi="Century Gothic" w:cs="TTE1F4C8D0t00"/>
          <w:sz w:val="24"/>
          <w:szCs w:val="24"/>
        </w:rPr>
      </w:pPr>
      <w:r>
        <w:rPr>
          <w:rFonts w:cs="TTE1F4C8D0t00" w:ascii="Century Gothic" w:hAnsi="Century Gothic"/>
          <w:sz w:val="24"/>
          <w:szCs w:val="24"/>
        </w:rPr>
        <w:t xml:space="preserve">La pyme innovadora ganadora de este concurso será premiada con 1000€ en metálico por el ayuntamiento de Almendralejo, además podrá optar a una de las dos distinciones propuestas por el encuentro, una como </w:t>
      </w:r>
      <w:r>
        <w:rPr>
          <w:rFonts w:cs="TTE1F4C8D0t00" w:ascii="Century Gothic" w:hAnsi="Century Gothic"/>
          <w:i/>
          <w:sz w:val="24"/>
          <w:szCs w:val="24"/>
        </w:rPr>
        <w:t>proyecto más innovador en el ámbito de la innovación social y urbana</w:t>
      </w:r>
      <w:r>
        <w:rPr>
          <w:rFonts w:cs="TTE1F4C8D0t00" w:ascii="Century Gothic" w:hAnsi="Century Gothic"/>
          <w:sz w:val="24"/>
          <w:szCs w:val="24"/>
        </w:rPr>
        <w:t xml:space="preserve"> y otra como </w:t>
      </w:r>
      <w:r>
        <w:rPr>
          <w:rFonts w:cs="TTE1F4C8D0t00" w:ascii="Century Gothic" w:hAnsi="Century Gothic"/>
          <w:i/>
          <w:sz w:val="24"/>
          <w:szCs w:val="24"/>
        </w:rPr>
        <w:t>proyecto más innovador en el ámbito de la innovación tecnológica</w:t>
      </w:r>
      <w:r>
        <w:rPr>
          <w:rFonts w:cs="TTE1F4C8D0t00" w:ascii="Century Gothic" w:hAnsi="Century Gothic"/>
          <w:sz w:val="24"/>
          <w:szCs w:val="24"/>
        </w:rPr>
        <w:t xml:space="preserve">. </w:t>
      </w:r>
      <w:r>
        <w:rPr>
          <w:rFonts w:cs="Calibri" w:ascii="Century Gothic" w:hAnsi="Century Gothic"/>
          <w:color w:val="000000"/>
          <w:sz w:val="24"/>
          <w:szCs w:val="24"/>
          <w:shd w:fill="FDFCFA" w:val="clear"/>
        </w:rPr>
        <w:t>Se ofrecerá también una mención especial a la </w:t>
      </w:r>
      <w:r>
        <w:rPr>
          <w:rFonts w:cs="Calibri" w:ascii="Century Gothic" w:hAnsi="Century Gothic"/>
          <w:bCs/>
          <w:i/>
          <w:color w:val="000000"/>
          <w:sz w:val="24"/>
          <w:szCs w:val="24"/>
          <w:shd w:fill="FDFCFA" w:val="clear"/>
        </w:rPr>
        <w:t>empresa o proyecto más </w:t>
      </w:r>
      <w:r>
        <w:rPr>
          <w:rFonts w:cs="Calibri" w:ascii="Century Gothic" w:hAnsi="Century Gothic"/>
          <w:bCs/>
          <w:i/>
          <w:iCs/>
          <w:color w:val="000000"/>
          <w:sz w:val="24"/>
          <w:szCs w:val="24"/>
          <w:shd w:fill="FDFCFA" w:val="clear"/>
        </w:rPr>
        <w:t>influencer</w:t>
      </w:r>
      <w:r>
        <w:rPr>
          <w:rFonts w:cs="Calibri" w:ascii="Century Gothic" w:hAnsi="Century Gothic"/>
          <w:color w:val="000000"/>
          <w:sz w:val="24"/>
          <w:szCs w:val="24"/>
          <w:shd w:fill="FDFCFA" w:val="clear"/>
        </w:rPr>
        <w:t>, es decir, aquella que mayor interacción consiga en redes sociales.</w:t>
      </w:r>
    </w:p>
    <w:p>
      <w:pPr>
        <w:pStyle w:val="Normal"/>
        <w:spacing w:lineRule="auto" w:line="360"/>
        <w:jc w:val="both"/>
        <w:rPr>
          <w:rFonts w:ascii="Century Gothic" w:hAnsi="Century Gothic" w:eastAsia="Times New Roman" w:cs="Arial"/>
          <w:bCs/>
          <w:color w:val="000000"/>
          <w:kern w:val="2"/>
          <w:sz w:val="24"/>
          <w:szCs w:val="24"/>
          <w:lang w:eastAsia="es-ES"/>
        </w:rPr>
      </w:pPr>
      <w:r>
        <w:rPr>
          <w:rFonts w:eastAsia="Times New Roman" w:cs="Arial" w:ascii="Century Gothic" w:hAnsi="Century Gothic"/>
          <w:bCs/>
          <w:color w:val="000000"/>
          <w:kern w:val="2"/>
          <w:sz w:val="24"/>
          <w:szCs w:val="24"/>
          <w:lang w:eastAsia="es-ES"/>
        </w:rPr>
      </w:r>
    </w:p>
    <w:p>
      <w:pPr>
        <w:pStyle w:val="Normal"/>
        <w:spacing w:lineRule="auto" w:line="360"/>
        <w:jc w:val="both"/>
        <w:rPr>
          <w:rFonts w:ascii="Century Gothic" w:hAnsi="Century Gothic" w:eastAsia="Times New Roman" w:cs="Arial"/>
          <w:bCs/>
          <w:color w:val="000000"/>
          <w:kern w:val="2"/>
          <w:sz w:val="24"/>
          <w:szCs w:val="24"/>
          <w:lang w:eastAsia="es-ES"/>
        </w:rPr>
      </w:pPr>
      <w:r>
        <w:rPr>
          <w:rFonts w:eastAsia="Times New Roman" w:cs="Arial" w:ascii="Century Gothic" w:hAnsi="Century Gothic"/>
          <w:bCs/>
          <w:color w:val="000000"/>
          <w:kern w:val="2"/>
          <w:sz w:val="24"/>
          <w:szCs w:val="24"/>
          <w:lang w:eastAsia="es-ES"/>
        </w:rPr>
      </w:r>
    </w:p>
    <w:p>
      <w:pPr>
        <w:pStyle w:val="Normal"/>
        <w:spacing w:lineRule="auto" w:line="360"/>
        <w:jc w:val="both"/>
        <w:rPr>
          <w:rFonts w:ascii="Century Gothic" w:hAnsi="Century Gothic" w:cs="TTE1EF70C8t00"/>
          <w:b/>
          <w:b/>
          <w:color w:val="365F91" w:themeColor="accent1" w:themeShade="bf"/>
          <w:sz w:val="24"/>
          <w:szCs w:val="24"/>
        </w:rPr>
      </w:pPr>
      <w:r>
        <w:rPr>
          <w:rFonts w:cs="TTE1EF70C8t00" w:ascii="Century Gothic" w:hAnsi="Century Gothic"/>
          <w:b/>
          <w:color w:val="365F91" w:themeColor="accent1" w:themeShade="bf"/>
          <w:sz w:val="24"/>
          <w:szCs w:val="24"/>
        </w:rPr>
        <w:t>PYMES DESTINATARIAS: REQUISITOS</w:t>
      </w:r>
    </w:p>
    <w:p>
      <w:pPr>
        <w:pStyle w:val="Normal"/>
        <w:spacing w:lineRule="auto" w:line="360" w:before="0" w:after="0"/>
        <w:ind w:firstLine="708"/>
        <w:jc w:val="both"/>
        <w:rPr>
          <w:rFonts w:ascii="Century Gothic" w:hAnsi="Century Gothic" w:cs="TTE1F4C8D0t00"/>
          <w:sz w:val="24"/>
          <w:szCs w:val="24"/>
        </w:rPr>
      </w:pPr>
      <w:r>
        <w:rPr>
          <w:rFonts w:cs="TTE1F4C8D0t00" w:ascii="Century Gothic" w:hAnsi="Century Gothic"/>
          <w:sz w:val="24"/>
          <w:szCs w:val="24"/>
        </w:rPr>
        <w:t>El concurso está destinado a jóvenes proyectos empresariales con un alto componente de innovación, entendiéndose esa innovación en sentido amplio (producto, procesos, modelo de negocio…), y que tienen ante sí un ambicioso plan de crecimiento, siendo capaces de generar riqueza para el territorio.</w:t>
      </w:r>
    </w:p>
    <w:p>
      <w:pPr>
        <w:pStyle w:val="Normal"/>
        <w:spacing w:lineRule="auto" w:line="360" w:before="0" w:after="0"/>
        <w:ind w:firstLine="708"/>
        <w:jc w:val="both"/>
        <w:rPr>
          <w:rFonts w:ascii="Century Gothic" w:hAnsi="Century Gothic" w:cs="TTE1F4C8D0t00"/>
          <w:sz w:val="24"/>
          <w:szCs w:val="24"/>
        </w:rPr>
      </w:pPr>
      <w:r>
        <w:rPr>
          <w:rFonts w:cs="TTE1F4C8D0t00" w:ascii="Century Gothic" w:hAnsi="Century Gothic"/>
          <w:sz w:val="24"/>
          <w:szCs w:val="24"/>
        </w:rPr>
        <w:t>Pueden participar en el concurso las empresas que cumplan con los siguientes requisitos formales:</w:t>
      </w:r>
    </w:p>
    <w:p>
      <w:pPr>
        <w:pStyle w:val="Normal"/>
        <w:spacing w:lineRule="auto" w:line="360" w:before="0" w:after="0"/>
        <w:ind w:firstLine="708"/>
        <w:jc w:val="both"/>
        <w:rPr>
          <w:rFonts w:ascii="Century Gothic" w:hAnsi="Century Gothic" w:cs="TTE1F4C8D0t00"/>
          <w:sz w:val="24"/>
          <w:szCs w:val="24"/>
        </w:rPr>
      </w:pPr>
      <w:r>
        <w:rPr>
          <w:rFonts w:cs="Symbol" w:ascii="Century Gothic" w:hAnsi="Century Gothic"/>
          <w:color w:val="365F91" w:themeColor="accent1" w:themeShade="bf"/>
          <w:sz w:val="24"/>
          <w:szCs w:val="24"/>
        </w:rPr>
        <w:t>•</w:t>
      </w:r>
      <w:r>
        <w:rPr>
          <w:rFonts w:cs="Symbol" w:ascii="Century Gothic" w:hAnsi="Century Gothic"/>
          <w:sz w:val="24"/>
          <w:szCs w:val="24"/>
        </w:rPr>
        <w:t xml:space="preserve"> </w:t>
      </w:r>
      <w:r>
        <w:rPr>
          <w:rFonts w:cs="TTE1F4C8D0t00" w:ascii="Century Gothic" w:hAnsi="Century Gothic"/>
          <w:sz w:val="24"/>
          <w:szCs w:val="24"/>
        </w:rPr>
        <w:t>Tener menos de 250 empleados y menos de 50 millones de facturación anual, sin que en su capital participe en una gran empresa.</w:t>
      </w:r>
    </w:p>
    <w:p>
      <w:pPr>
        <w:pStyle w:val="Normal"/>
        <w:spacing w:lineRule="auto" w:line="360" w:before="0" w:after="0"/>
        <w:ind w:firstLine="708"/>
        <w:jc w:val="both"/>
        <w:rPr>
          <w:rFonts w:ascii="Century Gothic" w:hAnsi="Century Gothic" w:cs="Arial"/>
          <w:sz w:val="24"/>
          <w:szCs w:val="24"/>
          <w:shd w:fill="FDFCFA" w:val="clear"/>
        </w:rPr>
      </w:pPr>
      <w:r>
        <w:rPr>
          <w:rFonts w:cs="Symbol" w:ascii="Century Gothic" w:hAnsi="Century Gothic"/>
          <w:color w:val="365F91" w:themeColor="accent1" w:themeShade="bf"/>
          <w:sz w:val="24"/>
          <w:szCs w:val="24"/>
        </w:rPr>
        <w:t>•</w:t>
      </w:r>
      <w:r>
        <w:rPr>
          <w:rFonts w:cs="Symbol" w:ascii="Century Gothic" w:hAnsi="Century Gothic"/>
          <w:sz w:val="24"/>
          <w:szCs w:val="24"/>
        </w:rPr>
        <w:t xml:space="preserve"> </w:t>
      </w:r>
      <w:r>
        <w:rPr>
          <w:rFonts w:cs="Arial" w:ascii="Century Gothic" w:hAnsi="Century Gothic"/>
          <w:sz w:val="24"/>
          <w:szCs w:val="24"/>
          <w:shd w:fill="FDFCFA" w:val="clear"/>
        </w:rPr>
        <w:t>Podrán ser beneficiarios de este premio las Pymes con centro productivo en Almendralejo con independiencia de cuál sea su forma jurídica, incluidos autónomos. </w:t>
      </w:r>
    </w:p>
    <w:p>
      <w:pPr>
        <w:pStyle w:val="Normal"/>
        <w:spacing w:lineRule="auto" w:line="360" w:before="0" w:after="0"/>
        <w:ind w:firstLine="708"/>
        <w:jc w:val="both"/>
        <w:rPr>
          <w:rFonts w:ascii="Century Gothic" w:hAnsi="Century Gothic" w:cs="TTE1F4C8D0t00"/>
          <w:sz w:val="24"/>
          <w:szCs w:val="24"/>
        </w:rPr>
      </w:pPr>
      <w:r>
        <w:rPr>
          <w:rFonts w:cs="Symbol" w:ascii="Century Gothic" w:hAnsi="Century Gothic"/>
          <w:color w:val="365F91" w:themeColor="accent1" w:themeShade="bf"/>
          <w:sz w:val="24"/>
          <w:szCs w:val="24"/>
        </w:rPr>
        <w:t>•</w:t>
      </w:r>
      <w:r>
        <w:rPr>
          <w:rFonts w:cs="Symbol" w:ascii="Century Gothic" w:hAnsi="Century Gothic"/>
          <w:sz w:val="24"/>
          <w:szCs w:val="24"/>
        </w:rPr>
        <w:t xml:space="preserve"> </w:t>
      </w:r>
      <w:r>
        <w:rPr>
          <w:rFonts w:cs="TTE1F4C8D0t00" w:ascii="Century Gothic" w:hAnsi="Century Gothic"/>
          <w:sz w:val="24"/>
          <w:szCs w:val="24"/>
        </w:rPr>
        <w:t>Tener domicilio social y centro de trabajo en Almendralejo.</w:t>
      </w:r>
    </w:p>
    <w:p>
      <w:pPr>
        <w:pStyle w:val="Normal"/>
        <w:spacing w:lineRule="auto" w:line="360" w:before="0" w:after="0"/>
        <w:ind w:firstLine="708"/>
        <w:jc w:val="both"/>
        <w:rPr>
          <w:rFonts w:ascii="Century Gothic" w:hAnsi="Century Gothic" w:cs="TTE1F4C8D0t00"/>
          <w:sz w:val="24"/>
          <w:szCs w:val="24"/>
        </w:rPr>
      </w:pPr>
      <w:r>
        <w:rPr>
          <w:rFonts w:cs="Symbol" w:ascii="Century Gothic" w:hAnsi="Century Gothic"/>
          <w:color w:val="365F91" w:themeColor="accent1" w:themeShade="bf"/>
          <w:sz w:val="24"/>
          <w:szCs w:val="24"/>
        </w:rPr>
        <w:t>•</w:t>
      </w:r>
      <w:r>
        <w:rPr>
          <w:rFonts w:cs="Symbol" w:ascii="Century Gothic" w:hAnsi="Century Gothic"/>
          <w:sz w:val="24"/>
          <w:szCs w:val="24"/>
        </w:rPr>
        <w:t xml:space="preserve"> </w:t>
      </w:r>
      <w:r>
        <w:rPr>
          <w:rFonts w:cs="TTE1F4C8D0t00" w:ascii="Century Gothic" w:hAnsi="Century Gothic"/>
          <w:sz w:val="24"/>
          <w:szCs w:val="24"/>
        </w:rPr>
        <w:t>Los socios fundadores deberán liderar la empresa y trabajar principalmente en ella.</w:t>
      </w:r>
    </w:p>
    <w:p>
      <w:pPr>
        <w:pStyle w:val="Normal"/>
        <w:spacing w:lineRule="auto" w:line="360" w:before="0" w:after="0"/>
        <w:jc w:val="both"/>
        <w:rPr>
          <w:rFonts w:ascii="Century Gothic" w:hAnsi="Century Gothic" w:cs="TTE1F4C8D0t00"/>
          <w:sz w:val="24"/>
          <w:szCs w:val="24"/>
        </w:rPr>
      </w:pPr>
      <w:r>
        <w:rPr>
          <w:rFonts w:cs="TTE1F4C8D0t00" w:ascii="Century Gothic" w:hAnsi="Century Gothic"/>
          <w:sz w:val="24"/>
          <w:szCs w:val="24"/>
        </w:rPr>
      </w:r>
    </w:p>
    <w:p>
      <w:pPr>
        <w:pStyle w:val="Normal"/>
        <w:spacing w:lineRule="auto" w:line="360" w:before="0" w:after="0"/>
        <w:jc w:val="both"/>
        <w:rPr>
          <w:rFonts w:ascii="Century Gothic" w:hAnsi="Century Gothic" w:cs="TTE1EF70C8t00"/>
          <w:b/>
          <w:b/>
          <w:color w:val="365F91" w:themeColor="accent1" w:themeShade="bf"/>
          <w:sz w:val="24"/>
          <w:szCs w:val="24"/>
        </w:rPr>
      </w:pPr>
      <w:r>
        <w:rPr>
          <w:rFonts w:cs="TTE1EF70C8t00" w:ascii="Century Gothic" w:hAnsi="Century Gothic"/>
          <w:b/>
          <w:color w:val="365F91" w:themeColor="accent1" w:themeShade="bf"/>
          <w:sz w:val="24"/>
          <w:szCs w:val="24"/>
        </w:rPr>
        <w:t>CRITERIOS DE VALORACIÓN</w:t>
      </w:r>
    </w:p>
    <w:p>
      <w:pPr>
        <w:pStyle w:val="Normal"/>
        <w:spacing w:lineRule="auto" w:line="360" w:before="0" w:after="0"/>
        <w:jc w:val="both"/>
        <w:rPr>
          <w:rFonts w:ascii="Century Gothic" w:hAnsi="Century Gothic" w:cs="TTE1EF70C8t00"/>
          <w:b/>
          <w:b/>
          <w:color w:val="365F91" w:themeColor="accent1" w:themeShade="bf"/>
          <w:sz w:val="24"/>
          <w:szCs w:val="24"/>
        </w:rPr>
      </w:pPr>
      <w:r>
        <w:rPr>
          <w:rFonts w:cs="TTE1EF70C8t00" w:ascii="Century Gothic" w:hAnsi="Century Gothic"/>
          <w:b/>
          <w:color w:val="365F91" w:themeColor="accent1" w:themeShade="bf"/>
          <w:sz w:val="24"/>
          <w:szCs w:val="24"/>
        </w:rPr>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color w:val="000000"/>
          <w:sz w:val="24"/>
          <w:szCs w:val="24"/>
        </w:rPr>
        <w:t>Las candidaturas presentadas serán analizadas y puntuadas a partir de la información aportada en la candidatura, conforme a los siguientes criterios de valoración:</w:t>
      </w:r>
    </w:p>
    <w:p>
      <w:pPr>
        <w:pStyle w:val="Normal"/>
        <w:spacing w:lineRule="auto" w:line="360" w:before="0" w:after="0"/>
        <w:ind w:firstLine="708"/>
        <w:jc w:val="both"/>
        <w:rPr>
          <w:rFonts w:ascii="Century Gothic" w:hAnsi="Century Gothic" w:cs="TTE1F4C8D0t00"/>
          <w:color w:val="000000"/>
          <w:sz w:val="24"/>
          <w:szCs w:val="24"/>
        </w:rPr>
      </w:pPr>
      <w:r>
        <w:rPr>
          <w:rFonts w:cs="Symbol" w:ascii="Century Gothic" w:hAnsi="Century Gothic"/>
          <w:color w:val="365F91" w:themeColor="accent1" w:themeShade="bf"/>
          <w:sz w:val="24"/>
          <w:szCs w:val="24"/>
        </w:rPr>
        <w:t>•</w:t>
      </w:r>
      <w:r>
        <w:rPr>
          <w:rFonts w:cs="Symbol" w:ascii="Century Gothic" w:hAnsi="Century Gothic"/>
          <w:color w:val="000000"/>
          <w:sz w:val="24"/>
          <w:szCs w:val="24"/>
        </w:rPr>
        <w:t xml:space="preserve"> </w:t>
      </w:r>
      <w:r>
        <w:rPr>
          <w:rFonts w:cs="TTE1F4C8D0t00" w:ascii="Century Gothic" w:hAnsi="Century Gothic"/>
          <w:color w:val="000000"/>
          <w:sz w:val="24"/>
          <w:szCs w:val="24"/>
        </w:rPr>
        <w:t>Grado de innovación, diferenciación y originalidad de los productos y servicios ofrecidos.</w:t>
      </w:r>
    </w:p>
    <w:p>
      <w:pPr>
        <w:pStyle w:val="Normal"/>
        <w:spacing w:lineRule="auto" w:line="360" w:before="0" w:after="0"/>
        <w:ind w:firstLine="708"/>
        <w:jc w:val="both"/>
        <w:rPr>
          <w:rFonts w:ascii="Century Gothic" w:hAnsi="Century Gothic" w:cs="TTE1F4C8D0t00"/>
          <w:color w:val="000000"/>
          <w:sz w:val="24"/>
          <w:szCs w:val="24"/>
        </w:rPr>
      </w:pPr>
      <w:r>
        <w:rPr>
          <w:rFonts w:cs="Symbol" w:ascii="Century Gothic" w:hAnsi="Century Gothic"/>
          <w:color w:val="365F91" w:themeColor="accent1" w:themeShade="bf"/>
          <w:sz w:val="24"/>
          <w:szCs w:val="24"/>
        </w:rPr>
        <w:t>•</w:t>
      </w:r>
      <w:r>
        <w:rPr>
          <w:rFonts w:cs="Symbol" w:ascii="Century Gothic" w:hAnsi="Century Gothic"/>
          <w:color w:val="000000"/>
          <w:sz w:val="24"/>
          <w:szCs w:val="24"/>
        </w:rPr>
        <w:t xml:space="preserve"> </w:t>
      </w:r>
      <w:r>
        <w:rPr>
          <w:rFonts w:cs="TTE1F4C8D0t00" w:ascii="Century Gothic" w:hAnsi="Century Gothic"/>
          <w:color w:val="000000"/>
          <w:sz w:val="24"/>
          <w:szCs w:val="24"/>
        </w:rPr>
        <w:t>Viabilidad técnica, comercial, económica y financiera.</w:t>
      </w:r>
    </w:p>
    <w:p>
      <w:pPr>
        <w:pStyle w:val="Normal"/>
        <w:spacing w:lineRule="auto" w:line="360" w:before="0" w:after="0"/>
        <w:ind w:firstLine="708"/>
        <w:jc w:val="both"/>
        <w:rPr>
          <w:rFonts w:ascii="Century Gothic" w:hAnsi="Century Gothic" w:cs="TTE1F4C8D0t00"/>
          <w:color w:val="000000"/>
          <w:sz w:val="24"/>
          <w:szCs w:val="24"/>
        </w:rPr>
      </w:pPr>
      <w:r>
        <w:rPr>
          <w:rFonts w:cs="Symbol" w:ascii="Century Gothic" w:hAnsi="Century Gothic"/>
          <w:color w:val="365F91" w:themeColor="accent1" w:themeShade="bf"/>
          <w:sz w:val="24"/>
          <w:szCs w:val="24"/>
        </w:rPr>
        <w:t>•</w:t>
      </w:r>
      <w:r>
        <w:rPr>
          <w:rFonts w:cs="Symbol" w:ascii="Century Gothic" w:hAnsi="Century Gothic"/>
          <w:color w:val="000000"/>
          <w:sz w:val="24"/>
          <w:szCs w:val="24"/>
        </w:rPr>
        <w:t xml:space="preserve"> </w:t>
      </w:r>
      <w:r>
        <w:rPr>
          <w:rFonts w:cs="TTE1F4C8D0t00" w:ascii="Century Gothic" w:hAnsi="Century Gothic"/>
          <w:color w:val="000000"/>
          <w:sz w:val="24"/>
          <w:szCs w:val="24"/>
        </w:rPr>
        <w:t>Calidad, capacidad y compromiso del equipo técnico y promotor.</w:t>
      </w:r>
    </w:p>
    <w:p>
      <w:pPr>
        <w:pStyle w:val="Normal"/>
        <w:spacing w:lineRule="auto" w:line="360" w:before="0" w:after="0"/>
        <w:ind w:firstLine="708"/>
        <w:jc w:val="both"/>
        <w:rPr>
          <w:rFonts w:ascii="Century Gothic" w:hAnsi="Century Gothic" w:cs="TTE1F4C8D0t00"/>
          <w:color w:val="000000"/>
          <w:sz w:val="24"/>
          <w:szCs w:val="24"/>
        </w:rPr>
      </w:pPr>
      <w:r>
        <w:rPr>
          <w:rFonts w:cs="Symbol" w:ascii="Century Gothic" w:hAnsi="Century Gothic"/>
          <w:color w:val="365F91" w:themeColor="accent1" w:themeShade="bf"/>
          <w:sz w:val="24"/>
          <w:szCs w:val="24"/>
        </w:rPr>
        <w:t>•</w:t>
      </w:r>
      <w:r>
        <w:rPr>
          <w:rFonts w:cs="Symbol" w:ascii="Century Gothic" w:hAnsi="Century Gothic"/>
          <w:color w:val="000000"/>
          <w:sz w:val="24"/>
          <w:szCs w:val="24"/>
        </w:rPr>
        <w:t xml:space="preserve"> </w:t>
      </w:r>
      <w:r>
        <w:rPr>
          <w:rFonts w:cs="TTE1F4C8D0t00" w:ascii="Century Gothic" w:hAnsi="Century Gothic"/>
          <w:color w:val="000000"/>
          <w:sz w:val="24"/>
          <w:szCs w:val="24"/>
        </w:rPr>
        <w:t>Proyección de la empresa: conocimiento del mercado y de la competencia, internacionalización, trayectoria, y potencial de crecimiento.</w:t>
      </w:r>
    </w:p>
    <w:p>
      <w:pPr>
        <w:pStyle w:val="Normal"/>
        <w:spacing w:lineRule="auto" w:line="360" w:before="0" w:after="0"/>
        <w:ind w:firstLine="708"/>
        <w:jc w:val="both"/>
        <w:rPr>
          <w:rFonts w:ascii="Century Gothic" w:hAnsi="Century Gothic" w:cs="TTE1F4C8D0t00"/>
          <w:color w:val="000000"/>
          <w:sz w:val="24"/>
          <w:szCs w:val="24"/>
        </w:rPr>
      </w:pPr>
      <w:r>
        <w:rPr>
          <w:rFonts w:cs="Symbol" w:ascii="Century Gothic" w:hAnsi="Century Gothic"/>
          <w:color w:val="365F91" w:themeColor="accent1" w:themeShade="bf"/>
          <w:sz w:val="24"/>
          <w:szCs w:val="24"/>
        </w:rPr>
        <w:t>•</w:t>
      </w:r>
      <w:r>
        <w:rPr>
          <w:rFonts w:cs="Symbol" w:ascii="Century Gothic" w:hAnsi="Century Gothic"/>
          <w:color w:val="000000"/>
          <w:sz w:val="24"/>
          <w:szCs w:val="24"/>
        </w:rPr>
        <w:t xml:space="preserve"> </w:t>
      </w:r>
      <w:r>
        <w:rPr>
          <w:rFonts w:cs="TTE1F4C8D0t00" w:ascii="Century Gothic" w:hAnsi="Century Gothic"/>
          <w:color w:val="000000"/>
          <w:sz w:val="24"/>
          <w:szCs w:val="24"/>
        </w:rPr>
        <w:t xml:space="preserve">Se valorará especialmente proyectos desarrollados en el campo de las </w:t>
      </w:r>
      <w:r>
        <w:rPr>
          <w:rFonts w:cs="TTE1F4C8D0t00" w:ascii="Century Gothic" w:hAnsi="Century Gothic"/>
          <w:i/>
          <w:color w:val="000000"/>
          <w:sz w:val="24"/>
          <w:szCs w:val="24"/>
        </w:rPr>
        <w:t>Ciudades Inteligentes</w:t>
      </w:r>
      <w:r>
        <w:rPr>
          <w:rFonts w:cs="TTE1F4C8D0t00" w:ascii="Century Gothic" w:hAnsi="Century Gothic"/>
          <w:color w:val="000000"/>
          <w:sz w:val="24"/>
          <w:szCs w:val="24"/>
        </w:rPr>
        <w:t>, que impliquen beneficios derivados para las ciudades y sus habitantes y que sean susceptibles de ser adquiridos y utilizados por las administraciones públicas.</w:t>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EF70C8t00"/>
          <w:b/>
          <w:b/>
          <w:color w:val="365F91" w:themeColor="accent1" w:themeShade="bf"/>
          <w:sz w:val="24"/>
          <w:szCs w:val="24"/>
        </w:rPr>
      </w:pPr>
      <w:r>
        <w:rPr>
          <w:rFonts w:cs="TTE1EF70C8t00" w:ascii="Century Gothic" w:hAnsi="Century Gothic"/>
          <w:b/>
          <w:color w:val="365F91" w:themeColor="accent1" w:themeShade="bf"/>
          <w:sz w:val="24"/>
          <w:szCs w:val="24"/>
        </w:rPr>
        <w:t>DOCUMENTACIÓN Y SOLICITUDES</w:t>
      </w:r>
    </w:p>
    <w:p>
      <w:pPr>
        <w:pStyle w:val="Normal"/>
        <w:spacing w:lineRule="auto" w:line="360" w:before="0" w:after="0"/>
        <w:jc w:val="both"/>
        <w:rPr>
          <w:rFonts w:ascii="Century Gothic" w:hAnsi="Century Gothic" w:cs="TTE1EF70C8t00"/>
          <w:sz w:val="24"/>
          <w:szCs w:val="24"/>
        </w:rPr>
      </w:pPr>
      <w:r>
        <w:rPr>
          <w:rFonts w:cs="TTE1EF70C8t00" w:ascii="Century Gothic" w:hAnsi="Century Gothic"/>
          <w:sz w:val="24"/>
          <w:szCs w:val="24"/>
        </w:rPr>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color w:val="000000"/>
          <w:sz w:val="24"/>
          <w:szCs w:val="24"/>
        </w:rPr>
        <w:t>Las empresas que deseen participar en este proceso de selección deberán presentar:</w:t>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b/>
          <w:color w:val="365F91" w:themeColor="accent1" w:themeShade="bf"/>
          <w:sz w:val="24"/>
          <w:szCs w:val="24"/>
        </w:rPr>
        <w:t xml:space="preserve">- </w:t>
      </w:r>
      <w:r>
        <w:rPr>
          <w:rFonts w:cs="TTE1F4C8D0t00" w:ascii="Century Gothic" w:hAnsi="Century Gothic"/>
          <w:color w:val="000000"/>
          <w:sz w:val="24"/>
          <w:szCs w:val="24"/>
        </w:rPr>
        <w:t>Solicitud genérica para la presentación de su candidatura, firmada conjuntamente por los promotores del proyecto, copia del DNI, NIF, NIE o pasaporte.</w:t>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b/>
          <w:color w:val="365F91" w:themeColor="accent1" w:themeShade="bf"/>
          <w:sz w:val="24"/>
          <w:szCs w:val="24"/>
        </w:rPr>
        <w:t>-</w:t>
      </w:r>
      <w:r>
        <w:rPr>
          <w:rFonts w:cs="TTE1F4C8D0t00" w:ascii="Century Gothic" w:hAnsi="Century Gothic"/>
          <w:color w:val="000000"/>
          <w:sz w:val="24"/>
          <w:szCs w:val="24"/>
        </w:rPr>
        <w:t xml:space="preserve"> Proyecto empresarial que incluya al menos, los contenidos del modelo que se adjunta a la presente convocatoria. (</w:t>
      </w:r>
      <w:r>
        <w:rPr>
          <w:rFonts w:cs="TTE1F4C8D0t00" w:ascii="Century Gothic" w:hAnsi="Century Gothic"/>
          <w:i/>
          <w:color w:val="000000"/>
          <w:sz w:val="24"/>
          <w:szCs w:val="24"/>
        </w:rPr>
        <w:t>Anexo</w:t>
      </w:r>
      <w:r>
        <w:rPr>
          <w:rFonts w:cs="TTE1F4C8D0t00" w:ascii="Century Gothic" w:hAnsi="Century Gothic"/>
          <w:color w:val="000000"/>
          <w:sz w:val="24"/>
          <w:szCs w:val="24"/>
        </w:rPr>
        <w:t>).</w:t>
      </w:r>
    </w:p>
    <w:p>
      <w:pPr>
        <w:pStyle w:val="Normal"/>
        <w:spacing w:lineRule="auto" w:line="360" w:before="0" w:after="0"/>
        <w:ind w:firstLine="708"/>
        <w:jc w:val="both"/>
        <w:rPr>
          <w:rFonts w:ascii="Century Gothic" w:hAnsi="Century Gothic" w:cs="TTE1F4C8D0t00"/>
          <w:b/>
          <w:b/>
          <w:color w:val="365F91" w:themeColor="accent1" w:themeShade="bf"/>
          <w:sz w:val="24"/>
          <w:szCs w:val="24"/>
        </w:rPr>
      </w:pPr>
      <w:r>
        <w:rPr>
          <w:rFonts w:cs="TTE1F4C8D0t00" w:ascii="Century Gothic" w:hAnsi="Century Gothic"/>
          <w:b/>
          <w:color w:val="365F91" w:themeColor="accent1" w:themeShade="bf"/>
          <w:sz w:val="24"/>
          <w:szCs w:val="24"/>
        </w:rPr>
        <w:t>-</w:t>
      </w:r>
      <w:r>
        <w:rPr>
          <w:rFonts w:cs="TTE1F4C8D0t00" w:ascii="Century Gothic" w:hAnsi="Century Gothic"/>
          <w:color w:val="000000"/>
          <w:sz w:val="24"/>
          <w:szCs w:val="24"/>
        </w:rPr>
        <w:t xml:space="preserve"> Documento que acredite la constitución legal de la empresa así como los documentos que acrediten al solicitante como representante </w:t>
      </w:r>
      <w:r>
        <w:rPr>
          <w:rFonts w:cs="TTE1F4C8D0t00" w:ascii="Century Gothic" w:hAnsi="Century Gothic"/>
          <w:sz w:val="24"/>
          <w:szCs w:val="24"/>
        </w:rPr>
        <w:t>de la empresa.</w:t>
      </w:r>
    </w:p>
    <w:p>
      <w:pPr>
        <w:pStyle w:val="Normal"/>
        <w:spacing w:lineRule="auto" w:line="360"/>
        <w:ind w:firstLine="708"/>
        <w:jc w:val="both"/>
        <w:rPr>
          <w:rFonts w:ascii="Century Gothic" w:hAnsi="Century Gothic" w:eastAsia="Times New Roman" w:cs="Arial"/>
          <w:bCs/>
          <w:color w:val="000000"/>
          <w:kern w:val="2"/>
          <w:sz w:val="24"/>
          <w:szCs w:val="24"/>
          <w:lang w:eastAsia="es-ES"/>
        </w:rPr>
      </w:pPr>
      <w:r>
        <w:rPr>
          <w:rFonts w:cs="TTE1F4C8D0t00" w:ascii="Century Gothic" w:hAnsi="Century Gothic"/>
          <w:b/>
          <w:color w:val="365F91" w:themeColor="accent1" w:themeShade="bf"/>
          <w:sz w:val="24"/>
          <w:szCs w:val="24"/>
        </w:rPr>
        <w:t>-</w:t>
      </w:r>
      <w:r>
        <w:rPr>
          <w:rFonts w:cs="TTE1F4C8D0t00" w:ascii="Century Gothic" w:hAnsi="Century Gothic"/>
          <w:color w:val="000000"/>
          <w:sz w:val="24"/>
          <w:szCs w:val="24"/>
        </w:rPr>
        <w:t xml:space="preserve"> Cualquier documentación que se considere de refuerzo la candidatura.</w:t>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color w:val="000000"/>
          <w:sz w:val="24"/>
          <w:szCs w:val="24"/>
        </w:rPr>
        <w:t>Con independencia de la documentación señalada, se podrá requerir en todo momento, la documentación y/o información complementaria que se estime necesaria para acreditar mejor el exacto cumplimiento de las condiciones exigidas en estas bases.</w:t>
      </w:r>
    </w:p>
    <w:p>
      <w:pPr>
        <w:pStyle w:val="Normal"/>
        <w:spacing w:lineRule="auto" w:line="360" w:before="0" w:after="0"/>
        <w:ind w:firstLine="708"/>
        <w:jc w:val="both"/>
        <w:rPr>
          <w:rFonts w:ascii="Century Gothic" w:hAnsi="Century Gothic" w:cs="TTE1F4C8D0t00"/>
          <w:sz w:val="24"/>
          <w:szCs w:val="24"/>
        </w:rPr>
      </w:pPr>
      <w:r>
        <w:rPr>
          <w:rFonts w:cs="TTE1F4C8D0t00" w:ascii="Century Gothic" w:hAnsi="Century Gothic"/>
          <w:sz w:val="24"/>
          <w:szCs w:val="24"/>
        </w:rPr>
        <w:t>Los modelos correspondientes a la solicitud de ayuda estarán disponibles en la sede electrónica del ayuntamiento de Almendralejo en:  www.almendralejo.es.</w:t>
      </w:r>
    </w:p>
    <w:p>
      <w:pPr>
        <w:pStyle w:val="Normal"/>
        <w:spacing w:lineRule="auto" w:line="360" w:before="0" w:after="0"/>
        <w:jc w:val="both"/>
        <w:rPr>
          <w:rFonts w:ascii="Century Gothic" w:hAnsi="Century Gothic" w:cs="TTE1F4C8D0t00"/>
          <w:color w:val="0000FF"/>
          <w:sz w:val="24"/>
          <w:szCs w:val="24"/>
        </w:rPr>
      </w:pPr>
      <w:r>
        <w:rPr>
          <w:rFonts w:cs="TTE1F4C8D0t00" w:ascii="Century Gothic" w:hAnsi="Century Gothic"/>
          <w:color w:val="0000FF"/>
          <w:sz w:val="24"/>
          <w:szCs w:val="24"/>
        </w:rPr>
      </w:r>
    </w:p>
    <w:p>
      <w:pPr>
        <w:pStyle w:val="Normal"/>
        <w:spacing w:lineRule="auto" w:line="360" w:before="0" w:after="0"/>
        <w:jc w:val="both"/>
        <w:rPr>
          <w:rFonts w:ascii="Century Gothic" w:hAnsi="Century Gothic" w:cs="TTE1F4C8D0t00"/>
          <w:color w:val="0000FF"/>
          <w:sz w:val="24"/>
          <w:szCs w:val="24"/>
        </w:rPr>
      </w:pPr>
      <w:r>
        <w:rPr>
          <w:rFonts w:cs="TTE1F4C8D0t00" w:ascii="Century Gothic" w:hAnsi="Century Gothic"/>
          <w:color w:val="0000FF"/>
          <w:sz w:val="24"/>
          <w:szCs w:val="24"/>
        </w:rPr>
      </w:r>
    </w:p>
    <w:p>
      <w:pPr>
        <w:pStyle w:val="Normal"/>
        <w:spacing w:lineRule="auto" w:line="360" w:before="0" w:after="0"/>
        <w:jc w:val="both"/>
        <w:rPr>
          <w:rFonts w:ascii="Century Gothic" w:hAnsi="Century Gothic" w:cs="TTE1F4C8D0t00"/>
          <w:color w:val="0000FF"/>
          <w:sz w:val="24"/>
          <w:szCs w:val="24"/>
        </w:rPr>
      </w:pPr>
      <w:r>
        <w:rPr>
          <w:rFonts w:cs="TTE1F4C8D0t00" w:ascii="Century Gothic" w:hAnsi="Century Gothic"/>
          <w:color w:val="0000FF"/>
          <w:sz w:val="24"/>
          <w:szCs w:val="24"/>
        </w:rPr>
      </w:r>
    </w:p>
    <w:p>
      <w:pPr>
        <w:pStyle w:val="Normal"/>
        <w:spacing w:lineRule="auto" w:line="360" w:before="0" w:after="0"/>
        <w:jc w:val="both"/>
        <w:rPr>
          <w:rFonts w:ascii="Century Gothic" w:hAnsi="Century Gothic" w:cs="TTE1F4C8D0t00"/>
          <w:color w:val="0000FF"/>
          <w:sz w:val="24"/>
          <w:szCs w:val="24"/>
        </w:rPr>
      </w:pPr>
      <w:r>
        <w:rPr>
          <w:rFonts w:cs="TTE1F4C8D0t00" w:ascii="Century Gothic" w:hAnsi="Century Gothic"/>
          <w:color w:val="0000FF"/>
          <w:sz w:val="24"/>
          <w:szCs w:val="24"/>
        </w:rPr>
      </w:r>
    </w:p>
    <w:p>
      <w:pPr>
        <w:pStyle w:val="Normal"/>
        <w:spacing w:lineRule="auto" w:line="360" w:before="0" w:after="0"/>
        <w:jc w:val="both"/>
        <w:rPr>
          <w:rFonts w:ascii="Century Gothic" w:hAnsi="Century Gothic" w:cs="TTE1F4C8D0t00"/>
          <w:color w:val="0000FF"/>
          <w:sz w:val="24"/>
          <w:szCs w:val="24"/>
        </w:rPr>
      </w:pPr>
      <w:r>
        <w:rPr>
          <w:rFonts w:cs="TTE1F4C8D0t00" w:ascii="Century Gothic" w:hAnsi="Century Gothic"/>
          <w:color w:val="0000FF"/>
          <w:sz w:val="24"/>
          <w:szCs w:val="24"/>
        </w:rPr>
      </w:r>
    </w:p>
    <w:p>
      <w:pPr>
        <w:pStyle w:val="Normal"/>
        <w:spacing w:lineRule="auto" w:line="360" w:before="0" w:after="0"/>
        <w:jc w:val="both"/>
        <w:rPr>
          <w:rFonts w:ascii="Century Gothic" w:hAnsi="Century Gothic" w:cs="TTE1EF70C8t00"/>
          <w:b/>
          <w:b/>
          <w:color w:val="365F91" w:themeColor="accent1" w:themeShade="bf"/>
          <w:sz w:val="24"/>
          <w:szCs w:val="24"/>
        </w:rPr>
      </w:pPr>
      <w:r>
        <w:rPr>
          <w:rFonts w:cs="TTE1EF70C8t00" w:ascii="Century Gothic" w:hAnsi="Century Gothic"/>
          <w:b/>
          <w:color w:val="365F91" w:themeColor="accent1" w:themeShade="bf"/>
          <w:sz w:val="24"/>
          <w:szCs w:val="24"/>
        </w:rPr>
        <w:t>LUGAR Y PLAZO DE PRESENTACIÓN</w:t>
      </w:r>
    </w:p>
    <w:p>
      <w:pPr>
        <w:pStyle w:val="Normal"/>
        <w:spacing w:lineRule="auto" w:line="360" w:before="0" w:after="0"/>
        <w:jc w:val="both"/>
        <w:rPr>
          <w:rFonts w:ascii="Century Gothic" w:hAnsi="Century Gothic" w:cs="TTE1EF70C8t00"/>
          <w:sz w:val="24"/>
          <w:szCs w:val="24"/>
        </w:rPr>
      </w:pPr>
      <w:r>
        <w:rPr>
          <w:rFonts w:cs="TTE1EF70C8t00" w:ascii="Century Gothic" w:hAnsi="Century Gothic"/>
          <w:sz w:val="24"/>
          <w:szCs w:val="24"/>
        </w:rPr>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color w:val="000000"/>
          <w:sz w:val="24"/>
          <w:szCs w:val="24"/>
        </w:rPr>
        <w:t>El plazo de presentación de candidaturas comenzará el día siguiente a la publicación de las presentes bases en la BDNS y  finalizará el próximo día 13 de septiembre de 2022.</w:t>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color w:val="000000"/>
          <w:sz w:val="24"/>
          <w:szCs w:val="24"/>
        </w:rPr>
        <w:t xml:space="preserve">Las candidaturas, junto con el resto de documentación requerida en las bases, deberán presentarse antes de la conclusión del plazo </w:t>
      </w:r>
      <w:r>
        <w:rPr>
          <w:rFonts w:cs="TTE1F4C8D0t00" w:ascii="Century Gothic" w:hAnsi="Century Gothic"/>
          <w:sz w:val="24"/>
          <w:szCs w:val="24"/>
        </w:rPr>
        <w:t>fijado, única y exclusivamente por la sede electrónica del ayuntamiento de Almendralejo.</w:t>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EF70C8t00"/>
          <w:b/>
          <w:b/>
          <w:color w:val="365F91" w:themeColor="accent1" w:themeShade="bf"/>
          <w:sz w:val="24"/>
          <w:szCs w:val="24"/>
        </w:rPr>
      </w:pPr>
      <w:r>
        <w:rPr>
          <w:rFonts w:cs="TTE1EF70C8t00" w:ascii="Century Gothic" w:hAnsi="Century Gothic"/>
          <w:b/>
          <w:color w:val="365F91" w:themeColor="accent1" w:themeShade="bf"/>
          <w:sz w:val="24"/>
          <w:szCs w:val="24"/>
        </w:rPr>
        <w:t>SELECCIÓN</w:t>
      </w:r>
    </w:p>
    <w:p>
      <w:pPr>
        <w:pStyle w:val="Normal"/>
        <w:spacing w:lineRule="auto" w:line="360" w:before="0" w:after="0"/>
        <w:jc w:val="both"/>
        <w:rPr>
          <w:rFonts w:ascii="Century Gothic" w:hAnsi="Century Gothic" w:cs="TTE1EF70C8t00"/>
          <w:sz w:val="24"/>
          <w:szCs w:val="24"/>
        </w:rPr>
      </w:pPr>
      <w:r>
        <w:rPr>
          <w:rFonts w:cs="TTE1EF70C8t00" w:ascii="Century Gothic" w:hAnsi="Century Gothic"/>
          <w:sz w:val="24"/>
          <w:szCs w:val="24"/>
        </w:rPr>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color w:val="000000"/>
          <w:sz w:val="24"/>
          <w:szCs w:val="24"/>
        </w:rPr>
        <w:t>El Área de Formación, Empleo e Industria del Ayuntamiento de Almendralejo estudiará las propuestas presentadas y seleccionará aquella que considere más adecuada para la consecución de los objetivos fijados.</w:t>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color w:val="000000"/>
          <w:sz w:val="24"/>
          <w:szCs w:val="24"/>
        </w:rPr>
        <w:t>Para ello se nombrará un Comité de Evaluación y Selección integrado por técnicos/as del Ayuntamiento de Almendralejo.</w:t>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color w:val="000000"/>
          <w:sz w:val="24"/>
          <w:szCs w:val="24"/>
        </w:rPr>
        <w:t>Serán funciones del Comité de Evaluación y Selección las siguientes:</w:t>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b/>
          <w:color w:val="365F91" w:themeColor="accent1" w:themeShade="bf"/>
          <w:sz w:val="24"/>
          <w:szCs w:val="24"/>
        </w:rPr>
        <w:t xml:space="preserve">- </w:t>
      </w:r>
      <w:r>
        <w:rPr>
          <w:rFonts w:cs="TTE1F4C8D0t00" w:ascii="Century Gothic" w:hAnsi="Century Gothic"/>
          <w:color w:val="000000"/>
          <w:sz w:val="24"/>
          <w:szCs w:val="24"/>
        </w:rPr>
        <w:t>Analizar las solicitudes presentadas.</w:t>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b/>
          <w:color w:val="365F91" w:themeColor="accent1" w:themeShade="bf"/>
          <w:sz w:val="24"/>
          <w:szCs w:val="24"/>
        </w:rPr>
        <w:t xml:space="preserve">- </w:t>
      </w:r>
      <w:r>
        <w:rPr>
          <w:rFonts w:cs="TTE1F4C8D0t00" w:ascii="Century Gothic" w:hAnsi="Century Gothic"/>
          <w:color w:val="000000"/>
          <w:sz w:val="24"/>
          <w:szCs w:val="24"/>
        </w:rPr>
        <w:t>Valorar cada propuesta.</w:t>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b/>
          <w:color w:val="365F91" w:themeColor="accent1" w:themeShade="bf"/>
          <w:sz w:val="24"/>
          <w:szCs w:val="24"/>
        </w:rPr>
        <w:t>-</w:t>
      </w:r>
      <w:r>
        <w:rPr>
          <w:rFonts w:cs="TTE1F4C8D0t00" w:ascii="Century Gothic" w:hAnsi="Century Gothic"/>
          <w:color w:val="000000"/>
          <w:sz w:val="24"/>
          <w:szCs w:val="24"/>
        </w:rPr>
        <w:t xml:space="preserve"> Elaborar un acta que recoja su fallo sobre los proyectos seleccionados.</w:t>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b/>
          <w:color w:val="365F91" w:themeColor="accent1" w:themeShade="bf"/>
          <w:sz w:val="24"/>
          <w:szCs w:val="24"/>
        </w:rPr>
        <w:t>-</w:t>
      </w:r>
      <w:r>
        <w:rPr>
          <w:rFonts w:cs="TTE1F4C8D0t00" w:ascii="Century Gothic" w:hAnsi="Century Gothic"/>
          <w:color w:val="000000"/>
          <w:sz w:val="24"/>
          <w:szCs w:val="24"/>
        </w:rPr>
        <w:t xml:space="preserve"> Garantizar la confidencialidad de la información recibida y analizada por el comité de expertos.</w:t>
      </w:r>
    </w:p>
    <w:p>
      <w:pPr>
        <w:pStyle w:val="Normal"/>
        <w:spacing w:lineRule="auto" w:line="360"/>
        <w:ind w:firstLine="708"/>
        <w:jc w:val="both"/>
        <w:rPr>
          <w:rFonts w:ascii="Century Gothic" w:hAnsi="Century Gothic" w:cs="TTE1F4C8D0t00"/>
          <w:sz w:val="24"/>
          <w:szCs w:val="24"/>
        </w:rPr>
      </w:pPr>
      <w:r>
        <w:rPr>
          <w:rFonts w:cs="TTE1F4C8D0t00" w:ascii="Century Gothic" w:hAnsi="Century Gothic"/>
          <w:sz w:val="24"/>
          <w:szCs w:val="24"/>
        </w:rPr>
        <w:t>El Fallo del Comité de Evaluación y Selección será inapelable.</w:t>
      </w:r>
    </w:p>
    <w:p>
      <w:pPr>
        <w:pStyle w:val="Normal"/>
        <w:spacing w:lineRule="auto" w:line="360"/>
        <w:ind w:firstLine="708"/>
        <w:jc w:val="both"/>
        <w:rPr>
          <w:rFonts w:ascii="Century Gothic" w:hAnsi="Century Gothic" w:eastAsia="Times New Roman" w:cs="Arial"/>
          <w:bCs/>
          <w:kern w:val="2"/>
          <w:sz w:val="24"/>
          <w:szCs w:val="24"/>
          <w:lang w:eastAsia="es-ES"/>
        </w:rPr>
      </w:pPr>
      <w:r>
        <w:rPr>
          <w:rFonts w:eastAsia="Times New Roman" w:cs="Arial" w:ascii="Century Gothic" w:hAnsi="Century Gothic"/>
          <w:bCs/>
          <w:kern w:val="2"/>
          <w:sz w:val="24"/>
          <w:szCs w:val="24"/>
          <w:lang w:eastAsia="es-ES"/>
        </w:rPr>
      </w:r>
    </w:p>
    <w:p>
      <w:pPr>
        <w:pStyle w:val="Normal"/>
        <w:spacing w:lineRule="auto" w:line="360"/>
        <w:ind w:firstLine="708"/>
        <w:jc w:val="both"/>
        <w:rPr>
          <w:rFonts w:ascii="Century Gothic" w:hAnsi="Century Gothic" w:eastAsia="Times New Roman" w:cs="Arial"/>
          <w:bCs/>
          <w:kern w:val="2"/>
          <w:sz w:val="24"/>
          <w:szCs w:val="24"/>
          <w:lang w:eastAsia="es-ES"/>
        </w:rPr>
      </w:pPr>
      <w:r>
        <w:rPr>
          <w:rFonts w:eastAsia="Times New Roman" w:cs="Arial" w:ascii="Century Gothic" w:hAnsi="Century Gothic"/>
          <w:bCs/>
          <w:kern w:val="2"/>
          <w:sz w:val="24"/>
          <w:szCs w:val="24"/>
          <w:lang w:eastAsia="es-ES"/>
        </w:rPr>
      </w:r>
    </w:p>
    <w:p>
      <w:pPr>
        <w:pStyle w:val="Normal"/>
        <w:spacing w:lineRule="auto" w:line="360"/>
        <w:ind w:firstLine="708"/>
        <w:jc w:val="both"/>
        <w:rPr>
          <w:rFonts w:ascii="Century Gothic" w:hAnsi="Century Gothic" w:eastAsia="Times New Roman" w:cs="Arial"/>
          <w:bCs/>
          <w:kern w:val="2"/>
          <w:sz w:val="24"/>
          <w:szCs w:val="24"/>
          <w:lang w:eastAsia="es-ES"/>
        </w:rPr>
      </w:pPr>
      <w:r>
        <w:rPr>
          <w:rFonts w:eastAsia="Times New Roman" w:cs="Arial" w:ascii="Century Gothic" w:hAnsi="Century Gothic"/>
          <w:bCs/>
          <w:kern w:val="2"/>
          <w:sz w:val="24"/>
          <w:szCs w:val="24"/>
          <w:lang w:eastAsia="es-ES"/>
        </w:rPr>
      </w:r>
    </w:p>
    <w:p>
      <w:pPr>
        <w:pStyle w:val="Normal"/>
        <w:spacing w:lineRule="auto" w:line="360" w:before="0" w:after="0"/>
        <w:jc w:val="both"/>
        <w:rPr>
          <w:rFonts w:ascii="Century Gothic" w:hAnsi="Century Gothic" w:cs="TTE1EF70C8t00"/>
          <w:b/>
          <w:b/>
          <w:color w:val="365F91" w:themeColor="accent1" w:themeShade="bf"/>
          <w:sz w:val="24"/>
          <w:szCs w:val="24"/>
        </w:rPr>
      </w:pPr>
      <w:r>
        <w:rPr>
          <w:rFonts w:cs="TTE1EF70C8t00" w:ascii="Century Gothic" w:hAnsi="Century Gothic"/>
          <w:b/>
          <w:color w:val="365F91" w:themeColor="accent1" w:themeShade="bf"/>
          <w:sz w:val="24"/>
          <w:szCs w:val="24"/>
        </w:rPr>
        <w:t>BENEFICIOS PARA LA PYME SELECCIONADA</w:t>
      </w:r>
    </w:p>
    <w:p>
      <w:pPr>
        <w:pStyle w:val="Normal"/>
        <w:spacing w:lineRule="auto" w:line="360" w:before="0" w:after="0"/>
        <w:jc w:val="both"/>
        <w:rPr>
          <w:rFonts w:ascii="Century Gothic" w:hAnsi="Century Gothic" w:cs="TTE1EF70C8t00"/>
          <w:sz w:val="24"/>
          <w:szCs w:val="24"/>
        </w:rPr>
      </w:pPr>
      <w:r>
        <w:rPr>
          <w:rFonts w:cs="TTE1EF70C8t00" w:ascii="Century Gothic" w:hAnsi="Century Gothic"/>
          <w:sz w:val="24"/>
          <w:szCs w:val="24"/>
        </w:rPr>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color w:val="000000"/>
          <w:sz w:val="24"/>
          <w:szCs w:val="24"/>
        </w:rPr>
        <w:t>La empresa que obtenga el premio Pyme Innovadora “Ciudad de Almendralejo 2022”, participará en el VI encuentro Innpulso Emprende de la Red Innpulso el próximo 14 de octubre de 2022 en la ciudad de Valencia.</w:t>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color w:val="000000"/>
          <w:sz w:val="24"/>
          <w:szCs w:val="24"/>
        </w:rPr>
        <w:t>La empresa seleccionada recibirá un premio en metálico por valor de 1000€.</w:t>
      </w:r>
    </w:p>
    <w:p>
      <w:pPr>
        <w:pStyle w:val="Normal"/>
        <w:spacing w:lineRule="auto" w:line="360" w:before="0" w:after="0"/>
        <w:ind w:firstLine="708"/>
        <w:jc w:val="both"/>
        <w:rPr>
          <w:rFonts w:ascii="Century Gothic" w:hAnsi="Century Gothic" w:cs="TTE1F4C8D0t00"/>
          <w:sz w:val="24"/>
          <w:szCs w:val="24"/>
        </w:rPr>
      </w:pPr>
      <w:r>
        <w:rPr>
          <w:rFonts w:cs="Calibri" w:ascii="Century Gothic" w:hAnsi="Century Gothic"/>
          <w:sz w:val="24"/>
          <w:szCs w:val="24"/>
          <w:shd w:fill="FDFCFA" w:val="clear"/>
        </w:rPr>
        <w:t xml:space="preserve">Además, tendrá la oportunidad de mostrar sus productos y servicios en un stand colectivo de la Red Innpulso durante las celebraciones del </w:t>
      </w:r>
      <w:r>
        <w:rPr>
          <w:rFonts w:cs="Calibri" w:ascii="Century Gothic" w:hAnsi="Century Gothic"/>
          <w:i/>
          <w:sz w:val="24"/>
          <w:szCs w:val="24"/>
          <w:shd w:fill="FDFCFA" w:val="clear"/>
        </w:rPr>
        <w:t>VLC Startup Market</w:t>
      </w:r>
      <w:r>
        <w:rPr>
          <w:rFonts w:cs="Calibri" w:ascii="Century Gothic" w:hAnsi="Century Gothic"/>
          <w:sz w:val="24"/>
          <w:szCs w:val="24"/>
          <w:shd w:fill="FDFCFA" w:val="clear"/>
        </w:rPr>
        <w:t xml:space="preserve"> del fin de semana, 15 y </w:t>
      </w:r>
      <w:r>
        <w:rPr>
          <w:rStyle w:val="Objectactive"/>
          <w:rFonts w:cs="Calibri" w:ascii="Century Gothic" w:hAnsi="Century Gothic"/>
          <w:sz w:val="24"/>
          <w:szCs w:val="24"/>
          <w:shd w:fill="FDFCFA" w:val="clear"/>
        </w:rPr>
        <w:t>16 de octubre</w:t>
      </w:r>
      <w:r>
        <w:rPr>
          <w:rFonts w:cs="Calibri" w:ascii="Century Gothic" w:hAnsi="Century Gothic"/>
          <w:sz w:val="24"/>
          <w:szCs w:val="24"/>
          <w:shd w:fill="FDFCFA" w:val="clear"/>
        </w:rPr>
        <w:t xml:space="preserve">. Podrá incluso ofrecer un </w:t>
      </w:r>
      <w:r>
        <w:rPr>
          <w:rFonts w:cs="Calibri" w:ascii="Century Gothic" w:hAnsi="Century Gothic"/>
          <w:i/>
          <w:sz w:val="24"/>
          <w:szCs w:val="24"/>
          <w:shd w:fill="FDFCFA" w:val="clear"/>
        </w:rPr>
        <w:t>pitch</w:t>
      </w:r>
      <w:r>
        <w:rPr>
          <w:rFonts w:cs="Calibri" w:ascii="Century Gothic" w:hAnsi="Century Gothic"/>
          <w:sz w:val="24"/>
          <w:szCs w:val="24"/>
          <w:shd w:fill="FDFCFA" w:val="clear"/>
        </w:rPr>
        <w:t xml:space="preserve"> para presentar su trabajo y defender su aportación a la sociedad.</w:t>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color w:val="000000"/>
          <w:sz w:val="24"/>
          <w:szCs w:val="24"/>
        </w:rPr>
        <w:t>En este marco, tendrá ocasión, así mismo, de contactar con los mejores emprendedores innovadores de las 82 ciudades que forman Red Innpulso, generándose de este modo un punto de encuentro no solo para las ciudades sino para su talento emprendedor.</w:t>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EF70C8t00"/>
          <w:b/>
          <w:b/>
          <w:color w:val="365F91" w:themeColor="accent1" w:themeShade="bf"/>
          <w:sz w:val="24"/>
          <w:szCs w:val="24"/>
        </w:rPr>
      </w:pPr>
      <w:r>
        <w:rPr>
          <w:rFonts w:cs="TTE1EF70C8t00" w:ascii="Century Gothic" w:hAnsi="Century Gothic"/>
          <w:b/>
          <w:color w:val="365F91" w:themeColor="accent1" w:themeShade="bf"/>
          <w:sz w:val="24"/>
          <w:szCs w:val="24"/>
        </w:rPr>
        <w:t>ACEPTACIÓN DE LAS BASES</w:t>
      </w:r>
    </w:p>
    <w:p>
      <w:pPr>
        <w:pStyle w:val="Normal"/>
        <w:spacing w:lineRule="auto" w:line="360" w:before="0" w:after="0"/>
        <w:jc w:val="both"/>
        <w:rPr>
          <w:rFonts w:ascii="Century Gothic" w:hAnsi="Century Gothic" w:cs="TTE1EF70C8t00"/>
          <w:sz w:val="24"/>
          <w:szCs w:val="24"/>
        </w:rPr>
      </w:pPr>
      <w:r>
        <w:rPr>
          <w:rFonts w:cs="TTE1EF70C8t00" w:ascii="Century Gothic" w:hAnsi="Century Gothic"/>
          <w:sz w:val="24"/>
          <w:szCs w:val="24"/>
        </w:rPr>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color w:val="000000"/>
          <w:sz w:val="24"/>
          <w:szCs w:val="24"/>
        </w:rPr>
        <w:t>La presentación de una candidatura a este concurso implica el conocimiento y aceptación de las presentes bases, así como la decisión del Comité de Evaluación y Selección, sin que ello dé lugar a un posible recurso.</w:t>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color w:val="000000"/>
          <w:sz w:val="24"/>
          <w:szCs w:val="24"/>
        </w:rPr>
        <w:t>El Ayuntamiento de Almendralejo se reserva el derecho a suspender, aplazar, modificar o cancelar el presente concurso por los motivos que estime oportunos, comunicando en este caso a los participantes esta eventualidad.</w:t>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color w:val="000000"/>
          <w:sz w:val="24"/>
          <w:szCs w:val="24"/>
        </w:rPr>
        <w:t>El Comité de Evaluación y Selección se reserva la posibilidad de dejar desierto el concurso, en el caso del incumplimiento de las bases por los participantes, por la falta de participación o falta de interés de los proyectos presentados.</w:t>
      </w:r>
    </w:p>
    <w:p>
      <w:pPr>
        <w:pStyle w:val="Normal"/>
        <w:spacing w:lineRule="auto" w:line="360" w:before="0" w:after="0"/>
        <w:jc w:val="both"/>
        <w:rPr>
          <w:rFonts w:ascii="Century Gothic" w:hAnsi="Century Gothic" w:cs="TTE1F4C8D0t00"/>
          <w:b/>
          <w:b/>
          <w:color w:val="365F91" w:themeColor="accent1" w:themeShade="bf"/>
          <w:sz w:val="24"/>
          <w:szCs w:val="24"/>
        </w:rPr>
      </w:pPr>
      <w:r>
        <w:rPr>
          <w:rFonts w:cs="TTE1F4C8D0t00" w:ascii="Century Gothic" w:hAnsi="Century Gothic"/>
          <w:b/>
          <w:color w:val="365F91" w:themeColor="accent1" w:themeShade="bf"/>
          <w:sz w:val="24"/>
          <w:szCs w:val="24"/>
        </w:rPr>
      </w:r>
    </w:p>
    <w:p>
      <w:pPr>
        <w:pStyle w:val="Normal"/>
        <w:spacing w:lineRule="auto" w:line="360" w:before="0" w:after="0"/>
        <w:jc w:val="both"/>
        <w:rPr>
          <w:rFonts w:ascii="Century Gothic" w:hAnsi="Century Gothic" w:cs="TTE1EF70C8t00"/>
          <w:b/>
          <w:b/>
          <w:color w:val="365F91" w:themeColor="accent1" w:themeShade="bf"/>
          <w:sz w:val="24"/>
          <w:szCs w:val="24"/>
        </w:rPr>
      </w:pPr>
      <w:r>
        <w:rPr>
          <w:rFonts w:cs="TTE1EF70C8t00" w:ascii="Century Gothic" w:hAnsi="Century Gothic"/>
          <w:b/>
          <w:color w:val="365F91" w:themeColor="accent1" w:themeShade="bf"/>
          <w:sz w:val="24"/>
          <w:szCs w:val="24"/>
        </w:rPr>
        <w:t>CONFIDENCIALIDAD Y DERECHOS DE IMAGEN</w:t>
      </w:r>
    </w:p>
    <w:p>
      <w:pPr>
        <w:pStyle w:val="Normal"/>
        <w:spacing w:lineRule="auto" w:line="360" w:before="0" w:after="0"/>
        <w:jc w:val="both"/>
        <w:rPr>
          <w:rFonts w:ascii="Century Gothic" w:hAnsi="Century Gothic" w:cs="TTE1EF70C8t00"/>
          <w:b/>
          <w:b/>
          <w:color w:val="365F91" w:themeColor="accent1" w:themeShade="bf"/>
          <w:sz w:val="24"/>
          <w:szCs w:val="24"/>
        </w:rPr>
      </w:pPr>
      <w:r>
        <w:rPr>
          <w:rFonts w:cs="TTE1EF70C8t00" w:ascii="Century Gothic" w:hAnsi="Century Gothic"/>
          <w:b/>
          <w:color w:val="365F91" w:themeColor="accent1" w:themeShade="bf"/>
          <w:sz w:val="24"/>
          <w:szCs w:val="24"/>
        </w:rPr>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color w:val="000000"/>
          <w:sz w:val="24"/>
          <w:szCs w:val="24"/>
        </w:rPr>
        <w:t>A lo largo de todo el proceso se garantizará la confidencialidad de las candidaturas presentadas. Solo se difundirán las características generales de las mismas y, en su momento, el nombre de la empresa ganadora, su logo, su actividad y sus principales logros, así como las personas integrantes y sus promotores.</w:t>
      </w:r>
    </w:p>
    <w:p>
      <w:pPr>
        <w:pStyle w:val="Normal"/>
        <w:spacing w:lineRule="auto" w:line="360" w:before="0" w:after="0"/>
        <w:ind w:firstLine="708"/>
        <w:jc w:val="both"/>
        <w:rPr>
          <w:rFonts w:ascii="Century Gothic" w:hAnsi="Century Gothic" w:cs="TTE1F4C8D0t00"/>
          <w:color w:val="000000"/>
          <w:sz w:val="24"/>
          <w:szCs w:val="24"/>
        </w:rPr>
      </w:pPr>
      <w:r>
        <w:rPr>
          <w:rFonts w:cs="TTE1F4C8D0t00" w:ascii="Century Gothic" w:hAnsi="Century Gothic"/>
          <w:color w:val="000000"/>
          <w:sz w:val="24"/>
          <w:szCs w:val="24"/>
        </w:rPr>
        <w:t>La empresa ganadora consiente al aceptar el premio, en la utilización por parte del Ayuntamiento de Valencia de su imagen, nombre completo en cualquier publicidad o publicación siempre que estén relacionados con el presente concurso.</w:t>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EF70C8t00"/>
          <w:b/>
          <w:b/>
          <w:color w:val="365F91" w:themeColor="accent1" w:themeShade="bf"/>
          <w:sz w:val="24"/>
          <w:szCs w:val="24"/>
        </w:rPr>
      </w:pPr>
      <w:r>
        <w:rPr>
          <w:rFonts w:cs="TTE1EF70C8t00" w:ascii="Century Gothic" w:hAnsi="Century Gothic"/>
          <w:b/>
          <w:color w:val="365F91" w:themeColor="accent1" w:themeShade="bf"/>
          <w:sz w:val="24"/>
          <w:szCs w:val="24"/>
        </w:rPr>
        <w:t xml:space="preserve">INFORMACIÓN SOBRE PROTECCIÓN DE DATOS </w:t>
      </w:r>
    </w:p>
    <w:p>
      <w:pPr>
        <w:pStyle w:val="Normal"/>
        <w:spacing w:lineRule="auto" w:line="360" w:before="0" w:after="0"/>
        <w:ind w:firstLine="708"/>
        <w:jc w:val="both"/>
        <w:rPr>
          <w:rFonts w:ascii="Century Gothic" w:hAnsi="Century Gothic" w:cs="TTE1EF70C8t00"/>
          <w:b/>
          <w:b/>
          <w:color w:val="365F91" w:themeColor="accent1" w:themeShade="bf"/>
          <w:sz w:val="24"/>
          <w:szCs w:val="24"/>
        </w:rPr>
      </w:pPr>
      <w:r>
        <w:rPr>
          <w:rFonts w:cs="TTE1EF70C8t00" w:ascii="Century Gothic" w:hAnsi="Century Gothic"/>
          <w:b/>
          <w:color w:val="365F91" w:themeColor="accent1" w:themeShade="bf"/>
          <w:sz w:val="24"/>
          <w:szCs w:val="24"/>
        </w:rPr>
      </w:r>
    </w:p>
    <w:p>
      <w:pPr>
        <w:pStyle w:val="Normal"/>
        <w:spacing w:lineRule="auto" w:line="360" w:before="0" w:after="0"/>
        <w:ind w:firstLine="708"/>
        <w:jc w:val="both"/>
        <w:rPr>
          <w:rFonts w:ascii="Century Gothic" w:hAnsi="Century Gothic" w:cs="TTE1F4C8D0t00"/>
          <w:sz w:val="24"/>
          <w:szCs w:val="24"/>
        </w:rPr>
      </w:pPr>
      <w:r>
        <w:rPr>
          <w:rFonts w:cs="TTE1F4C8D0t00" w:ascii="Century Gothic" w:hAnsi="Century Gothic"/>
          <w:sz w:val="24"/>
          <w:szCs w:val="24"/>
        </w:rPr>
        <w:t>En cumplimiento con lo dispuesto en EL Reglamento Europeo de protección de datos (RGPD)  y en la Ley Orgánica 3/2018, de 5 de diciembre de protección de datos personales y garantía de los derechos digitales, se informa que los datos personales facilitados, así como los que sean requeridos posteriormente para completar el expediente, serán incorporados a un fichero, cuya titularidad corresponde al Ayuntamiento de Almendralejo, siendo su finalidad tramitar su inscripción y participación en el concurso para la selección de una Pyme Innovadora  de la ciudad de Almendralejo.</w:t>
      </w:r>
    </w:p>
    <w:p>
      <w:pPr>
        <w:pStyle w:val="Normal"/>
        <w:spacing w:lineRule="auto" w:line="360" w:before="0" w:after="0"/>
        <w:ind w:firstLine="708"/>
        <w:jc w:val="both"/>
        <w:rPr>
          <w:rFonts w:ascii="Century Gothic" w:hAnsi="Century Gothic" w:cs="TTE1F4C8D0t00"/>
          <w:sz w:val="24"/>
          <w:szCs w:val="24"/>
        </w:rPr>
      </w:pPr>
      <w:r>
        <w:rPr>
          <w:rFonts w:cs="TTE1F4C8D0t00" w:ascii="Century Gothic" w:hAnsi="Century Gothic"/>
          <w:sz w:val="24"/>
          <w:szCs w:val="24"/>
        </w:rPr>
        <w:t>La base de legitimación de dicho tratamiento reside en una misión realizada en interés público, contenida en la Orden CIN/2502/2010 de 17 de septiembre), otorgando al municipio de Almendralejo como «Ciudad de la Ciencia y la Innovación», legitimando al mismo a realizar acciones de apoyo a la innovación políticas, potenciando estructuras, instituciones y empresas locales.</w:t>
      </w:r>
    </w:p>
    <w:p>
      <w:pPr>
        <w:pStyle w:val="Normal"/>
        <w:spacing w:lineRule="auto" w:line="360" w:before="0" w:after="0"/>
        <w:jc w:val="both"/>
        <w:rPr>
          <w:rFonts w:ascii="Century Gothic" w:hAnsi="Century Gothic" w:cs="TTE1F4C8D0t00"/>
          <w:sz w:val="24"/>
          <w:szCs w:val="24"/>
        </w:rPr>
      </w:pPr>
      <w:r>
        <w:rPr>
          <w:rFonts w:cs="TTE1F4C8D0t00" w:ascii="Century Gothic" w:hAnsi="Century Gothic"/>
          <w:sz w:val="24"/>
          <w:szCs w:val="24"/>
        </w:rPr>
        <w:t>Se encuentra prevista la cesión de datos a la Red Innpulso, entidad dependiente del Ministerio de innovación; no está prevista la transferencia internacional de datos.</w:t>
      </w:r>
    </w:p>
    <w:p>
      <w:pPr>
        <w:pStyle w:val="Normal"/>
        <w:spacing w:lineRule="auto" w:line="360" w:before="0" w:after="0"/>
        <w:ind w:firstLine="708"/>
        <w:jc w:val="both"/>
        <w:rPr>
          <w:rFonts w:ascii="Century Gothic" w:hAnsi="Century Gothic" w:cs="TTE1F4C8D0t00"/>
          <w:sz w:val="24"/>
          <w:szCs w:val="24"/>
        </w:rPr>
      </w:pPr>
      <w:r>
        <w:rPr>
          <w:rFonts w:cs="TTE1F4C8D0t00" w:ascii="Century Gothic" w:hAnsi="Century Gothic"/>
          <w:sz w:val="24"/>
          <w:szCs w:val="24"/>
        </w:rPr>
        <w:t>Con la remisión de sus datos, usted legitima al Ayuntamiento de Almendralejo pueda llevar a cabo el tratamiento de los mismos, siempre para el cumplimiento de las finalidades anteriormente indicadas y no otras finalidades.</w:t>
      </w:r>
    </w:p>
    <w:p>
      <w:pPr>
        <w:pStyle w:val="Normal"/>
        <w:spacing w:lineRule="auto" w:line="360" w:before="0" w:after="0"/>
        <w:ind w:firstLine="708"/>
        <w:jc w:val="both"/>
        <w:rPr>
          <w:rFonts w:ascii="Century Gothic" w:hAnsi="Century Gothic" w:cs="TTE1F4C8D0t00"/>
          <w:sz w:val="24"/>
          <w:szCs w:val="24"/>
        </w:rPr>
      </w:pPr>
      <w:r>
        <w:rPr>
          <w:rFonts w:cs="TTE1F4C8D0t00" w:ascii="Century Gothic" w:hAnsi="Century Gothic"/>
          <w:sz w:val="24"/>
          <w:szCs w:val="24"/>
        </w:rPr>
        <w:t xml:space="preserve">Asimismo, queda informado de que podrá ejercitar sus derechos de acceso, rectificación supresión, portabilidad y limitación al tratamiento de sus datos mediante comunicación escrita al Ayuntamiento de Almendralejo en la dirección: Calle Mérida 11, 06200, Almendralejo (Badajoz) o bien a la dirección de correo electrónica del Delegado de Protección de datos: </w:t>
      </w:r>
      <w:hyperlink r:id="rId4">
        <w:r>
          <w:rPr>
            <w:rStyle w:val="EnlacedeInternet"/>
            <w:rFonts w:cs="TTE1F4C8D0t00" w:ascii="Century Gothic" w:hAnsi="Century Gothic"/>
            <w:color w:val="auto"/>
            <w:sz w:val="24"/>
            <w:szCs w:val="24"/>
            <w:u w:val="none"/>
          </w:rPr>
          <w:t>dpd@almendralejo.es</w:t>
        </w:r>
      </w:hyperlink>
    </w:p>
    <w:p>
      <w:pPr>
        <w:pStyle w:val="Normal"/>
        <w:spacing w:lineRule="auto" w:line="360" w:before="0" w:after="0"/>
        <w:ind w:firstLine="708"/>
        <w:jc w:val="both"/>
        <w:rPr>
          <w:rFonts w:ascii="Century Gothic" w:hAnsi="Century Gothic" w:cs="TTE1F4C8D0t00"/>
          <w:sz w:val="24"/>
          <w:szCs w:val="24"/>
        </w:rPr>
      </w:pPr>
      <w:r>
        <w:rPr>
          <w:rFonts w:cs="TTE1F4C8D0t00" w:ascii="Century Gothic" w:hAnsi="Century Gothic"/>
          <w:sz w:val="24"/>
          <w:szCs w:val="24"/>
        </w:rPr>
      </w:r>
    </w:p>
    <w:p>
      <w:pPr>
        <w:pStyle w:val="Normal"/>
        <w:spacing w:lineRule="auto" w:line="360" w:before="0" w:after="0"/>
        <w:ind w:firstLine="708"/>
        <w:jc w:val="both"/>
        <w:rPr>
          <w:rFonts w:ascii="Century Gothic" w:hAnsi="Century Gothic"/>
          <w:sz w:val="24"/>
          <w:szCs w:val="24"/>
        </w:rPr>
      </w:pPr>
      <w:r>
        <w:rPr>
          <w:rFonts w:cs="TTE1F4C8D0t00" w:ascii="Century Gothic" w:hAnsi="Century Gothic"/>
          <w:sz w:val="24"/>
          <w:szCs w:val="24"/>
        </w:rPr>
        <w:t>La presentación de solicitud de ayuda implicará la aceptación de la cesión de los datos contenidos en la misma, así como la de los relativos a la ayuda en su caso concedida, al Ayuntamiento de Almendralejo, con fines de estadística, evaluación y seguimiento.</w:t>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pBdr>
          <w:top w:val="single" w:sz="4" w:space="1" w:color="000000"/>
          <w:left w:val="single" w:sz="4" w:space="4" w:color="000000"/>
          <w:bottom w:val="single" w:sz="4" w:space="1" w:color="000000"/>
          <w:right w:val="single" w:sz="4" w:space="4" w:color="000000"/>
        </w:pBdr>
        <w:shd w:val="clear" w:color="auto" w:fill="548DD4"/>
        <w:jc w:val="center"/>
        <w:rPr>
          <w:b/>
          <w:b/>
          <w:sz w:val="24"/>
          <w:szCs w:val="24"/>
          <w:u w:val="single"/>
        </w:rPr>
      </w:pPr>
      <w:r>
        <w:rPr>
          <w:b/>
          <w:color w:val="FFFFFF"/>
          <w:sz w:val="24"/>
          <w:szCs w:val="24"/>
        </w:rPr>
        <w:t xml:space="preserve">ANEXO </w:t>
      </w:r>
    </w:p>
    <w:p>
      <w:pPr>
        <w:pStyle w:val="Normal"/>
        <w:rPr>
          <w:b/>
          <w:b/>
          <w:u w:val="single"/>
        </w:rPr>
      </w:pPr>
      <w:r>
        <w:rPr>
          <w:b/>
          <w:u w:val="single"/>
        </w:rPr>
      </w:r>
    </w:p>
    <w:p>
      <w:pPr>
        <w:pStyle w:val="Normal"/>
        <w:rPr>
          <w:b/>
          <w:b/>
          <w:u w:val="single"/>
        </w:rPr>
      </w:pPr>
      <w:r>
        <w:rPr>
          <w:b/>
          <w:u w:val="single"/>
        </w:rPr>
        <w:t>PLAN DE EMPRESA</w:t>
      </w:r>
    </w:p>
    <w:p>
      <w:pPr>
        <w:pStyle w:val="Normal"/>
        <w:rPr/>
      </w:pPr>
      <w:r>
        <w:rPr>
          <w:b/>
        </w:rPr>
        <w:t>1.- Descripción general de la empresa</w:t>
      </w:r>
      <w:r>
        <w:rPr/>
        <w:t>.</w:t>
      </w:r>
    </w:p>
    <w:p>
      <w:pPr>
        <w:pStyle w:val="Normal"/>
        <w:numPr>
          <w:ilvl w:val="1"/>
          <w:numId w:val="1"/>
        </w:numPr>
        <w:suppressAutoHyphens w:val="true"/>
        <w:spacing w:lineRule="auto" w:line="240" w:before="0" w:after="0"/>
        <w:rPr/>
      </w:pPr>
      <w:r>
        <w:rPr/>
        <w:t>Breve historia de la empresa.</w:t>
      </w:r>
    </w:p>
    <w:p>
      <w:pPr>
        <w:pStyle w:val="Normal"/>
        <w:numPr>
          <w:ilvl w:val="1"/>
          <w:numId w:val="1"/>
        </w:numPr>
        <w:suppressAutoHyphens w:val="true"/>
        <w:spacing w:lineRule="auto" w:line="240" w:before="0" w:after="0"/>
        <w:rPr/>
      </w:pPr>
      <w:r>
        <w:rPr/>
        <w:t>Denominación.</w:t>
      </w:r>
    </w:p>
    <w:p>
      <w:pPr>
        <w:pStyle w:val="Normal"/>
        <w:numPr>
          <w:ilvl w:val="1"/>
          <w:numId w:val="1"/>
        </w:numPr>
        <w:suppressAutoHyphens w:val="true"/>
        <w:spacing w:lineRule="auto" w:line="240" w:before="0" w:after="0"/>
        <w:rPr/>
      </w:pPr>
      <w:r>
        <w:rPr/>
        <w:t>Descripción de la actividad.</w:t>
      </w:r>
    </w:p>
    <w:p>
      <w:pPr>
        <w:pStyle w:val="Normal"/>
        <w:numPr>
          <w:ilvl w:val="1"/>
          <w:numId w:val="1"/>
        </w:numPr>
        <w:suppressAutoHyphens w:val="true"/>
        <w:spacing w:lineRule="auto" w:line="240" w:before="0" w:after="0"/>
        <w:rPr/>
      </w:pPr>
      <w:r>
        <w:rPr/>
        <w:t>Estrategias de negocio.</w:t>
      </w:r>
    </w:p>
    <w:p>
      <w:pPr>
        <w:pStyle w:val="Normal"/>
        <w:numPr>
          <w:ilvl w:val="1"/>
          <w:numId w:val="1"/>
        </w:numPr>
        <w:suppressAutoHyphens w:val="true"/>
        <w:spacing w:lineRule="auto" w:line="240" w:before="0" w:after="0"/>
        <w:rPr/>
      </w:pPr>
      <w:r>
        <w:rPr/>
        <w:t>Elementos innovadores que aporta.</w:t>
      </w:r>
    </w:p>
    <w:p>
      <w:pPr>
        <w:pStyle w:val="Normal"/>
        <w:numPr>
          <w:ilvl w:val="1"/>
          <w:numId w:val="1"/>
        </w:numPr>
        <w:suppressAutoHyphens w:val="true"/>
        <w:spacing w:lineRule="auto" w:line="240" w:before="0" w:after="0"/>
        <w:rPr/>
      </w:pPr>
      <w:r>
        <w:rPr/>
        <w:t>Identificación de los promotores.</w:t>
      </w:r>
    </w:p>
    <w:p>
      <w:pPr>
        <w:pStyle w:val="Normal"/>
        <w:spacing w:lineRule="auto" w:line="240" w:before="0" w:after="0"/>
        <w:rPr/>
      </w:pPr>
      <w:r>
        <w:rPr/>
      </w:r>
    </w:p>
    <w:p>
      <w:pPr>
        <w:pStyle w:val="Normal"/>
        <w:rPr>
          <w:b/>
          <w:b/>
        </w:rPr>
      </w:pPr>
      <w:r>
        <w:rPr>
          <w:b/>
        </w:rPr>
        <w:t>2.- Plan de marketing.</w:t>
      </w:r>
    </w:p>
    <w:p>
      <w:pPr>
        <w:pStyle w:val="Normal"/>
        <w:spacing w:lineRule="auto" w:line="240" w:before="0" w:after="0"/>
        <w:ind w:left="705" w:hanging="0"/>
        <w:rPr/>
      </w:pPr>
      <w:r>
        <w:rPr/>
        <w:t>2.1. El producto/servicio.</w:t>
      </w:r>
    </w:p>
    <w:p>
      <w:pPr>
        <w:pStyle w:val="Normal"/>
        <w:spacing w:lineRule="auto" w:line="240" w:before="0" w:after="0"/>
        <w:ind w:left="705" w:hanging="0"/>
        <w:rPr/>
      </w:pPr>
      <w:r>
        <w:rPr/>
        <w:t>2.2. El mercado.</w:t>
      </w:r>
    </w:p>
    <w:p>
      <w:pPr>
        <w:pStyle w:val="Normal"/>
        <w:spacing w:lineRule="auto" w:line="240" w:before="0" w:after="0"/>
        <w:ind w:left="1413" w:firstLine="3"/>
        <w:rPr/>
      </w:pPr>
      <w:r>
        <w:rPr/>
        <w:t>2.2.1. El sector.</w:t>
      </w:r>
    </w:p>
    <w:p>
      <w:pPr>
        <w:pStyle w:val="Normal"/>
        <w:spacing w:lineRule="auto" w:line="240" w:before="0" w:after="0"/>
        <w:ind w:left="1410" w:firstLine="3"/>
        <w:rPr/>
      </w:pPr>
      <w:r>
        <w:rPr/>
        <w:t>2.2.2. Mercado potencial.</w:t>
      </w:r>
    </w:p>
    <w:p>
      <w:pPr>
        <w:pStyle w:val="Normal"/>
        <w:spacing w:lineRule="auto" w:line="240" w:before="0" w:after="0"/>
        <w:ind w:left="1407" w:firstLine="3"/>
        <w:rPr/>
      </w:pPr>
      <w:r>
        <w:rPr/>
        <w:t>2.2.3. Distribución.</w:t>
      </w:r>
    </w:p>
    <w:p>
      <w:pPr>
        <w:pStyle w:val="Normal"/>
        <w:spacing w:lineRule="auto" w:line="240" w:before="0" w:after="0"/>
        <w:ind w:left="1404" w:firstLine="3"/>
        <w:rPr/>
      </w:pPr>
      <w:r>
        <w:rPr/>
        <w:t>2.2.4. Competencia.</w:t>
      </w:r>
    </w:p>
    <w:p>
      <w:pPr>
        <w:pStyle w:val="Normal"/>
        <w:spacing w:lineRule="auto" w:line="240" w:before="0" w:after="0"/>
        <w:ind w:left="705" w:hanging="0"/>
        <w:rPr/>
      </w:pPr>
      <w:r>
        <w:rPr/>
      </w:r>
    </w:p>
    <w:p>
      <w:pPr>
        <w:pStyle w:val="Normal"/>
        <w:rPr>
          <w:b/>
          <w:b/>
        </w:rPr>
      </w:pPr>
      <w:r>
        <w:rPr>
          <w:b/>
        </w:rPr>
        <w:t>3.- Plan de producción.</w:t>
      </w:r>
    </w:p>
    <w:p>
      <w:pPr>
        <w:pStyle w:val="Normal"/>
        <w:spacing w:lineRule="auto" w:line="240" w:before="0" w:after="0"/>
        <w:ind w:left="705" w:hanging="0"/>
        <w:rPr/>
      </w:pPr>
      <w:r>
        <w:rPr/>
        <w:tab/>
        <w:t>3.1. Proceso de producción.</w:t>
      </w:r>
    </w:p>
    <w:p>
      <w:pPr>
        <w:pStyle w:val="Normal"/>
        <w:spacing w:lineRule="auto" w:line="240" w:before="0" w:after="0"/>
        <w:ind w:left="705" w:hanging="0"/>
        <w:rPr/>
      </w:pPr>
      <w:r>
        <w:rPr/>
        <w:tab/>
        <w:t>3.2. Elementos innovadores en el proceso de producción.</w:t>
      </w:r>
    </w:p>
    <w:p>
      <w:pPr>
        <w:pStyle w:val="Normal"/>
        <w:rPr/>
      </w:pPr>
      <w:r>
        <w:rPr/>
        <w:tab/>
        <w:t xml:space="preserve">3.2. Recursos necesarios. </w:t>
      </w:r>
    </w:p>
    <w:p>
      <w:pPr>
        <w:pStyle w:val="Normal"/>
        <w:rPr>
          <w:b/>
          <w:b/>
        </w:rPr>
      </w:pPr>
      <w:r>
        <w:rPr>
          <w:b/>
        </w:rPr>
        <w:t>4.- Equipo humano.</w:t>
      </w:r>
    </w:p>
    <w:p>
      <w:pPr>
        <w:pStyle w:val="Normal"/>
        <w:spacing w:lineRule="auto" w:line="240" w:before="0" w:after="0"/>
        <w:ind w:left="705" w:hanging="0"/>
        <w:rPr/>
      </w:pPr>
      <w:r>
        <w:rPr/>
        <w:tab/>
        <w:t>4.1. Organigrama.</w:t>
      </w:r>
    </w:p>
    <w:p>
      <w:pPr>
        <w:pStyle w:val="Normal"/>
        <w:spacing w:lineRule="auto" w:line="240" w:before="0" w:after="0"/>
        <w:ind w:left="705" w:hanging="0"/>
        <w:rPr/>
      </w:pPr>
      <w:r>
        <w:rPr/>
        <w:tab/>
        <w:t>4.2. Descripción de los puestos de trabajo.</w:t>
      </w:r>
    </w:p>
    <w:p>
      <w:pPr>
        <w:pStyle w:val="Normal"/>
        <w:spacing w:lineRule="auto" w:line="240" w:before="0" w:after="0"/>
        <w:ind w:left="705" w:hanging="0"/>
        <w:rPr/>
      </w:pPr>
      <w:r>
        <w:rPr/>
      </w:r>
    </w:p>
    <w:p>
      <w:pPr>
        <w:pStyle w:val="Normal"/>
        <w:rPr/>
      </w:pPr>
      <w:r>
        <w:rPr>
          <w:b/>
        </w:rPr>
        <w:t>5.- Plan económico-financiero</w:t>
      </w:r>
      <w:r>
        <w:rPr/>
        <w:t>.</w:t>
      </w:r>
    </w:p>
    <w:p>
      <w:pPr>
        <w:pStyle w:val="Normal"/>
        <w:spacing w:lineRule="auto" w:line="240" w:before="0" w:after="0"/>
        <w:ind w:left="705" w:hanging="0"/>
        <w:rPr/>
      </w:pPr>
      <w:r>
        <w:rPr/>
        <w:tab/>
        <w:t>5.1. Inversiones previstas.</w:t>
      </w:r>
    </w:p>
    <w:p>
      <w:pPr>
        <w:pStyle w:val="Normal"/>
        <w:spacing w:lineRule="auto" w:line="240" w:before="0" w:after="0"/>
        <w:ind w:left="705" w:hanging="0"/>
        <w:rPr/>
      </w:pPr>
      <w:r>
        <w:rPr/>
        <w:tab/>
        <w:t>5.2. Fuentes de financiación.</w:t>
      </w:r>
    </w:p>
    <w:p>
      <w:pPr>
        <w:pStyle w:val="Normal"/>
        <w:spacing w:lineRule="auto" w:line="240" w:before="0" w:after="0"/>
        <w:ind w:left="705" w:hanging="0"/>
        <w:rPr>
          <w:sz w:val="24"/>
          <w:szCs w:val="24"/>
        </w:rPr>
      </w:pPr>
      <w:r>
        <w:rPr/>
        <w:tab/>
        <w:t>5.3. Análisis económico-financiero.</w:t>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Fonts w:cs="TTE1F4C8D0t00" w:ascii="Century Gothic" w:hAnsi="Century Gothic"/>
          <w:color w:val="000000"/>
          <w:sz w:val="24"/>
          <w:szCs w:val="24"/>
        </w:rPr>
      </w:r>
    </w:p>
    <w:p>
      <w:pPr>
        <w:pStyle w:val="Normal"/>
        <w:spacing w:lineRule="auto" w:line="360" w:before="0" w:after="0"/>
        <w:jc w:val="both"/>
        <w:rPr>
          <w:rFonts w:ascii="Century Gothic" w:hAnsi="Century Gothic" w:cs="TTE1F4C8D0t00"/>
          <w:color w:val="000000"/>
          <w:sz w:val="24"/>
          <w:szCs w:val="24"/>
        </w:rPr>
      </w:pPr>
      <w:r>
        <w:rPr/>
      </w:r>
    </w:p>
    <w:sectPr>
      <w:headerReference w:type="default" r:id="rId5"/>
      <w:footerReference w:type="default" r:id="rId6"/>
      <w:type w:val="nextPage"/>
      <w:pgSz w:w="11906" w:h="16838"/>
      <w:pgMar w:left="1701" w:right="1701" w:gutter="0" w:header="708" w:top="1417" w:footer="708" w:bottom="1417"/>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Liberation Sans">
    <w:altName w:val="Arial"/>
    <w:charset w:val="00"/>
    <w:family w:val="swiss"/>
    <w:pitch w:val="variable"/>
  </w:font>
  <w:font w:name="Century Gothic">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drawing>
        <wp:anchor behindDoc="0" distT="0" distB="0" distL="114300" distR="114300" simplePos="0" locked="0" layoutInCell="0" allowOverlap="1" relativeHeight="18">
          <wp:simplePos x="0" y="0"/>
          <wp:positionH relativeFrom="column">
            <wp:posOffset>4127500</wp:posOffset>
          </wp:positionH>
          <wp:positionV relativeFrom="paragraph">
            <wp:posOffset>-215900</wp:posOffset>
          </wp:positionV>
          <wp:extent cx="2213610" cy="690880"/>
          <wp:effectExtent l="0" t="0" r="0" b="0"/>
          <wp:wrapTight wrapText="bothSides">
            <wp:wrapPolygon edited="0">
              <wp:start x="-185" y="0"/>
              <wp:lineTo x="-185" y="20842"/>
              <wp:lineTo x="21559" y="20842"/>
              <wp:lineTo x="21559" y="0"/>
              <wp:lineTo x="-185" y="0"/>
            </wp:wrapPolygon>
          </wp:wrapTight>
          <wp:docPr id="4" name="3 Imagen" descr="in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 Imagen" descr="inn.png"/>
                  <pic:cNvPicPr>
                    <a:picLocks noChangeAspect="1" noChangeArrowheads="1"/>
                  </pic:cNvPicPr>
                </pic:nvPicPr>
                <pic:blipFill>
                  <a:blip r:embed="rId1"/>
                  <a:srcRect l="3804" t="26347" r="0" b="28569"/>
                  <a:stretch>
                    <a:fillRect/>
                  </a:stretch>
                </pic:blipFill>
                <pic:spPr bwMode="auto">
                  <a:xfrm>
                    <a:off x="0" y="0"/>
                    <a:ext cx="2213610" cy="69088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anchor behindDoc="0" distT="0" distB="0" distL="114300" distR="114300" simplePos="0" locked="0" layoutInCell="0" allowOverlap="1" relativeHeight="9">
          <wp:simplePos x="0" y="0"/>
          <wp:positionH relativeFrom="column">
            <wp:posOffset>-1027430</wp:posOffset>
          </wp:positionH>
          <wp:positionV relativeFrom="paragraph">
            <wp:posOffset>-439420</wp:posOffset>
          </wp:positionV>
          <wp:extent cx="2125980" cy="744220"/>
          <wp:effectExtent l="0" t="0" r="0" b="0"/>
          <wp:wrapTight wrapText="bothSides">
            <wp:wrapPolygon edited="0">
              <wp:start x="1932" y="2208"/>
              <wp:lineTo x="965" y="4418"/>
              <wp:lineTo x="578" y="11052"/>
              <wp:lineTo x="1352" y="15475"/>
              <wp:lineTo x="20512" y="15475"/>
              <wp:lineTo x="20707" y="15475"/>
              <wp:lineTo x="20899" y="12162"/>
              <wp:lineTo x="21095" y="9947"/>
              <wp:lineTo x="2900" y="2208"/>
              <wp:lineTo x="1932" y="2208"/>
            </wp:wrapPolygon>
          </wp:wrapTight>
          <wp:docPr id="3" name="2 Imagen" descr="logoalmendralej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 Imagen" descr="logoalmendralejo.png"/>
                  <pic:cNvPicPr>
                    <a:picLocks noChangeAspect="1" noChangeArrowheads="1"/>
                  </pic:cNvPicPr>
                </pic:nvPicPr>
                <pic:blipFill>
                  <a:blip r:embed="rId1"/>
                  <a:stretch>
                    <a:fillRect/>
                  </a:stretch>
                </pic:blipFill>
                <pic:spPr bwMode="auto">
                  <a:xfrm>
                    <a:off x="0" y="0"/>
                    <a:ext cx="2125980" cy="74422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1125"/>
        </w:tabs>
        <w:ind w:left="1125" w:hanging="420"/>
      </w:pPr>
      <w:rPr>
        <w:rFonts w:cs="Times New Roman"/>
      </w:rPr>
    </w:lvl>
    <w:lvl w:ilvl="2">
      <w:start w:val="1"/>
      <w:numFmt w:val="decimal"/>
      <w:lvlText w:val="%1.%2.%3."/>
      <w:lvlJc w:val="left"/>
      <w:pPr>
        <w:tabs>
          <w:tab w:val="num" w:pos="2130"/>
        </w:tabs>
        <w:ind w:left="2130" w:hanging="720"/>
      </w:pPr>
      <w:rPr>
        <w:rFonts w:cs="Times New Roman"/>
      </w:rPr>
    </w:lvl>
    <w:lvl w:ilvl="3">
      <w:start w:val="1"/>
      <w:numFmt w:val="decimal"/>
      <w:lvlText w:val="%1.%2.%3.%4."/>
      <w:lvlJc w:val="left"/>
      <w:pPr>
        <w:tabs>
          <w:tab w:val="num" w:pos="2835"/>
        </w:tabs>
        <w:ind w:left="2835" w:hanging="720"/>
      </w:pPr>
      <w:rPr>
        <w:rFonts w:cs="Times New Roman"/>
      </w:rPr>
    </w:lvl>
    <w:lvl w:ilvl="4">
      <w:start w:val="1"/>
      <w:numFmt w:val="decimal"/>
      <w:lvlText w:val="%1.%2.%3.%4.%5."/>
      <w:lvlJc w:val="left"/>
      <w:pPr>
        <w:tabs>
          <w:tab w:val="num" w:pos="3900"/>
        </w:tabs>
        <w:ind w:left="3900" w:hanging="1080"/>
      </w:pPr>
      <w:rPr>
        <w:rFonts w:cs="Times New Roman"/>
      </w:rPr>
    </w:lvl>
    <w:lvl w:ilvl="5">
      <w:start w:val="1"/>
      <w:numFmt w:val="decimal"/>
      <w:lvlText w:val="%1.%2.%3.%4.%5.%6."/>
      <w:lvlJc w:val="left"/>
      <w:pPr>
        <w:tabs>
          <w:tab w:val="num" w:pos="4605"/>
        </w:tabs>
        <w:ind w:left="4605" w:hanging="1080"/>
      </w:pPr>
      <w:rPr>
        <w:rFonts w:cs="Times New Roman"/>
      </w:rPr>
    </w:lvl>
    <w:lvl w:ilvl="6">
      <w:start w:val="1"/>
      <w:numFmt w:val="decimal"/>
      <w:lvlText w:val="%1.%2.%3.%4.%5.%6.%7."/>
      <w:lvlJc w:val="left"/>
      <w:pPr>
        <w:tabs>
          <w:tab w:val="num" w:pos="5670"/>
        </w:tabs>
        <w:ind w:left="5670" w:hanging="1440"/>
      </w:pPr>
      <w:rPr>
        <w:rFonts w:cs="Times New Roman"/>
      </w:rPr>
    </w:lvl>
    <w:lvl w:ilvl="7">
      <w:start w:val="1"/>
      <w:numFmt w:val="decimal"/>
      <w:lvlText w:val="%1.%2.%3.%4.%5.%6.%7.%8."/>
      <w:lvlJc w:val="left"/>
      <w:pPr>
        <w:tabs>
          <w:tab w:val="num" w:pos="6375"/>
        </w:tabs>
        <w:ind w:left="6375" w:hanging="1440"/>
      </w:pPr>
      <w:rPr>
        <w:rFonts w:cs="Times New Roman"/>
      </w:rPr>
    </w:lvl>
    <w:lvl w:ilvl="8">
      <w:start w:val="1"/>
      <w:numFmt w:val="decimal"/>
      <w:lvlText w:val="%1.%2.%3.%4.%5.%6.%7.%8.%9."/>
      <w:lvlJc w:val="left"/>
      <w:pPr>
        <w:tabs>
          <w:tab w:val="num" w:pos="7440"/>
        </w:tabs>
        <w:ind w:left="7440" w:hanging="180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0"/>
  <w:defaultTabStop w:val="708"/>
  <w:autoHyphenation w:val="true"/>
  <w:compat>
    <w:compatSetting w:name="compatibilityMode" w:uri="http://schemas.microsoft.com/office/word" w:val="12"/>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21fc0"/>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paragraph" w:styleId="Ttulo1">
    <w:name w:val="Heading 1"/>
    <w:basedOn w:val="Normal"/>
    <w:link w:val="Ttulo1Car"/>
    <w:uiPriority w:val="9"/>
    <w:qFormat/>
    <w:rsid w:val="0071673e"/>
    <w:pPr>
      <w:spacing w:lineRule="auto" w:line="240" w:beforeAutospacing="1" w:afterAutospacing="1"/>
      <w:outlineLvl w:val="0"/>
    </w:pPr>
    <w:rPr>
      <w:rFonts w:ascii="Times New Roman" w:hAnsi="Times New Roman" w:eastAsia="Times New Roman" w:cs="Times New Roman"/>
      <w:b/>
      <w:bCs/>
      <w:kern w:val="2"/>
      <w:sz w:val="48"/>
      <w:szCs w:val="48"/>
      <w:lang w:eastAsia="es-ES"/>
    </w:rPr>
  </w:style>
  <w:style w:type="paragraph" w:styleId="Ttulo2">
    <w:name w:val="Heading 2"/>
    <w:basedOn w:val="Normal"/>
    <w:next w:val="Normal"/>
    <w:link w:val="Ttulo2Car"/>
    <w:uiPriority w:val="9"/>
    <w:unhideWhenUsed/>
    <w:qFormat/>
    <w:rsid w:val="00c6670d"/>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ar"/>
    <w:uiPriority w:val="9"/>
    <w:semiHidden/>
    <w:unhideWhenUsed/>
    <w:qFormat/>
    <w:rsid w:val="00c14f8e"/>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ar"/>
    <w:uiPriority w:val="9"/>
    <w:semiHidden/>
    <w:unhideWhenUsed/>
    <w:qFormat/>
    <w:rsid w:val="00c14f8e"/>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Ttulo1Car" w:customStyle="1">
    <w:name w:val="Título 1 Car"/>
    <w:basedOn w:val="DefaultParagraphFont"/>
    <w:link w:val="Ttulo1"/>
    <w:uiPriority w:val="9"/>
    <w:qFormat/>
    <w:rsid w:val="0071673e"/>
    <w:rPr>
      <w:rFonts w:ascii="Times New Roman" w:hAnsi="Times New Roman" w:eastAsia="Times New Roman" w:cs="Times New Roman"/>
      <w:b/>
      <w:bCs/>
      <w:kern w:val="2"/>
      <w:sz w:val="48"/>
      <w:szCs w:val="48"/>
      <w:lang w:eastAsia="es-ES"/>
    </w:rPr>
  </w:style>
  <w:style w:type="character" w:styleId="Compartirlabel" w:customStyle="1">
    <w:name w:val="compartir-label"/>
    <w:basedOn w:val="DefaultParagraphFont"/>
    <w:qFormat/>
    <w:rsid w:val="0071673e"/>
    <w:rPr/>
  </w:style>
  <w:style w:type="character" w:styleId="EnlacedeInternet">
    <w:name w:val="Enlace de Internet"/>
    <w:basedOn w:val="DefaultParagraphFont"/>
    <w:uiPriority w:val="99"/>
    <w:unhideWhenUsed/>
    <w:rsid w:val="0071673e"/>
    <w:rPr>
      <w:color w:val="0000FF"/>
      <w:u w:val="single"/>
    </w:rPr>
  </w:style>
  <w:style w:type="character" w:styleId="Strong">
    <w:name w:val="Strong"/>
    <w:basedOn w:val="DefaultParagraphFont"/>
    <w:uiPriority w:val="22"/>
    <w:qFormat/>
    <w:rsid w:val="0071673e"/>
    <w:rPr>
      <w:b/>
      <w:bCs/>
    </w:rPr>
  </w:style>
  <w:style w:type="character" w:styleId="Ttulo3Car" w:customStyle="1">
    <w:name w:val="Título 3 Car"/>
    <w:basedOn w:val="DefaultParagraphFont"/>
    <w:link w:val="Ttulo3"/>
    <w:uiPriority w:val="9"/>
    <w:semiHidden/>
    <w:qFormat/>
    <w:rsid w:val="00c14f8e"/>
    <w:rPr>
      <w:rFonts w:ascii="Cambria" w:hAnsi="Cambria" w:eastAsia="" w:cs="" w:asciiTheme="majorHAnsi" w:cstheme="majorBidi" w:eastAsiaTheme="majorEastAsia" w:hAnsiTheme="majorHAnsi"/>
      <w:b/>
      <w:bCs/>
      <w:color w:val="4F81BD" w:themeColor="accent1"/>
    </w:rPr>
  </w:style>
  <w:style w:type="character" w:styleId="Ttulo4Car" w:customStyle="1">
    <w:name w:val="Título 4 Car"/>
    <w:basedOn w:val="DefaultParagraphFont"/>
    <w:link w:val="Ttulo4"/>
    <w:uiPriority w:val="9"/>
    <w:semiHidden/>
    <w:qFormat/>
    <w:rsid w:val="00c14f8e"/>
    <w:rPr>
      <w:rFonts w:ascii="Cambria" w:hAnsi="Cambria" w:eastAsia="" w:cs="" w:asciiTheme="majorHAnsi" w:cstheme="majorBidi" w:eastAsiaTheme="majorEastAsia" w:hAnsiTheme="majorHAnsi"/>
      <w:b/>
      <w:bCs/>
      <w:i/>
      <w:iCs/>
      <w:color w:val="4F81BD" w:themeColor="accent1"/>
    </w:rPr>
  </w:style>
  <w:style w:type="character" w:styleId="Daterange" w:customStyle="1">
    <w:name w:val="date-range"/>
    <w:basedOn w:val="DefaultParagraphFont"/>
    <w:qFormat/>
    <w:rsid w:val="00c14f8e"/>
    <w:rPr/>
  </w:style>
  <w:style w:type="character" w:styleId="Daterangeduration" w:customStyle="1">
    <w:name w:val="date-range__duration"/>
    <w:basedOn w:val="DefaultParagraphFont"/>
    <w:qFormat/>
    <w:rsid w:val="00c14f8e"/>
    <w:rPr/>
  </w:style>
  <w:style w:type="character" w:styleId="TextodegloboCar" w:customStyle="1">
    <w:name w:val="Texto de globo Car"/>
    <w:basedOn w:val="DefaultParagraphFont"/>
    <w:link w:val="Textodeglobo"/>
    <w:uiPriority w:val="99"/>
    <w:semiHidden/>
    <w:qFormat/>
    <w:rsid w:val="00c14f8e"/>
    <w:rPr>
      <w:rFonts w:ascii="Tahoma" w:hAnsi="Tahoma" w:cs="Tahoma"/>
      <w:sz w:val="16"/>
      <w:szCs w:val="16"/>
    </w:rPr>
  </w:style>
  <w:style w:type="character" w:styleId="Ttulo2Car" w:customStyle="1">
    <w:name w:val="Título 2 Car"/>
    <w:basedOn w:val="DefaultParagraphFont"/>
    <w:link w:val="Ttulo2"/>
    <w:uiPriority w:val="9"/>
    <w:qFormat/>
    <w:rsid w:val="00c6670d"/>
    <w:rPr>
      <w:rFonts w:ascii="Cambria" w:hAnsi="Cambria" w:eastAsia="" w:cs="" w:asciiTheme="majorHAnsi" w:cstheme="majorBidi" w:eastAsiaTheme="majorEastAsia" w:hAnsiTheme="majorHAnsi"/>
      <w:b/>
      <w:bCs/>
      <w:color w:val="4F81BD" w:themeColor="accent1"/>
      <w:sz w:val="26"/>
      <w:szCs w:val="26"/>
    </w:rPr>
  </w:style>
  <w:style w:type="character" w:styleId="Object" w:customStyle="1">
    <w:name w:val="object"/>
    <w:basedOn w:val="DefaultParagraphFont"/>
    <w:qFormat/>
    <w:rsid w:val="0039608d"/>
    <w:rPr/>
  </w:style>
  <w:style w:type="character" w:styleId="EncabezadoCar" w:customStyle="1">
    <w:name w:val="Encabezado Car"/>
    <w:basedOn w:val="DefaultParagraphFont"/>
    <w:link w:val="Encabezado"/>
    <w:uiPriority w:val="99"/>
    <w:semiHidden/>
    <w:qFormat/>
    <w:rsid w:val="005129af"/>
    <w:rPr/>
  </w:style>
  <w:style w:type="character" w:styleId="PiedepginaCar" w:customStyle="1">
    <w:name w:val="Pie de página Car"/>
    <w:basedOn w:val="DefaultParagraphFont"/>
    <w:link w:val="Piedepgina"/>
    <w:uiPriority w:val="99"/>
    <w:semiHidden/>
    <w:qFormat/>
    <w:rsid w:val="005129af"/>
    <w:rPr/>
  </w:style>
  <w:style w:type="character" w:styleId="Objectactive" w:customStyle="1">
    <w:name w:val="object-active"/>
    <w:basedOn w:val="DefaultParagraphFont"/>
    <w:qFormat/>
    <w:rsid w:val="001f59de"/>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NormalWeb">
    <w:name w:val="Normal (Web)"/>
    <w:basedOn w:val="Normal"/>
    <w:uiPriority w:val="99"/>
    <w:unhideWhenUsed/>
    <w:qFormat/>
    <w:rsid w:val="0071673e"/>
    <w:pPr>
      <w:spacing w:lineRule="auto" w:line="240" w:beforeAutospacing="1" w:afterAutospacing="1"/>
    </w:pPr>
    <w:rPr>
      <w:rFonts w:ascii="Times New Roman" w:hAnsi="Times New Roman" w:eastAsia="Times New Roman" w:cs="Times New Roman"/>
      <w:sz w:val="24"/>
      <w:szCs w:val="24"/>
      <w:lang w:eastAsia="es-ES"/>
    </w:rPr>
  </w:style>
  <w:style w:type="paragraph" w:styleId="Experiencegroupheaderduration" w:customStyle="1">
    <w:name w:val="experience-group-header__duration"/>
    <w:basedOn w:val="Normal"/>
    <w:qFormat/>
    <w:rsid w:val="00c14f8e"/>
    <w:pPr>
      <w:spacing w:lineRule="auto" w:line="240" w:beforeAutospacing="1" w:afterAutospacing="1"/>
    </w:pPr>
    <w:rPr>
      <w:rFonts w:ascii="Times New Roman" w:hAnsi="Times New Roman" w:eastAsia="Times New Roman" w:cs="Times New Roman"/>
      <w:sz w:val="24"/>
      <w:szCs w:val="24"/>
      <w:lang w:eastAsia="es-ES"/>
    </w:rPr>
  </w:style>
  <w:style w:type="paragraph" w:styleId="Experiencegrouppositionduration" w:customStyle="1">
    <w:name w:val="experience-group-position__duration"/>
    <w:basedOn w:val="Normal"/>
    <w:qFormat/>
    <w:rsid w:val="00c14f8e"/>
    <w:pPr>
      <w:spacing w:lineRule="auto" w:line="240" w:beforeAutospacing="1" w:afterAutospacing="1"/>
    </w:pPr>
    <w:rPr>
      <w:rFonts w:ascii="Times New Roman" w:hAnsi="Times New Roman" w:eastAsia="Times New Roman" w:cs="Times New Roman"/>
      <w:sz w:val="24"/>
      <w:szCs w:val="24"/>
      <w:lang w:eastAsia="es-ES"/>
    </w:rPr>
  </w:style>
  <w:style w:type="paragraph" w:styleId="Experiencegrouppositionlocation" w:customStyle="1">
    <w:name w:val="experience-group-position__location"/>
    <w:basedOn w:val="Normal"/>
    <w:qFormat/>
    <w:rsid w:val="00c14f8e"/>
    <w:pPr>
      <w:spacing w:lineRule="auto" w:line="240" w:beforeAutospacing="1" w:afterAutospacing="1"/>
    </w:pPr>
    <w:rPr>
      <w:rFonts w:ascii="Times New Roman" w:hAnsi="Times New Roman" w:eastAsia="Times New Roman" w:cs="Times New Roman"/>
      <w:sz w:val="24"/>
      <w:szCs w:val="24"/>
      <w:lang w:eastAsia="es-ES"/>
    </w:rPr>
  </w:style>
  <w:style w:type="paragraph" w:styleId="Showmorelesstexttextless" w:customStyle="1">
    <w:name w:val="show-more-less-text__text--less"/>
    <w:basedOn w:val="Normal"/>
    <w:qFormat/>
    <w:rsid w:val="00c14f8e"/>
    <w:pPr>
      <w:spacing w:lineRule="auto" w:line="240" w:beforeAutospacing="1" w:afterAutospacing="1"/>
    </w:pPr>
    <w:rPr>
      <w:rFonts w:ascii="Times New Roman" w:hAnsi="Times New Roman" w:eastAsia="Times New Roman" w:cs="Times New Roman"/>
      <w:sz w:val="24"/>
      <w:szCs w:val="24"/>
      <w:lang w:eastAsia="es-ES"/>
    </w:rPr>
  </w:style>
  <w:style w:type="paragraph" w:styleId="Experienceitemduration" w:customStyle="1">
    <w:name w:val="experience-item__duration"/>
    <w:basedOn w:val="Normal"/>
    <w:qFormat/>
    <w:rsid w:val="00c14f8e"/>
    <w:pPr>
      <w:spacing w:lineRule="auto" w:line="240" w:beforeAutospacing="1" w:afterAutospacing="1"/>
    </w:pPr>
    <w:rPr>
      <w:rFonts w:ascii="Times New Roman" w:hAnsi="Times New Roman" w:eastAsia="Times New Roman" w:cs="Times New Roman"/>
      <w:sz w:val="24"/>
      <w:szCs w:val="24"/>
      <w:lang w:eastAsia="es-ES"/>
    </w:rPr>
  </w:style>
  <w:style w:type="paragraph" w:styleId="Experienceitemlocation" w:customStyle="1">
    <w:name w:val="experience-item__location"/>
    <w:basedOn w:val="Normal"/>
    <w:qFormat/>
    <w:rsid w:val="00c14f8e"/>
    <w:pPr>
      <w:spacing w:lineRule="auto" w:line="240" w:beforeAutospacing="1" w:afterAutospacing="1"/>
    </w:pPr>
    <w:rPr>
      <w:rFonts w:ascii="Times New Roman" w:hAnsi="Times New Roman" w:eastAsia="Times New Roman" w:cs="Times New Roman"/>
      <w:sz w:val="24"/>
      <w:szCs w:val="24"/>
      <w:lang w:eastAsia="es-ES"/>
    </w:rPr>
  </w:style>
  <w:style w:type="paragraph" w:styleId="BalloonText">
    <w:name w:val="Balloon Text"/>
    <w:basedOn w:val="Normal"/>
    <w:link w:val="TextodegloboCar"/>
    <w:uiPriority w:val="99"/>
    <w:semiHidden/>
    <w:unhideWhenUsed/>
    <w:qFormat/>
    <w:rsid w:val="00c14f8e"/>
    <w:pPr>
      <w:spacing w:lineRule="auto" w:line="240" w:before="0" w:after="0"/>
    </w:pPr>
    <w:rPr>
      <w:rFonts w:ascii="Tahoma" w:hAnsi="Tahoma" w:cs="Tahoma"/>
      <w:sz w:val="16"/>
      <w:szCs w:val="16"/>
    </w:rPr>
  </w:style>
  <w:style w:type="paragraph" w:styleId="Textmargin" w:customStyle="1">
    <w:name w:val="text-margin"/>
    <w:basedOn w:val="Normal"/>
    <w:qFormat/>
    <w:rsid w:val="00c14f8e"/>
    <w:pPr>
      <w:spacing w:lineRule="auto" w:line="240" w:beforeAutospacing="1" w:afterAutospacing="1"/>
    </w:pPr>
    <w:rPr>
      <w:rFonts w:ascii="Times New Roman" w:hAnsi="Times New Roman" w:eastAsia="Times New Roman" w:cs="Times New Roman"/>
      <w:sz w:val="24"/>
      <w:szCs w:val="24"/>
      <w:lang w:eastAsia="es-ES"/>
    </w:rPr>
  </w:style>
  <w:style w:type="paragraph" w:styleId="Cabeceraypie">
    <w:name w:val="Cabecera y pie"/>
    <w:basedOn w:val="Normal"/>
    <w:qFormat/>
    <w:pPr/>
    <w:rPr/>
  </w:style>
  <w:style w:type="paragraph" w:styleId="Cabecera">
    <w:name w:val="Header"/>
    <w:basedOn w:val="Normal"/>
    <w:link w:val="EncabezadoCar"/>
    <w:uiPriority w:val="99"/>
    <w:semiHidden/>
    <w:unhideWhenUsed/>
    <w:rsid w:val="005129af"/>
    <w:pPr>
      <w:tabs>
        <w:tab w:val="clear" w:pos="708"/>
        <w:tab w:val="center" w:pos="4252" w:leader="none"/>
        <w:tab w:val="right" w:pos="8504" w:leader="none"/>
      </w:tabs>
      <w:spacing w:lineRule="auto" w:line="240" w:before="0" w:after="0"/>
    </w:pPr>
    <w:rPr/>
  </w:style>
  <w:style w:type="paragraph" w:styleId="Piedepgina">
    <w:name w:val="Footer"/>
    <w:basedOn w:val="Normal"/>
    <w:link w:val="PiedepginaCar"/>
    <w:uiPriority w:val="99"/>
    <w:semiHidden/>
    <w:unhideWhenUsed/>
    <w:rsid w:val="005129af"/>
    <w:pPr>
      <w:tabs>
        <w:tab w:val="clear" w:pos="708"/>
        <w:tab w:val="center" w:pos="4252" w:leader="none"/>
        <w:tab w:val="right" w:pos="8504" w:leader="none"/>
      </w:tabs>
      <w:spacing w:lineRule="auto" w:line="240" w:before="0" w:after="0"/>
    </w:pPr>
    <w:rPr/>
  </w:style>
  <w:style w:type="numbering" w:styleId="NoList" w:default="1">
    <w:name w:val="No List"/>
    <w:uiPriority w:val="99"/>
    <w:semiHidden/>
    <w:unhideWhenUsed/>
    <w:qFormat/>
  </w:style>
  <w:style w:type="table" w:default="1" w:styleId="Tab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yperlink" Target="mailto:dpd@almendralejo.es"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4.png"/>
</Relationships>
</file>

<file path=word/_rels/header1.xml.rels><?xml version="1.0" encoding="UTF-8"?>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Application>LibreOffice/7.2.6.2$Windows_X86_64 LibreOffice_project/b0ec3a565991f7569a5a7f5d24fed7f52653d754</Application>
  <AppVersion>15.0000</AppVersion>
  <Pages>8</Pages>
  <Words>1611</Words>
  <Characters>8986</Characters>
  <CharactersWithSpaces>10521</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2022-07-07T12:30:00Z</dcterms:created>
  <dc:creator>jmgv.fye</dc:creator>
  <dc:description/>
  <dc:language>es-ES</dc:language>
  <cp:lastModifiedBy>jmgv.fye</cp:lastModifiedBy>
  <cp:lastPrinted>2022-07-06T09:18:00Z</cp:lastPrinted>
  <dcterms:modified xsi:type="dcterms:W3CDTF">2022-08-11T09:45:00Z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