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0"/>
          <w:szCs w:val="20"/>
        </w:rPr>
      </w:pPr>
      <w:r>
        <w:rPr>
          <w:sz w:val="20"/>
          <w:szCs w:val="20"/>
        </w:rPr>
        <w:drawing>
          <wp:anchor behindDoc="0" distT="0" distB="0" distL="0" distR="0" simplePos="0" locked="0" layoutInCell="0" allowOverlap="1" relativeHeight="2">
            <wp:simplePos x="0" y="0"/>
            <wp:positionH relativeFrom="column">
              <wp:posOffset>32385</wp:posOffset>
            </wp:positionH>
            <wp:positionV relativeFrom="paragraph">
              <wp:posOffset>-762635</wp:posOffset>
            </wp:positionV>
            <wp:extent cx="1983105" cy="72390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1983105" cy="723900"/>
                    </a:xfrm>
                    <a:prstGeom prst="rect">
                      <a:avLst/>
                    </a:prstGeom>
                  </pic:spPr>
                </pic:pic>
              </a:graphicData>
            </a:graphic>
          </wp:anchor>
        </w:drawing>
      </w:r>
    </w:p>
    <w:p>
      <w:pPr>
        <w:pStyle w:val="Normal"/>
        <w:rPr>
          <w:sz w:val="20"/>
          <w:szCs w:val="20"/>
        </w:rPr>
      </w:pPr>
      <w:r>
        <w:rPr>
          <w:sz w:val="20"/>
          <w:szCs w:val="20"/>
        </w:rPr>
      </w:r>
    </w:p>
    <w:p>
      <w:pPr>
        <w:pStyle w:val="Normal"/>
        <w:rPr>
          <w:sz w:val="20"/>
          <w:szCs w:val="20"/>
        </w:rPr>
      </w:pPr>
      <w:r>
        <w:rPr>
          <w:sz w:val="20"/>
          <w:szCs w:val="20"/>
        </w:rPr>
      </w:r>
    </w:p>
    <w:p>
      <w:pPr>
        <w:pStyle w:val="Normal"/>
        <w:suppressAutoHyphens w:val="false"/>
        <w:spacing w:before="171" w:after="0"/>
        <w:ind w:right="72" w:hanging="0"/>
        <w:jc w:val="center"/>
        <w:rPr>
          <w:rFonts w:ascii="Verdana" w:hAnsi="Verdana" w:eastAsia="Verdana" w:cs="Verdana"/>
          <w:b/>
          <w:b/>
          <w:color w:val="auto"/>
          <w:kern w:val="0"/>
          <w:sz w:val="20"/>
          <w:szCs w:val="20"/>
          <w:lang w:val="es-ES" w:eastAsia="es-ES" w:bidi="es-ES"/>
        </w:rPr>
      </w:pPr>
      <w:r>
        <w:rPr>
          <w:rFonts w:eastAsia="Verdana" w:cs="Verdana"/>
          <w:b/>
          <w:color w:val="auto"/>
          <w:kern w:val="0"/>
          <w:sz w:val="20"/>
          <w:szCs w:val="20"/>
          <w:lang w:val="es-ES" w:eastAsia="es-ES" w:bidi="es-ES"/>
        </w:rPr>
        <w:t>CONVOCATORIA DE CONCURSO DE CARROZAS  EN LA FERIA DE MOLLINA 2022</w:t>
      </w:r>
    </w:p>
    <w:p>
      <w:pPr>
        <w:pStyle w:val="Normal"/>
        <w:suppressAutoHyphens w:val="false"/>
        <w:spacing w:before="171" w:after="0"/>
        <w:ind w:right="72" w:hanging="0"/>
        <w:jc w:val="both"/>
        <w:rPr>
          <w:rFonts w:eastAsia="Verdana" w:cs="Verdana"/>
          <w:b/>
          <w:b/>
          <w:sz w:val="20"/>
          <w:szCs w:val="20"/>
          <w:lang w:eastAsia="es-ES" w:bidi="es-ES"/>
        </w:rPr>
      </w:pPr>
      <w:r>
        <w:rPr>
          <w:rFonts w:eastAsia="Verdana" w:cs="Verdana"/>
          <w:b/>
          <w:sz w:val="20"/>
          <w:szCs w:val="20"/>
          <w:lang w:eastAsia="es-ES" w:bidi="es-ES"/>
        </w:rPr>
      </w:r>
    </w:p>
    <w:p>
      <w:pPr>
        <w:pStyle w:val="Normal"/>
        <w:spacing w:before="0" w:after="120"/>
        <w:jc w:val="both"/>
        <w:rPr>
          <w:rFonts w:eastAsia="Lucida Sans Unicode" w:cs="Times New Roman"/>
          <w:kern w:val="2"/>
          <w:sz w:val="20"/>
          <w:szCs w:val="20"/>
          <w:lang w:bidi="ar-SA"/>
        </w:rPr>
      </w:pPr>
      <w:r>
        <w:rPr>
          <w:rFonts w:eastAsia="Lucida Sans Unicode" w:cs="Times New Roman"/>
          <w:kern w:val="2"/>
          <w:sz w:val="20"/>
          <w:szCs w:val="20"/>
          <w:lang w:bidi="ar-SA"/>
        </w:rPr>
        <w:t>Dentro de la actividad financiera del sector público local, destaca la gestión de subvenciones, como instrumento de fomento de determinadas actividades o comportamientos considerados de interés público y como modalidad del gasto público. Como instrumento de fomento, sirve a la consecución de los objetivos fijados en materia de política económica, cultural y social.</w:t>
      </w:r>
    </w:p>
    <w:p>
      <w:pPr>
        <w:pStyle w:val="Normal"/>
        <w:spacing w:before="0" w:after="120"/>
        <w:jc w:val="both"/>
        <w:rPr>
          <w:rFonts w:eastAsia="Lucida Sans Unicode" w:cs="Times New Roman"/>
          <w:kern w:val="2"/>
          <w:sz w:val="20"/>
          <w:szCs w:val="20"/>
          <w:lang w:bidi="ar-SA"/>
        </w:rPr>
      </w:pPr>
      <w:r>
        <w:rPr>
          <w:rFonts w:eastAsia="Lucida Sans Unicode" w:cs="Times New Roman"/>
          <w:kern w:val="2"/>
          <w:sz w:val="20"/>
          <w:szCs w:val="20"/>
          <w:lang w:bidi="ar-SA"/>
        </w:rPr>
        <w:t>A la vista de que este Ayuntamiento tiene entre sus áreas de actuación  el fomento  de la cultura en todas sus expresiones así como el fomento la participación ciudadana en las actuaciones festivas y culturales que se promueven.</w:t>
      </w:r>
    </w:p>
    <w:p>
      <w:pPr>
        <w:pStyle w:val="Normal"/>
        <w:widowControl/>
        <w:suppressAutoHyphens w:val="false"/>
        <w:jc w:val="both"/>
        <w:rPr>
          <w:sz w:val="20"/>
          <w:szCs w:val="20"/>
        </w:rPr>
      </w:pPr>
      <w:r>
        <w:rPr>
          <w:sz w:val="20"/>
          <w:szCs w:val="20"/>
        </w:rPr>
        <w:t xml:space="preserve">Las ayudas se concederán en concepto de premios (subvenciones) y en régimen de concurrencia competitiva sujetándose las mismas a las presentes Bases Reguladoras, a lo establecido en la Ley 39/2015, de 1 de octubre, del Procedimiento Administrativo Común de las Administraciones Públicas (LPACAP), a la Ley 38/2003, de 17 de noviembre, General de Subvenciones (LGS), y el RD 887/2006, de 21 de julio, que desarrolla el Reglamento de la Ley General de Subvenciones (RLGS), además de cualquier otra normativa que pueda resultar de aplicación. Los premios serán compatibles con cualquier otra subvención, ayuda, ingreso o recurso para la misma finalidad, sin perjuicio de lo dispuesto en el artículo 19 de la LGS. </w:t>
      </w:r>
    </w:p>
    <w:p>
      <w:pPr>
        <w:pStyle w:val="Normal"/>
        <w:spacing w:before="0" w:after="120"/>
        <w:jc w:val="both"/>
        <w:rPr>
          <w:rFonts w:eastAsia="Lucida Sans Unicode" w:cs="Times New Roman"/>
          <w:kern w:val="2"/>
          <w:sz w:val="20"/>
          <w:szCs w:val="20"/>
          <w:lang w:bidi="ar-SA"/>
        </w:rPr>
      </w:pPr>
      <w:r>
        <w:rPr>
          <w:rFonts w:eastAsia="Lucida Sans Unicode" w:cs="Times New Roman"/>
          <w:kern w:val="2"/>
          <w:sz w:val="20"/>
          <w:szCs w:val="20"/>
          <w:lang w:bidi="ar-SA"/>
        </w:rPr>
      </w:r>
    </w:p>
    <w:p>
      <w:pPr>
        <w:pStyle w:val="Normal"/>
        <w:spacing w:before="0" w:after="120"/>
        <w:jc w:val="center"/>
        <w:rPr>
          <w:rFonts w:ascii="Verdana" w:hAnsi="Verdana" w:eastAsia="Lucida Sans Unicode" w:cs="Times New Roman"/>
          <w:b/>
          <w:b/>
          <w:bCs/>
          <w:color w:val="auto"/>
          <w:kern w:val="2"/>
          <w:sz w:val="20"/>
          <w:szCs w:val="20"/>
          <w:lang w:val="es-ES" w:eastAsia="zh-CN" w:bidi="ar-SA"/>
        </w:rPr>
      </w:pPr>
      <w:r>
        <w:rPr>
          <w:rFonts w:eastAsia="Lucida Sans Unicode" w:cs="Times New Roman"/>
          <w:b/>
          <w:bCs/>
          <w:color w:val="auto"/>
          <w:kern w:val="2"/>
          <w:sz w:val="20"/>
          <w:szCs w:val="20"/>
          <w:lang w:val="es-ES" w:eastAsia="zh-CN" w:bidi="ar-SA"/>
        </w:rPr>
        <w:t>BASES:</w:t>
      </w:r>
    </w:p>
    <w:p>
      <w:pPr>
        <w:pStyle w:val="Normal"/>
        <w:spacing w:before="0" w:after="120"/>
        <w:jc w:val="center"/>
        <w:rPr>
          <w:rFonts w:ascii="Verdana" w:hAnsi="Verdana" w:eastAsia="Lucida Sans Unicode" w:cs="Times New Roman"/>
          <w:b/>
          <w:b/>
          <w:bCs/>
          <w:color w:val="auto"/>
          <w:kern w:val="2"/>
          <w:sz w:val="20"/>
          <w:szCs w:val="20"/>
          <w:lang w:val="es-ES" w:eastAsia="zh-CN" w:bidi="ar-SA"/>
        </w:rPr>
      </w:pPr>
      <w:r>
        <w:rPr>
          <w:rFonts w:eastAsia="Lucida Sans Unicode" w:cs="Times New Roman"/>
          <w:b/>
          <w:bCs/>
          <w:color w:val="auto"/>
          <w:kern w:val="2"/>
          <w:sz w:val="20"/>
          <w:szCs w:val="20"/>
          <w:lang w:val="es-ES" w:eastAsia="zh-CN" w:bidi="ar-SA"/>
        </w:rPr>
      </w:r>
    </w:p>
    <w:p>
      <w:pPr>
        <w:pStyle w:val="Normal"/>
        <w:widowControl/>
        <w:suppressAutoHyphens w:val="false"/>
        <w:jc w:val="both"/>
        <w:rPr>
          <w:rFonts w:eastAsia="Calibri" w:cs="TimesNewRomanPS-BoldMT" w:eastAsiaTheme="minorHAnsi"/>
          <w:b/>
          <w:b/>
          <w:bCs/>
          <w:sz w:val="20"/>
          <w:szCs w:val="20"/>
          <w:lang w:eastAsia="en-US" w:bidi="ar-SA"/>
        </w:rPr>
      </w:pPr>
      <w:r>
        <w:rPr>
          <w:rFonts w:eastAsia="Calibri" w:cs="TimesNewRomanPS-BoldMT" w:eastAsiaTheme="minorHAnsi"/>
          <w:b/>
          <w:bCs/>
          <w:sz w:val="20"/>
          <w:szCs w:val="20"/>
          <w:lang w:eastAsia="en-US" w:bidi="ar-SA"/>
        </w:rPr>
        <w:t xml:space="preserve">PRIMERA. </w:t>
      </w:r>
      <w:r>
        <w:rPr>
          <w:rFonts w:eastAsia="Calibri" w:cs="TimesNewRomanPSMT" w:eastAsiaTheme="minorHAnsi"/>
          <w:sz w:val="20"/>
          <w:szCs w:val="20"/>
          <w:lang w:eastAsia="en-US" w:bidi="ar-SA"/>
        </w:rPr>
        <w:t xml:space="preserve">El. Ayuntamiento de Mollina convoca el  “Concurso de Carrozas 2022”, con el objetivo de fomentar, conservar, promocionar y ensalzar las Fiestas tradicionales. </w:t>
      </w:r>
    </w:p>
    <w:p>
      <w:pPr>
        <w:pStyle w:val="Normal"/>
        <w:widowControl/>
        <w:suppressAutoHyphens w:val="false"/>
        <w:jc w:val="both"/>
        <w:rPr>
          <w:rFonts w:eastAsia="Calibri" w:cs="TimesNewRomanPSMT" w:eastAsiaTheme="minorHAnsi"/>
          <w:sz w:val="20"/>
          <w:szCs w:val="20"/>
          <w:lang w:eastAsia="en-US" w:bidi="ar-SA"/>
        </w:rPr>
      </w:pPr>
      <w:r>
        <w:rPr>
          <w:rFonts w:eastAsia="Calibri" w:cs="TimesNewRomanPSMT" w:eastAsiaTheme="minorHAnsi"/>
          <w:sz w:val="20"/>
          <w:szCs w:val="20"/>
          <w:lang w:eastAsia="en-US" w:bidi="ar-SA"/>
        </w:rPr>
      </w:r>
    </w:p>
    <w:p>
      <w:pPr>
        <w:pStyle w:val="Normal"/>
        <w:widowControl/>
        <w:suppressAutoHyphens w:val="false"/>
        <w:jc w:val="both"/>
        <w:rPr/>
      </w:pPr>
      <w:r>
        <w:rPr>
          <w:rFonts w:eastAsia="Calibri" w:cs="TimesNewRomanPS-BoldMT" w:eastAsiaTheme="minorHAnsi"/>
          <w:b/>
          <w:bCs/>
          <w:sz w:val="20"/>
          <w:szCs w:val="20"/>
          <w:lang w:eastAsia="en-US" w:bidi="ar-SA"/>
        </w:rPr>
        <w:t xml:space="preserve">SEGUNDA. </w:t>
      </w:r>
      <w:r>
        <w:rPr>
          <w:sz w:val="20"/>
          <w:szCs w:val="20"/>
        </w:rPr>
        <w:t xml:space="preserve">Se podrán presentar al concurso tanto las personas físicas como las jurídicas (asociaciones sin ánimo de lucro). No podrán obtener la condición de beneficiario de subvenciones las Entidades en quienes concurra alguna de las circunstancias previstas en </w:t>
      </w:r>
      <w:r>
        <w:rPr>
          <w:rFonts w:eastAsia="DejaVu Sans" w:cs="DejaVu Sans"/>
          <w:color w:val="auto"/>
          <w:kern w:val="0"/>
          <w:sz w:val="20"/>
          <w:szCs w:val="20"/>
          <w:lang w:val="es-ES" w:eastAsia="zh-CN" w:bidi="hi-IN"/>
        </w:rPr>
        <w:t>el</w:t>
      </w:r>
      <w:r>
        <w:rPr>
          <w:sz w:val="20"/>
          <w:szCs w:val="20"/>
        </w:rPr>
        <w:t xml:space="preserve"> artículo 13 de la L</w:t>
      </w:r>
      <w:r>
        <w:rPr>
          <w:sz w:val="20"/>
          <w:szCs w:val="20"/>
        </w:rPr>
        <w:t xml:space="preserve">ey </w:t>
      </w:r>
      <w:r>
        <w:rPr>
          <w:sz w:val="20"/>
          <w:szCs w:val="20"/>
        </w:rPr>
        <w:t>G</w:t>
      </w:r>
      <w:r>
        <w:rPr>
          <w:sz w:val="20"/>
          <w:szCs w:val="20"/>
        </w:rPr>
        <w:t xml:space="preserve">eneral de </w:t>
      </w:r>
      <w:r>
        <w:rPr>
          <w:sz w:val="20"/>
          <w:szCs w:val="20"/>
        </w:rPr>
        <w:t>S</w:t>
      </w:r>
      <w:r>
        <w:rPr>
          <w:sz w:val="20"/>
          <w:szCs w:val="20"/>
        </w:rPr>
        <w:t>ubvenciones</w:t>
      </w:r>
      <w:r>
        <w:rPr>
          <w:sz w:val="20"/>
          <w:szCs w:val="20"/>
        </w:rPr>
        <w:t>.</w:t>
      </w:r>
    </w:p>
    <w:p>
      <w:pPr>
        <w:pStyle w:val="Normal"/>
        <w:widowControl/>
        <w:suppressAutoHyphens w:val="false"/>
        <w:jc w:val="both"/>
        <w:rPr>
          <w:rFonts w:eastAsia="Calibri" w:cs="TimesNewRomanPSMT" w:eastAsiaTheme="minorHAnsi"/>
          <w:sz w:val="20"/>
          <w:szCs w:val="20"/>
          <w:lang w:eastAsia="en-US" w:bidi="ar-SA"/>
        </w:rPr>
      </w:pPr>
      <w:r>
        <w:rPr>
          <w:rFonts w:eastAsia="Calibri" w:cs="TimesNewRomanPSMT" w:eastAsiaTheme="minorHAnsi"/>
          <w:sz w:val="20"/>
          <w:szCs w:val="20"/>
          <w:lang w:eastAsia="en-US" w:bidi="ar-SA"/>
        </w:rPr>
      </w:r>
    </w:p>
    <w:p>
      <w:pPr>
        <w:pStyle w:val="Normal"/>
        <w:widowControl/>
        <w:suppressAutoHyphens w:val="false"/>
        <w:jc w:val="both"/>
        <w:rPr/>
      </w:pPr>
      <w:r>
        <w:rPr>
          <w:rFonts w:eastAsia="Calibri" w:cs="TimesNewRomanPS-BoldMT" w:eastAsiaTheme="minorHAnsi"/>
          <w:b/>
          <w:bCs/>
          <w:sz w:val="20"/>
          <w:szCs w:val="20"/>
          <w:lang w:eastAsia="en-US" w:bidi="ar-SA"/>
        </w:rPr>
        <w:t xml:space="preserve">TERCERA. </w:t>
      </w:r>
      <w:r>
        <w:rPr>
          <w:rFonts w:eastAsia="Calibri" w:cs="TimesNewRomanPSMT" w:eastAsiaTheme="minorHAnsi"/>
          <w:b w:val="false"/>
          <w:bCs w:val="false"/>
          <w:sz w:val="20"/>
          <w:szCs w:val="20"/>
          <w:lang w:eastAsia="en-US" w:bidi="ar-SA"/>
        </w:rPr>
        <w:t xml:space="preserve">El plazo de </w:t>
      </w:r>
      <w:r>
        <w:rPr>
          <w:rFonts w:eastAsia="Calibri" w:cs="TimesNewRomanPSMT" w:eastAsiaTheme="minorHAnsi"/>
          <w:b w:val="false"/>
          <w:bCs w:val="false"/>
          <w:color w:val="auto"/>
          <w:kern w:val="0"/>
          <w:sz w:val="20"/>
          <w:szCs w:val="20"/>
          <w:lang w:val="es-ES" w:eastAsia="en-US" w:bidi="ar-SA"/>
        </w:rPr>
        <w:t>inscripción</w:t>
      </w:r>
      <w:r>
        <w:rPr>
          <w:rFonts w:eastAsia="Calibri" w:cs="TimesNewRomanPSMT" w:eastAsiaTheme="minorHAnsi"/>
          <w:b w:val="false"/>
          <w:bCs w:val="false"/>
          <w:sz w:val="20"/>
          <w:szCs w:val="20"/>
          <w:lang w:eastAsia="en-US" w:bidi="ar-SA"/>
        </w:rPr>
        <w:t xml:space="preserve"> empezará a contar desde la publicación del extracto de esta convocatoria en el </w:t>
      </w:r>
      <w:r>
        <w:rPr>
          <w:rFonts w:eastAsia="Calibri" w:cs="TimesNewRomanPSMT" w:eastAsiaTheme="minorHAnsi"/>
          <w:b w:val="false"/>
          <w:bCs w:val="false"/>
          <w:color w:val="auto"/>
          <w:kern w:val="0"/>
          <w:sz w:val="20"/>
          <w:szCs w:val="20"/>
          <w:lang w:val="es-ES" w:eastAsia="en-US" w:bidi="ar-SA"/>
        </w:rPr>
        <w:t xml:space="preserve">Boletín Oficial de la Provincia </w:t>
      </w:r>
      <w:r>
        <w:rPr>
          <w:rFonts w:eastAsia="Calibri" w:cs="TimesNewRomanPSMT" w:eastAsiaTheme="minorHAnsi"/>
          <w:b w:val="false"/>
          <w:bCs w:val="false"/>
          <w:sz w:val="20"/>
          <w:szCs w:val="20"/>
          <w:lang w:eastAsia="en-US" w:bidi="ar-SA"/>
        </w:rPr>
        <w:t xml:space="preserve">de Málaga y terminará el </w:t>
      </w:r>
      <w:r>
        <w:rPr>
          <w:rFonts w:eastAsia="Calibri" w:cs="TimesNewRomanPS-BoldMT" w:eastAsiaTheme="minorHAnsi"/>
          <w:b w:val="false"/>
          <w:bCs w:val="false"/>
          <w:sz w:val="20"/>
          <w:szCs w:val="20"/>
          <w:lang w:eastAsia="en-US" w:bidi="ar-SA"/>
        </w:rPr>
        <w:t xml:space="preserve">día </w:t>
      </w:r>
      <w:r>
        <w:rPr>
          <w:rFonts w:eastAsia="Calibri" w:cs="TimesNewRomanPS-BoldMT" w:eastAsiaTheme="minorHAnsi"/>
          <w:b w:val="false"/>
          <w:bCs w:val="false"/>
          <w:color w:val="auto"/>
          <w:kern w:val="0"/>
          <w:sz w:val="20"/>
          <w:szCs w:val="20"/>
          <w:lang w:val="es-ES" w:eastAsia="en-US" w:bidi="ar-SA"/>
        </w:rPr>
        <w:t>1</w:t>
      </w:r>
      <w:r>
        <w:rPr>
          <w:rFonts w:eastAsia="Calibri" w:cs="TimesNewRomanPS-BoldMT" w:eastAsiaTheme="minorHAnsi"/>
          <w:b w:val="false"/>
          <w:bCs w:val="false"/>
          <w:sz w:val="20"/>
          <w:szCs w:val="20"/>
          <w:lang w:eastAsia="en-US" w:bidi="ar-SA"/>
        </w:rPr>
        <w:t xml:space="preserve">0 de </w:t>
      </w:r>
      <w:r>
        <w:rPr>
          <w:rFonts w:eastAsia="Calibri" w:cs="TimesNewRomanPS-BoldMT" w:eastAsiaTheme="minorHAnsi"/>
          <w:b w:val="false"/>
          <w:bCs w:val="false"/>
          <w:color w:val="auto"/>
          <w:kern w:val="0"/>
          <w:sz w:val="20"/>
          <w:szCs w:val="20"/>
          <w:lang w:val="es-ES" w:eastAsia="en-US" w:bidi="ar-SA"/>
        </w:rPr>
        <w:t>agosto</w:t>
      </w:r>
      <w:r>
        <w:rPr>
          <w:rFonts w:eastAsia="Calibri" w:cs="TimesNewRomanPS-BoldMT" w:eastAsiaTheme="minorHAnsi"/>
          <w:b w:val="false"/>
          <w:bCs w:val="false"/>
          <w:sz w:val="20"/>
          <w:szCs w:val="20"/>
          <w:lang w:eastAsia="en-US" w:bidi="ar-SA"/>
        </w:rPr>
        <w:t xml:space="preserve"> de 2022</w:t>
      </w:r>
      <w:r>
        <w:rPr>
          <w:rFonts w:eastAsia="Calibri" w:cs="TimesNewRomanPSMT" w:eastAsiaTheme="minorHAnsi"/>
          <w:b w:val="false"/>
          <w:bCs w:val="false"/>
          <w:sz w:val="20"/>
          <w:szCs w:val="20"/>
          <w:lang w:eastAsia="en-US" w:bidi="ar-SA"/>
        </w:rPr>
        <w:t>, a las  14:00 horas. La inscripción se hará comunicando el nombre de un re</w:t>
      </w:r>
      <w:r>
        <w:rPr>
          <w:rFonts w:eastAsia="Calibri" w:cs="TimesNewRomanPSMT" w:eastAsiaTheme="minorHAnsi"/>
          <w:b w:val="false"/>
          <w:bCs w:val="false"/>
          <w:color w:val="auto"/>
          <w:kern w:val="0"/>
          <w:sz w:val="20"/>
          <w:szCs w:val="20"/>
          <w:lang w:val="es-ES" w:eastAsia="en-US" w:bidi="ar-SA"/>
        </w:rPr>
        <w:t>sponsable</w:t>
      </w:r>
      <w:r>
        <w:rPr>
          <w:rFonts w:eastAsia="Calibri" w:cs="TimesNewRomanPSMT" w:eastAsiaTheme="minorHAnsi"/>
          <w:b w:val="false"/>
          <w:bCs w:val="false"/>
          <w:sz w:val="20"/>
          <w:szCs w:val="20"/>
          <w:lang w:eastAsia="en-US" w:bidi="ar-SA"/>
        </w:rPr>
        <w:t xml:space="preserve"> del grupo, DNI/CIF y número de teléfono. </w:t>
      </w:r>
    </w:p>
    <w:p>
      <w:pPr>
        <w:pStyle w:val="Normal"/>
        <w:widowControl/>
        <w:suppressAutoHyphens w:val="false"/>
        <w:jc w:val="both"/>
        <w:rPr>
          <w:rFonts w:eastAsia="Calibri" w:cs="TimesNewRomanPS-BoldMT" w:eastAsiaTheme="minorHAnsi"/>
          <w:b w:val="false"/>
          <w:b w:val="false"/>
          <w:bCs w:val="false"/>
          <w:color w:val="auto"/>
          <w:kern w:val="0"/>
          <w:sz w:val="20"/>
          <w:szCs w:val="20"/>
          <w:lang w:val="es-ES" w:eastAsia="en-US" w:bidi="ar-SA"/>
        </w:rPr>
      </w:pPr>
      <w:r>
        <w:rPr>
          <w:rFonts w:eastAsia="Calibri" w:cs="TimesNewRomanPS-BoldMT" w:eastAsiaTheme="minorHAnsi"/>
          <w:b/>
          <w:bCs/>
          <w:sz w:val="20"/>
          <w:szCs w:val="20"/>
          <w:lang w:eastAsia="en-US" w:bidi="ar-SA"/>
        </w:rPr>
        <w:t xml:space="preserve"> </w:t>
      </w:r>
    </w:p>
    <w:p>
      <w:pPr>
        <w:pStyle w:val="Normal"/>
        <w:widowControl/>
        <w:suppressAutoHyphens w:val="false"/>
        <w:jc w:val="both"/>
        <w:rPr/>
      </w:pPr>
      <w:r>
        <w:rPr>
          <w:rFonts w:eastAsia="Calibri" w:cs="TimesNewRomanPS-BoldMT" w:eastAsiaTheme="minorHAnsi"/>
          <w:b/>
          <w:bCs/>
          <w:sz w:val="20"/>
          <w:szCs w:val="20"/>
          <w:lang w:eastAsia="en-US" w:bidi="ar-SA"/>
        </w:rPr>
        <w:t xml:space="preserve">CUARTA. </w:t>
      </w:r>
      <w:r>
        <w:rPr>
          <w:rFonts w:eastAsia="Calibri" w:cs="TimesNewRomanPSMT" w:eastAsiaTheme="minorHAnsi"/>
          <w:color w:val="auto"/>
          <w:kern w:val="0"/>
          <w:sz w:val="20"/>
          <w:szCs w:val="20"/>
          <w:lang w:val="es-ES" w:eastAsia="en-US" w:bidi="ar-SA"/>
        </w:rPr>
        <w:t>La concentración se llevará a cabo a las 18:00 h. en la Calle Sevilla para iniciar el pasacalles a las 18:30 h. desde la Plaza de Málaga y continuar por calle Carreteros, Plaza de la Constitución, Calle Real,...</w:t>
      </w:r>
    </w:p>
    <w:p>
      <w:pPr>
        <w:pStyle w:val="Normal"/>
        <w:widowControl/>
        <w:suppressAutoHyphens w:val="false"/>
        <w:jc w:val="both"/>
        <w:rPr>
          <w:rFonts w:eastAsia="Calibri" w:cs="TimesNewRomanPSMT" w:eastAsiaTheme="minorHAnsi"/>
          <w:sz w:val="20"/>
          <w:szCs w:val="20"/>
          <w:lang w:eastAsia="en-US" w:bidi="ar-SA"/>
        </w:rPr>
      </w:pPr>
      <w:r>
        <w:rPr>
          <w:rFonts w:eastAsia="Calibri" w:cs="TimesNewRomanPSMT" w:eastAsiaTheme="minorHAnsi"/>
          <w:sz w:val="20"/>
          <w:szCs w:val="20"/>
          <w:lang w:eastAsia="en-US" w:bidi="ar-SA"/>
        </w:rPr>
      </w:r>
    </w:p>
    <w:p>
      <w:pPr>
        <w:pStyle w:val="Normal"/>
        <w:widowControl/>
        <w:suppressAutoHyphens w:val="false"/>
        <w:jc w:val="both"/>
        <w:rPr/>
      </w:pPr>
      <w:r>
        <w:rPr>
          <w:rFonts w:eastAsia="Calibri" w:cs="TimesNewRomanPS-BoldMT" w:eastAsiaTheme="minorHAnsi"/>
          <w:b/>
          <w:bCs/>
          <w:sz w:val="20"/>
          <w:szCs w:val="20"/>
          <w:lang w:eastAsia="en-US" w:bidi="ar-SA"/>
        </w:rPr>
        <w:t xml:space="preserve">QUINTA. </w:t>
      </w:r>
      <w:r>
        <w:rPr>
          <w:rFonts w:eastAsia="Calibri" w:cs="TimesNewRomanPS-BoldMT" w:eastAsiaTheme="minorHAnsi"/>
          <w:b w:val="false"/>
          <w:bCs w:val="false"/>
          <w:color w:val="auto"/>
          <w:kern w:val="0"/>
          <w:sz w:val="20"/>
          <w:szCs w:val="20"/>
          <w:lang w:val="es-ES" w:eastAsia="en-US" w:bidi="ar-SA"/>
        </w:rPr>
        <w:t>Cada grupo participante deberá llevar delante, y en lugar destacado, un cartel en el que figurará la denominación del grupo, así como el número asignado al inscribirse.</w:t>
      </w:r>
    </w:p>
    <w:p>
      <w:pPr>
        <w:pStyle w:val="Normal"/>
        <w:widowControl/>
        <w:suppressAutoHyphens w:val="false"/>
        <w:jc w:val="both"/>
        <w:rPr>
          <w:rFonts w:eastAsia="Calibri" w:cs="TimesNewRomanPS-BoldMT" w:eastAsiaTheme="minorHAnsi"/>
          <w:b/>
          <w:b/>
          <w:bCs/>
          <w:sz w:val="20"/>
          <w:szCs w:val="20"/>
          <w:lang w:eastAsia="en-US" w:bidi="ar-SA"/>
        </w:rPr>
      </w:pPr>
      <w:r>
        <w:rPr>
          <w:rFonts w:eastAsia="Calibri" w:cs="TimesNewRomanPS-BoldMT" w:eastAsiaTheme="minorHAnsi"/>
          <w:b/>
          <w:bCs/>
          <w:sz w:val="20"/>
          <w:szCs w:val="20"/>
          <w:lang w:eastAsia="en-US" w:bidi="ar-SA"/>
        </w:rPr>
      </w:r>
    </w:p>
    <w:p>
      <w:pPr>
        <w:pStyle w:val="Normal"/>
        <w:widowControl/>
        <w:suppressAutoHyphens w:val="false"/>
        <w:jc w:val="both"/>
        <w:rPr/>
      </w:pPr>
      <w:r>
        <w:rPr>
          <w:rFonts w:eastAsia="Calibri" w:cs="TimesNewRomanPS-BoldMT" w:eastAsiaTheme="minorHAnsi"/>
          <w:b/>
          <w:bCs/>
          <w:sz w:val="20"/>
          <w:szCs w:val="20"/>
          <w:lang w:eastAsia="en-US" w:bidi="ar-SA"/>
        </w:rPr>
        <w:t xml:space="preserve">SEXTA. </w:t>
      </w:r>
      <w:r>
        <w:rPr>
          <w:rFonts w:eastAsia="Calibri" w:cs="ArialMT" w:eastAsiaTheme="minorHAnsi"/>
          <w:color w:val="auto"/>
          <w:kern w:val="0"/>
          <w:sz w:val="20"/>
          <w:szCs w:val="20"/>
          <w:lang w:val="es-ES" w:eastAsia="en-US" w:bidi="ar-SA"/>
        </w:rPr>
        <w:t>Los propietarios de los vehículos que participen en el desfile, deberán tener en regla y en vigor el carnet de conducir, así como toda la documentación del vehículo participante, (póliza de seguro obligatorio, correspondiente ITV, y todo lo que establezca la normativa vigente que corresponda)</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sz w:val="20"/>
          <w:szCs w:val="20"/>
          <w:lang w:eastAsia="en-US" w:bidi="ar-SA"/>
        </w:rPr>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sz w:val="20"/>
          <w:szCs w:val="20"/>
          <w:lang w:eastAsia="en-US" w:bidi="ar-SA"/>
        </w:rPr>
        <w:t>SÉPTIMA</w:t>
      </w:r>
      <w:r>
        <w:rPr>
          <w:rFonts w:eastAsia="Calibri" w:cs="ArialMT" w:eastAsiaTheme="minorHAnsi"/>
          <w:sz w:val="20"/>
          <w:szCs w:val="20"/>
          <w:lang w:eastAsia="en-US" w:bidi="ar-SA"/>
        </w:rPr>
        <w:t xml:space="preserve">. </w:t>
      </w:r>
      <w:r>
        <w:rPr>
          <w:rFonts w:eastAsia="Calibri" w:cs="ArialMT" w:eastAsiaTheme="minorHAnsi"/>
          <w:color w:val="auto"/>
          <w:kern w:val="0"/>
          <w:sz w:val="20"/>
          <w:szCs w:val="20"/>
          <w:lang w:val="es-ES" w:eastAsia="en-US" w:bidi="ar-SA"/>
        </w:rPr>
        <w:t>El jurado valorará las carrozas antes del inicio del desfile  y durante el recorrido. Puntuará de 1 a 5 puntos la originalida</w:t>
      </w:r>
      <w:r>
        <w:rPr>
          <w:rFonts w:eastAsia="Calibri" w:cs="ArialMT" w:eastAsiaTheme="minorHAnsi"/>
          <w:color w:val="auto"/>
          <w:kern w:val="0"/>
          <w:sz w:val="20"/>
          <w:szCs w:val="20"/>
          <w:lang w:val="es-ES" w:eastAsia="en-US" w:bidi="ar-SA"/>
        </w:rPr>
        <w:t>d,</w:t>
      </w:r>
      <w:r>
        <w:rPr>
          <w:rFonts w:eastAsia="Calibri" w:cs="ArialMT" w:eastAsiaTheme="minorHAnsi"/>
          <w:color w:val="auto"/>
          <w:kern w:val="0"/>
          <w:sz w:val="20"/>
          <w:szCs w:val="20"/>
          <w:lang w:val="es-ES" w:eastAsia="en-US" w:bidi="ar-SA"/>
        </w:rPr>
        <w:t xml:space="preserve"> el diseño </w:t>
      </w:r>
      <w:r>
        <w:rPr>
          <w:rFonts w:eastAsia="Calibri" w:cs="ArialMT" w:eastAsiaTheme="minorHAnsi"/>
          <w:color w:val="auto"/>
          <w:kern w:val="0"/>
          <w:sz w:val="20"/>
          <w:szCs w:val="20"/>
          <w:lang w:val="es-ES" w:eastAsia="en-US" w:bidi="ar-SA"/>
        </w:rPr>
        <w:t xml:space="preserve">y creatividad (tanto de la carroza como de los disfraces) </w:t>
      </w:r>
      <w:r>
        <w:rPr>
          <w:rFonts w:eastAsia="Calibri" w:cs="ArialMT" w:eastAsiaTheme="minorHAnsi"/>
          <w:color w:val="auto"/>
          <w:kern w:val="0"/>
          <w:sz w:val="20"/>
          <w:szCs w:val="20"/>
          <w:lang w:val="es-ES" w:eastAsia="en-US" w:bidi="ar-SA"/>
        </w:rPr>
        <w:t>y la ambientación durante el recorrido.</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sz w:val="20"/>
          <w:szCs w:val="20"/>
          <w:lang w:eastAsia="en-US" w:bidi="ar-SA"/>
        </w:rPr>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sz w:val="20"/>
          <w:szCs w:val="20"/>
          <w:lang w:eastAsia="en-US" w:bidi="ar-SA"/>
        </w:rPr>
        <w:t>OCTAVA</w:t>
      </w:r>
      <w:r>
        <w:rPr>
          <w:rFonts w:eastAsia="Calibri" w:cs="ArialMT" w:eastAsiaTheme="minorHAnsi"/>
          <w:sz w:val="20"/>
          <w:szCs w:val="20"/>
          <w:lang w:eastAsia="en-US" w:bidi="ar-SA"/>
        </w:rPr>
        <w:t>. La mera participación en el concurso supone la plena aceptación de la convocatoria conforme a las presentes bases; la interpretación que de las mismas lleve a cabo  y el fallo que emita el jurado designado al efecto, que será inapelable.</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sz w:val="20"/>
          <w:szCs w:val="20"/>
          <w:lang w:eastAsia="en-US" w:bidi="ar-SA"/>
        </w:rPr>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sz w:val="20"/>
          <w:szCs w:val="20"/>
          <w:lang w:eastAsia="en-US" w:bidi="ar-SA"/>
        </w:rPr>
        <w:t>NOVENA</w:t>
      </w:r>
      <w:r>
        <w:rPr>
          <w:rFonts w:eastAsia="Calibri" w:cs="ArialMT" w:eastAsiaTheme="minorHAnsi"/>
          <w:sz w:val="20"/>
          <w:szCs w:val="20"/>
          <w:lang w:eastAsia="en-US" w:bidi="ar-SA"/>
        </w:rPr>
        <w:t>. Con el fin de conseguir una buena organización, cooperación de todos los participantes y orden en el evento, así como evitar daños e incidentes, todas las carrozas participantes se comprometen a acatar las siguientes normas:</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sz w:val="20"/>
          <w:szCs w:val="20"/>
          <w:lang w:eastAsia="en-US" w:bidi="ar-SA"/>
        </w:rPr>
      </w:r>
    </w:p>
    <w:p>
      <w:pPr>
        <w:pStyle w:val="Normal"/>
        <w:widowControl/>
        <w:numPr>
          <w:ilvl w:val="0"/>
          <w:numId w:val="1"/>
        </w:numPr>
        <w:suppressAutoHyphens w:val="false"/>
        <w:jc w:val="both"/>
        <w:rPr>
          <w:sz w:val="20"/>
          <w:szCs w:val="20"/>
        </w:rPr>
      </w:pPr>
      <w:r>
        <w:rPr>
          <w:sz w:val="20"/>
          <w:szCs w:val="20"/>
        </w:rPr>
        <w:t>Llegar a los horarios establecidos.</w:t>
      </w:r>
    </w:p>
    <w:p>
      <w:pPr>
        <w:pStyle w:val="Normal"/>
        <w:widowControl/>
        <w:numPr>
          <w:ilvl w:val="0"/>
          <w:numId w:val="1"/>
        </w:numPr>
        <w:suppressAutoHyphens w:val="false"/>
        <w:jc w:val="both"/>
        <w:rPr>
          <w:sz w:val="20"/>
          <w:szCs w:val="20"/>
        </w:rPr>
      </w:pPr>
      <w:r>
        <w:rPr>
          <w:sz w:val="20"/>
          <w:szCs w:val="20"/>
        </w:rPr>
        <w:t>No arrojar objetos sobre la vía pública o sobre otras personas.</w:t>
      </w:r>
    </w:p>
    <w:p>
      <w:pPr>
        <w:pStyle w:val="Normal"/>
        <w:widowControl/>
        <w:numPr>
          <w:ilvl w:val="0"/>
          <w:numId w:val="1"/>
        </w:numPr>
        <w:suppressAutoHyphens w:val="false"/>
        <w:jc w:val="both"/>
        <w:rPr>
          <w:sz w:val="20"/>
          <w:szCs w:val="20"/>
        </w:rPr>
      </w:pPr>
      <w:r>
        <w:rPr>
          <w:sz w:val="20"/>
          <w:szCs w:val="20"/>
        </w:rPr>
        <w:t>No realizar actos que puedan ocasionar daños personales y materiales y todos aquellos que  puedan ser considerados inadecuados y vandálicos a juicio del ayuntamiento y la autoridad competente.</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sz w:val="20"/>
          <w:szCs w:val="20"/>
          <w:lang w:eastAsia="en-US" w:bidi="ar-SA"/>
        </w:rPr>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sz w:val="20"/>
          <w:szCs w:val="20"/>
          <w:lang w:eastAsia="en-US" w:bidi="ar-SA"/>
        </w:rPr>
        <w:t>DÉCIMA</w:t>
      </w:r>
      <w:r>
        <w:rPr>
          <w:rFonts w:eastAsia="Calibri" w:cs="ArialMT" w:eastAsiaTheme="minorHAnsi"/>
          <w:sz w:val="20"/>
          <w:szCs w:val="20"/>
          <w:lang w:eastAsia="en-US" w:bidi="ar-SA"/>
        </w:rPr>
        <w:t>. El premio otorgado mediante esta convocatoria queda sometido a la Ley 38/2003 General de Subvenciones, de 17 de noviembre, y la normativa que la desarrolla y en su cumplimiento el otorgamiento será debidamente informado en la Base de Datos Nacional de Subvenciones.</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sz w:val="20"/>
          <w:szCs w:val="20"/>
          <w:lang w:eastAsia="en-US" w:bidi="ar-SA"/>
        </w:rPr>
      </w:r>
    </w:p>
    <w:p>
      <w:pPr>
        <w:pStyle w:val="ListParagraph"/>
        <w:widowControl/>
        <w:suppressAutoHyphens w:val="false"/>
        <w:ind w:left="0" w:hanging="0"/>
        <w:jc w:val="both"/>
        <w:rPr>
          <w:sz w:val="20"/>
          <w:szCs w:val="20"/>
        </w:rPr>
      </w:pPr>
      <w:r>
        <w:rPr>
          <w:sz w:val="20"/>
          <w:szCs w:val="20"/>
        </w:rPr>
        <w:t xml:space="preserve">De conformidad con la Disposición Adicional 10ª de la Ley 38/2003, de 17 de noviembre, General de Subvenciones, por su especial naturaleza, no resulta de aplicación el régimen de justificación de las subvenciones a los premios. </w:t>
      </w:r>
    </w:p>
    <w:p>
      <w:pPr>
        <w:pStyle w:val="ListParagraph"/>
        <w:widowControl/>
        <w:suppressAutoHyphens w:val="false"/>
        <w:ind w:left="0" w:hanging="0"/>
        <w:jc w:val="both"/>
        <w:rPr>
          <w:sz w:val="20"/>
          <w:szCs w:val="20"/>
        </w:rPr>
      </w:pPr>
      <w:r>
        <w:rPr>
          <w:sz w:val="20"/>
          <w:szCs w:val="20"/>
        </w:rPr>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sz w:val="20"/>
          <w:szCs w:val="20"/>
          <w:lang w:eastAsia="en-US" w:bidi="ar-SA"/>
        </w:rPr>
        <w:t xml:space="preserve">UNDÉCIMA. </w:t>
      </w:r>
      <w:r>
        <w:rPr>
          <w:rFonts w:eastAsia="Calibri" w:cs="ArialMT" w:eastAsiaTheme="minorHAnsi"/>
          <w:b w:val="false"/>
          <w:bCs w:val="false"/>
          <w:color w:val="auto"/>
          <w:kern w:val="0"/>
          <w:sz w:val="20"/>
          <w:szCs w:val="20"/>
          <w:lang w:val="es-ES" w:eastAsia="en-US" w:bidi="ar-SA"/>
        </w:rPr>
        <w:t>Se otorgarán los siguientes premios:</w:t>
      </w:r>
      <w:r>
        <w:rPr>
          <w:rFonts w:eastAsia="Calibri" w:cs="ArialMT" w:eastAsiaTheme="minorHAnsi"/>
          <w:b w:val="false"/>
          <w:bCs w:val="false"/>
          <w:sz w:val="20"/>
          <w:szCs w:val="20"/>
          <w:lang w:eastAsia="en-US" w:bidi="ar-SA"/>
        </w:rPr>
        <w:t xml:space="preserve"> </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val="false"/>
          <w:bCs w:val="false"/>
          <w:sz w:val="20"/>
          <w:szCs w:val="20"/>
          <w:lang w:eastAsia="en-US" w:bidi="ar-SA"/>
        </w:rPr>
        <w:tab/>
        <w:tab/>
        <w:t>1º 600 €</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val="false"/>
          <w:bCs w:val="false"/>
          <w:sz w:val="20"/>
          <w:szCs w:val="20"/>
          <w:lang w:eastAsia="en-US" w:bidi="ar-SA"/>
        </w:rPr>
        <w:tab/>
        <w:tab/>
        <w:t>2º 400 €</w:t>
      </w:r>
    </w:p>
    <w:p>
      <w:pPr>
        <w:pStyle w:val="Normal"/>
        <w:widowControl/>
        <w:suppressAutoHyphens w:val="false"/>
        <w:jc w:val="both"/>
        <w:rPr>
          <w:rFonts w:eastAsia="Calibri" w:cs="ArialMT" w:eastAsiaTheme="minorHAnsi"/>
          <w:sz w:val="20"/>
          <w:szCs w:val="20"/>
          <w:lang w:eastAsia="en-US" w:bidi="ar-SA"/>
        </w:rPr>
      </w:pPr>
      <w:r>
        <w:rPr>
          <w:rFonts w:eastAsia="Calibri" w:cs="ArialMT" w:eastAsiaTheme="minorHAnsi"/>
          <w:b w:val="false"/>
          <w:bCs w:val="false"/>
          <w:sz w:val="20"/>
          <w:szCs w:val="20"/>
          <w:lang w:eastAsia="en-US" w:bidi="ar-SA"/>
        </w:rPr>
        <w:tab/>
        <w:tab/>
        <w:t>3º 200 €</w:t>
      </w:r>
    </w:p>
    <w:p>
      <w:pPr>
        <w:pStyle w:val="Normal"/>
        <w:widowControl/>
        <w:suppressAutoHyphens w:val="false"/>
        <w:bidi w:val="0"/>
        <w:spacing w:lineRule="auto" w:line="240" w:before="0" w:after="0"/>
        <w:ind w:right="0" w:hanging="0"/>
        <w:jc w:val="both"/>
        <w:rPr>
          <w:rFonts w:eastAsia="Calibri" w:cs="ArialMT" w:eastAsiaTheme="minorHAnsi"/>
          <w:sz w:val="20"/>
          <w:szCs w:val="20"/>
          <w:lang w:eastAsia="en-US" w:bidi="ar-SA"/>
        </w:rPr>
      </w:pPr>
      <w:r>
        <w:rPr>
          <w:rFonts w:eastAsia="Calibri" w:cs="ArialMT" w:eastAsiaTheme="minorHAnsi"/>
          <w:b w:val="false"/>
          <w:bCs w:val="false"/>
          <w:sz w:val="20"/>
          <w:szCs w:val="20"/>
          <w:lang w:eastAsia="en-US" w:bidi="ar-SA"/>
        </w:rPr>
        <w:t>A</w:t>
      </w:r>
      <w:r>
        <w:rPr>
          <w:rFonts w:eastAsia="Calibri" w:cs="ArialMT" w:eastAsiaTheme="minorHAnsi"/>
          <w:b w:val="false"/>
          <w:bCs w:val="false"/>
          <w:sz w:val="20"/>
          <w:szCs w:val="20"/>
          <w:lang w:eastAsia="en-US" w:bidi="ar-SA"/>
        </w:rPr>
        <w:t xml:space="preserve"> cada carroza participante que no haya sido premiada, </w:t>
      </w:r>
      <w:r>
        <w:rPr>
          <w:rFonts w:eastAsia="Calibri" w:cs="ArialMT" w:eastAsiaTheme="minorHAnsi"/>
          <w:b w:val="false"/>
          <w:bCs w:val="false"/>
          <w:sz w:val="20"/>
          <w:szCs w:val="20"/>
          <w:lang w:eastAsia="en-US" w:bidi="ar-SA"/>
        </w:rPr>
        <w:t>se subvencionará con 100 € para gastos de material.</w:t>
      </w:r>
      <w:r>
        <w:rPr>
          <w:rFonts w:eastAsia="Calibri" w:cs="ArialMT" w:eastAsiaTheme="minorHAnsi"/>
          <w:b w:val="false"/>
          <w:bCs w:val="false"/>
          <w:sz w:val="20"/>
          <w:szCs w:val="20"/>
          <w:lang w:eastAsia="en-US" w:bidi="ar-SA"/>
        </w:rPr>
        <w:t xml:space="preserve"> </w:t>
      </w:r>
      <w:r>
        <w:rPr>
          <w:rFonts w:eastAsia="Calibri" w:cs="ArialMT" w:eastAsiaTheme="minorHAnsi"/>
          <w:b w:val="false"/>
          <w:bCs w:val="false"/>
          <w:sz w:val="20"/>
          <w:szCs w:val="20"/>
          <w:lang w:eastAsia="en-US" w:bidi="ar-SA"/>
        </w:rPr>
        <w:t xml:space="preserve">(hasta un máximo </w:t>
      </w:r>
      <w:r>
        <w:rPr>
          <w:rFonts w:eastAsia="Calibri" w:cs="ArialMT" w:eastAsiaTheme="minorHAnsi"/>
          <w:b w:val="false"/>
          <w:bCs w:val="false"/>
          <w:color w:val="auto"/>
          <w:kern w:val="0"/>
          <w:sz w:val="20"/>
          <w:szCs w:val="20"/>
          <w:lang w:val="es-ES" w:eastAsia="en-US" w:bidi="ar-SA"/>
        </w:rPr>
        <w:t>de 10 carrozas</w:t>
      </w:r>
      <w:r>
        <w:rPr>
          <w:rFonts w:eastAsia="Calibri" w:cs="ArialMT" w:eastAsiaTheme="minorHAnsi"/>
          <w:b w:val="false"/>
          <w:bCs w:val="false"/>
          <w:sz w:val="20"/>
          <w:szCs w:val="20"/>
          <w:lang w:eastAsia="en-US" w:bidi="ar-SA"/>
        </w:rPr>
        <w:t>)</w:t>
      </w:r>
    </w:p>
    <w:p>
      <w:pPr>
        <w:pStyle w:val="Normal"/>
        <w:widowControl/>
        <w:suppressAutoHyphens w:val="false"/>
        <w:bidi w:val="0"/>
        <w:spacing w:lineRule="auto" w:line="240" w:before="0" w:after="0"/>
        <w:ind w:right="0" w:hanging="0"/>
        <w:jc w:val="both"/>
        <w:rPr>
          <w:rFonts w:eastAsia="Calibri" w:cs="ArialMT" w:eastAsiaTheme="minorHAnsi"/>
          <w:sz w:val="20"/>
          <w:szCs w:val="20"/>
          <w:lang w:eastAsia="en-US" w:bidi="ar-SA"/>
        </w:rPr>
      </w:pPr>
      <w:r>
        <w:rPr/>
      </w:r>
    </w:p>
    <w:p>
      <w:pPr>
        <w:pStyle w:val="Normal"/>
        <w:widowControl/>
        <w:suppressAutoHyphens w:val="false"/>
        <w:bidi w:val="0"/>
        <w:spacing w:lineRule="auto" w:line="240" w:before="0" w:after="0"/>
        <w:ind w:right="0" w:hanging="0"/>
        <w:jc w:val="both"/>
        <w:rPr>
          <w:rFonts w:eastAsia="Calibri" w:cs="ArialMT" w:eastAsiaTheme="minorHAnsi"/>
          <w:sz w:val="20"/>
          <w:szCs w:val="20"/>
          <w:lang w:eastAsia="en-US" w:bidi="ar-SA"/>
        </w:rPr>
      </w:pPr>
      <w:r>
        <w:rPr/>
      </w:r>
    </w:p>
    <w:p>
      <w:pPr>
        <w:pStyle w:val="Normal"/>
        <w:widowControl/>
        <w:suppressAutoHyphens w:val="false"/>
        <w:bidi w:val="0"/>
        <w:spacing w:lineRule="auto" w:line="240" w:before="0" w:after="0"/>
        <w:ind w:right="0" w:hanging="0"/>
        <w:jc w:val="center"/>
        <w:rPr/>
      </w:pPr>
      <w:r>
        <w:rPr/>
        <w:tab/>
      </w:r>
      <w:r>
        <w:rPr>
          <w:b/>
          <w:bCs/>
          <w:sz w:val="18"/>
          <w:szCs w:val="18"/>
        </w:rPr>
        <w:t>DOCUMENTO FIRMADO  ELECTRÓNICAMENTE</w:t>
      </w:r>
    </w:p>
    <w:p>
      <w:pPr>
        <w:pStyle w:val="Normal"/>
        <w:widowControl/>
        <w:suppressAutoHyphens w:val="false"/>
        <w:bidi w:val="0"/>
        <w:spacing w:lineRule="auto" w:line="240" w:before="0" w:after="0"/>
        <w:ind w:left="1417" w:right="0" w:hanging="0"/>
        <w:jc w:val="both"/>
        <w:rPr>
          <w:rFonts w:eastAsia="Calibri" w:cs="ArialMT" w:eastAsiaTheme="minorHAnsi"/>
          <w:sz w:val="20"/>
          <w:szCs w:val="20"/>
          <w:lang w:eastAsia="en-US" w:bidi="ar-SA"/>
        </w:rPr>
      </w:pPr>
      <w:r>
        <w:rPr/>
      </w:r>
    </w:p>
    <w:sectPr>
      <w:type w:val="nextPage"/>
      <w:pgSz w:w="11906" w:h="16838"/>
      <w:pgMar w:left="1701" w:right="1701"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Verdana">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6"/>
  <w:defaultTabStop w:val="708"/>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f6782"/>
    <w:pPr>
      <w:widowControl w:val="false"/>
      <w:suppressAutoHyphens w:val="true"/>
      <w:bidi w:val="0"/>
      <w:spacing w:lineRule="auto" w:line="240" w:before="0" w:after="0"/>
      <w:jc w:val="left"/>
    </w:pPr>
    <w:rPr>
      <w:rFonts w:ascii="Verdana" w:hAnsi="Verdana" w:eastAsia="DejaVu Sans" w:cs="DejaVu Sans"/>
      <w:color w:val="auto"/>
      <w:kern w:val="0"/>
      <w:sz w:val="16"/>
      <w:szCs w:val="24"/>
      <w:lang w:val="es-ES" w:eastAsia="zh-CN" w:bidi="hi-IN"/>
    </w:rPr>
  </w:style>
  <w:style w:type="character" w:styleId="DefaultParagraphFont" w:default="1">
    <w:name w:val="Default Paragraph Font"/>
    <w:uiPriority w:val="1"/>
    <w:semiHidden/>
    <w:unhideWhenUsed/>
    <w:qFormat/>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ListParagraph">
    <w:name w:val="List Paragraph"/>
    <w:basedOn w:val="Normal"/>
    <w:uiPriority w:val="34"/>
    <w:qFormat/>
    <w:rsid w:val="00da6dd7"/>
    <w:pPr>
      <w:spacing w:before="0" w:after="0"/>
      <w:ind w:left="720" w:hanging="0"/>
      <w:contextualSpacing/>
    </w:pPr>
    <w:rPr>
      <w:rFonts w:cs="Mangal"/>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Application>LibreOffice/7.1.4.2$Windows_x86 LibreOffice_project/a529a4fab45b75fefc5b6226684193eb000654f6</Application>
  <AppVersion>15.0000</AppVersion>
  <Pages>2</Pages>
  <Words>739</Words>
  <Characters>3906</Characters>
  <CharactersWithSpaces>4639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2022-02-09T08:58:00Z</dcterms:created>
  <dc:creator>rcarmona</dc:creator>
  <dc:description/>
  <dc:language>es-ES</dc:language>
  <cp:lastModifiedBy/>
  <cp:lastPrinted>2022-07-19T09:59:46Z</cp:lastPrinted>
  <dcterms:modified xsi:type="dcterms:W3CDTF">2022-07-19T11:02:22Z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