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A11D28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A11D28">
        <w:rPr>
          <w:rFonts w:ascii="Arial" w:hAnsi="Arial" w:cs="Arial"/>
          <w:b/>
          <w:sz w:val="18"/>
          <w:szCs w:val="18"/>
        </w:rPr>
        <w:t>2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enero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2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0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junio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2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FE5" w:rsidRDefault="000E7FE5">
      <w:r>
        <w:separator/>
      </w:r>
    </w:p>
  </w:endnote>
  <w:endnote w:type="continuationSeparator" w:id="0">
    <w:p w:rsidR="000E7FE5" w:rsidRDefault="000E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FE5" w:rsidRDefault="000E7FE5">
      <w:r>
        <w:separator/>
      </w:r>
    </w:p>
  </w:footnote>
  <w:footnote w:type="continuationSeparator" w:id="0">
    <w:p w:rsidR="000E7FE5" w:rsidRDefault="000E7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0F4F2C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2B78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DD787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3EB53-E4CC-4793-AB88-40FEB4CAB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2022-07-12T15:10:00Z</dcterms:created>
  <dcterms:modified xsi:type="dcterms:W3CDTF">2022-07-12T15:10:00Z</dcterms:modified>
  <cp:category>© 2000-2004 Copyright · Derechos Reservados</cp:category>
</cp:coreProperties>
</file>