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06C" w:rsidRDefault="0001706C" w:rsidP="0001706C">
      <w:pPr>
        <w:jc w:val="center"/>
      </w:pPr>
      <w:r>
        <w:t>EDICTO</w:t>
      </w:r>
    </w:p>
    <w:p w:rsidR="0001706C" w:rsidRDefault="0001706C" w:rsidP="0001706C">
      <w:pPr>
        <w:jc w:val="center"/>
      </w:pPr>
    </w:p>
    <w:p w:rsidR="0001706C" w:rsidRDefault="0001706C" w:rsidP="0001706C">
      <w:r w:rsidRPr="0001706C">
        <w:t>La presidencia del Conse</w:t>
      </w:r>
      <w:r>
        <w:t>ll</w:t>
      </w:r>
      <w:r w:rsidRPr="0001706C">
        <w:t xml:space="preserve"> Local Agrari de Sagunto, c</w:t>
      </w:r>
      <w:r>
        <w:t>on fecha 7 de junio de 2022, ha  dictado la siguiente</w:t>
      </w:r>
      <w:r w:rsidRPr="0001706C">
        <w:t xml:space="preserve"> resolución n</w:t>
      </w:r>
      <w:proofErr w:type="gramStart"/>
      <w:r w:rsidRPr="0001706C">
        <w:t>.º</w:t>
      </w:r>
      <w:proofErr w:type="gramEnd"/>
      <w:r w:rsidRPr="0001706C">
        <w:t xml:space="preserve"> 067:</w:t>
      </w:r>
    </w:p>
    <w:p w:rsidR="0001706C" w:rsidRDefault="0001706C" w:rsidP="0001706C"/>
    <w:p w:rsidR="0001706C" w:rsidRDefault="0001706C" w:rsidP="0001706C">
      <w:pPr>
        <w:ind w:firstLine="708"/>
      </w:pPr>
      <w:r w:rsidRPr="0001706C">
        <w:t>“El Conse</w:t>
      </w:r>
      <w:r>
        <w:t>ll</w:t>
      </w:r>
      <w:r w:rsidRPr="0001706C">
        <w:t xml:space="preserve"> Local Agrari de Sagunto, organismo autónomo local del Ayuntamiento de Sagunto, prevé efectuar una convocatoria anual de subvenciones destinadas al fomento de la participación activa de los agricultores de Sagunto en la sociedad, así como a potenciar el asociacionismo, y aquellas actividades que fomentan valores e iniciativas que benefician el mantenimiento y desarrollo del ámbito agrícola del término municipal.</w:t>
      </w:r>
    </w:p>
    <w:p w:rsidR="0001706C" w:rsidRDefault="0001706C" w:rsidP="0001706C">
      <w:pPr>
        <w:ind w:firstLine="708"/>
      </w:pPr>
      <w:r w:rsidRPr="0001706C">
        <w:t>A estos efectos, se consigna en el presupuesto de este organismo una aplicación presupuestaria destinada a subvencionar a las asociaciones agrarias de Sagunto legalmente constituidas e inscritas en el registro municipal de asociaciones agrarias.</w:t>
      </w:r>
      <w:r w:rsidRPr="0001706C">
        <w:br/>
        <w:t>Las bases que regulan la concesión de subvenciones a las asociaciones que forman parte del Consejo Sectorial Agrario de Sagunto, por medio de régimen de concurrencia competitiva, están orientadas a favorecer la coordinación de las actuaciones que lleven a cabo estas asociaciones, a potenciar la participación activa de los agricultores de Sagunto en la sociedad, así como el asociacionismo, y aquellas actividades que fomentan valores e iniciativas que benefician el mantenimiento y desarrollo del ámbito agrícola del término municipal.</w:t>
      </w:r>
    </w:p>
    <w:p w:rsidR="0001706C" w:rsidRDefault="0001706C" w:rsidP="0001706C">
      <w:pPr>
        <w:ind w:firstLine="708"/>
      </w:pPr>
      <w:r w:rsidRPr="0001706C">
        <w:t>La ordenanza reguladora de las bases que regulan la concesión de las subvenciones a las asociaciones que forman parte del Consejo Sectorial Agrario de Sagunto fue aprobada inicialmente por el Ayuntamiento-lleno en sesión ordinaria celebrada el 25 de mayo de 2006, siendo publicada después de su aprobac</w:t>
      </w:r>
      <w:r>
        <w:t>ión definitiva en el BOP de Vale</w:t>
      </w:r>
      <w:r w:rsidRPr="0001706C">
        <w:t>ncia, n.º 227 de fecha 23/09/2006. La presente convocatoria se regula en cuanto a su contenido por la mencionada ordenanza municipal, conformo el que establece el arte. 23.2 de la Ley 38/2003, de 17 de novi</w:t>
      </w:r>
      <w:r>
        <w:t>embre, General de Subvenciones.</w:t>
      </w:r>
    </w:p>
    <w:p w:rsidR="0001706C" w:rsidRDefault="0001706C" w:rsidP="0001706C">
      <w:pPr>
        <w:ind w:firstLine="708"/>
      </w:pPr>
      <w:r w:rsidRPr="0001706C">
        <w:t>A la vista de todo aquello expuesto, en conformidad con el informe de la Intervención delegada de este organismo, la presidencia del Consejo Local Agrario de Sagunto, HA RESUELTO:</w:t>
      </w:r>
    </w:p>
    <w:p w:rsidR="0001706C" w:rsidRDefault="0001706C" w:rsidP="0001706C">
      <w:pPr>
        <w:ind w:firstLine="708"/>
      </w:pPr>
    </w:p>
    <w:p w:rsidR="0001706C" w:rsidRDefault="0001706C" w:rsidP="0001706C">
      <w:pPr>
        <w:ind w:firstLine="708"/>
      </w:pPr>
      <w:r w:rsidRPr="0001706C">
        <w:t>PRIMERO: Efectuar la convocatoria para la concesión de subvenciones, en régimen de concurrencia competitiva, a las asociaciones que forman parte del Consejo Sectorial Agrario de Sagunto, en conformidad con la ordenanza reguladora de las bases que regulan la concesión de las dichas subvenciones. La consignación presupuestaria para el presente año 2022 es de 4.500,00 euros, siendo esta la cuantía total máxima de las subvenciones convocadas dentro del crédito disponible.</w:t>
      </w:r>
    </w:p>
    <w:p w:rsidR="0001706C" w:rsidRDefault="0001706C" w:rsidP="0001706C">
      <w:pPr>
        <w:ind w:firstLine="708"/>
      </w:pPr>
    </w:p>
    <w:p w:rsidR="0001706C" w:rsidRDefault="0001706C" w:rsidP="0001706C">
      <w:pPr>
        <w:ind w:firstLine="708"/>
      </w:pPr>
      <w:r w:rsidRPr="0001706C">
        <w:t>SEGUNDO: Autorizar el gasto (fase A) a cargo de la partida aplicación presupuestaria 625/4100/48501“Subvenciones en concurrencia" del vigente presupuesto del Consejo Local Agrario de Sagunto.</w:t>
      </w:r>
    </w:p>
    <w:p w:rsidR="0001706C" w:rsidRDefault="0001706C" w:rsidP="0001706C">
      <w:pPr>
        <w:ind w:firstLine="708"/>
      </w:pPr>
    </w:p>
    <w:p w:rsidR="0001706C" w:rsidRDefault="0001706C" w:rsidP="0001706C">
      <w:pPr>
        <w:ind w:firstLine="708"/>
      </w:pPr>
      <w:r w:rsidRPr="0001706C">
        <w:t xml:space="preserve">TERCERO: Los requisitos para solicitar la subvención, criterios de valoración y </w:t>
      </w:r>
      <w:r>
        <w:t xml:space="preserve">forma </w:t>
      </w:r>
      <w:r w:rsidRPr="0001706C">
        <w:t>de acreditarlos se regulan en las bases 2</w:t>
      </w:r>
      <w:proofErr w:type="gramStart"/>
      <w:r w:rsidRPr="0001706C">
        <w:t>.º</w:t>
      </w:r>
      <w:proofErr w:type="gramEnd"/>
      <w:r w:rsidRPr="0001706C">
        <w:t>, 5n y 8n de la ordenanza reguladora, insertada en la página web del Ayuntamiento de Sagunto (</w:t>
      </w:r>
      <w:hyperlink r:id="rId8" w:history="1">
        <w:r w:rsidRPr="00FE6581">
          <w:rPr>
            <w:rStyle w:val="Hipervnculo"/>
          </w:rPr>
          <w:t>www.aytosagunto.es</w:t>
        </w:r>
      </w:hyperlink>
      <w:r>
        <w:t>).</w:t>
      </w:r>
    </w:p>
    <w:p w:rsidR="0001706C" w:rsidRDefault="0001706C" w:rsidP="0001706C">
      <w:pPr>
        <w:ind w:firstLine="708"/>
      </w:pPr>
    </w:p>
    <w:p w:rsidR="0001706C" w:rsidRDefault="0001706C" w:rsidP="0001706C">
      <w:pPr>
        <w:ind w:firstLine="708"/>
      </w:pPr>
      <w:r w:rsidRPr="0001706C">
        <w:t>QUART: El órgano competente para la instrucción es el técnico de la Administración General del Conse</w:t>
      </w:r>
      <w:r w:rsidR="008C5189">
        <w:t>ll</w:t>
      </w:r>
      <w:r w:rsidRPr="0001706C">
        <w:t xml:space="preserve"> Local Agrari, el órgano colegiado que valora las </w:t>
      </w:r>
      <w:r w:rsidRPr="0001706C">
        <w:lastRenderedPageBreak/>
        <w:t>solicitudes es la comisión de valoración del Conse</w:t>
      </w:r>
      <w:r w:rsidR="008C5189">
        <w:t>ll</w:t>
      </w:r>
      <w:bookmarkStart w:id="0" w:name="_GoBack"/>
      <w:bookmarkEnd w:id="0"/>
      <w:r w:rsidRPr="0001706C">
        <w:t xml:space="preserve"> Local Agrari y el órgano que concede las subvenciones es la presidencia de este organismo por resolución que po</w:t>
      </w:r>
      <w:r>
        <w:t>ne fin a la vía administrativa.</w:t>
      </w:r>
    </w:p>
    <w:p w:rsidR="0001706C" w:rsidRDefault="0001706C" w:rsidP="0001706C"/>
    <w:p w:rsidR="0001706C" w:rsidRDefault="0001706C" w:rsidP="0001706C">
      <w:pPr>
        <w:ind w:firstLine="708"/>
      </w:pPr>
      <w:r w:rsidRPr="0001706C">
        <w:t>QUINTO: El plazo de resolución y notificación será de tres meses. No se prevé la posibilidad de reformulación de solicitudes.</w:t>
      </w:r>
    </w:p>
    <w:p w:rsidR="0001706C" w:rsidRDefault="0001706C" w:rsidP="0001706C"/>
    <w:p w:rsidR="0001706C" w:rsidRDefault="0001706C" w:rsidP="0001706C">
      <w:pPr>
        <w:ind w:firstLine="708"/>
      </w:pPr>
      <w:r w:rsidRPr="0001706C">
        <w:t xml:space="preserve">SEXTO: Hacer pública la presente convocatoria de subvenciones por medio de la Base de datos Nacional de Subvenciones (BDNS) </w:t>
      </w:r>
      <w:r>
        <w:t>la publicación en el BOP de Vale</w:t>
      </w:r>
      <w:r w:rsidRPr="0001706C">
        <w:t>ncia, en el tablón de anuncios del Ayuntamiento de Sagunto, Consejo Local Agrario de Sagunto, oficina CERCA y en la página web del Ayuntamiento de Sagunto (www.aytosagunto.es), siendo el plazo para la presentación de solicitudes para el presente año de 10 días hábiles desde el día siguiente a la publicación de la present</w:t>
      </w:r>
      <w:r>
        <w:t>e convocatoria en el BOP de Vale</w:t>
      </w:r>
      <w:r w:rsidRPr="0001706C">
        <w:t>ncia.”</w:t>
      </w:r>
    </w:p>
    <w:p w:rsidR="0001706C" w:rsidRDefault="0001706C" w:rsidP="0001706C">
      <w:pPr>
        <w:ind w:firstLine="708"/>
      </w:pPr>
    </w:p>
    <w:p w:rsidR="0001706C" w:rsidRDefault="0001706C" w:rsidP="0001706C">
      <w:pPr>
        <w:jc w:val="center"/>
      </w:pPr>
      <w:r w:rsidRPr="0001706C">
        <w:t>Lo que se hace público para general conocimiento</w:t>
      </w:r>
    </w:p>
    <w:p w:rsidR="0001706C" w:rsidRPr="0001706C" w:rsidRDefault="0001706C" w:rsidP="0001706C">
      <w:pPr>
        <w:jc w:val="center"/>
      </w:pPr>
      <w:r w:rsidRPr="0001706C">
        <w:br/>
        <w:t>Sagunto, a 16 de junio de 2022</w:t>
      </w:r>
    </w:p>
    <w:p w:rsidR="0001706C" w:rsidRPr="0001706C" w:rsidRDefault="0001706C" w:rsidP="0001706C">
      <w:pPr>
        <w:jc w:val="center"/>
      </w:pPr>
      <w:r>
        <w:t>EL SECRETARIO DEL CLAS</w:t>
      </w:r>
      <w:r w:rsidRPr="0001706C">
        <w:t>, P.D.,</w:t>
      </w:r>
    </w:p>
    <w:p w:rsidR="001B33DA" w:rsidRPr="0001706C" w:rsidRDefault="0001706C" w:rsidP="0001706C">
      <w:pPr>
        <w:jc w:val="center"/>
      </w:pPr>
      <w:r>
        <w:br/>
      </w:r>
      <w:r>
        <w:br/>
        <w:t>Firmado. Al</w:t>
      </w:r>
      <w:r w:rsidRPr="0001706C">
        <w:t>berto Hernández Padilla</w:t>
      </w:r>
    </w:p>
    <w:sectPr w:rsidR="001B33DA" w:rsidRPr="0001706C" w:rsidSect="0001706C">
      <w:headerReference w:type="default" r:id="rId9"/>
      <w:pgSz w:w="11907" w:h="16840" w:code="9"/>
      <w:pgMar w:top="1107" w:right="1701" w:bottom="1560" w:left="1701" w:header="284" w:footer="284" w:gutter="0"/>
      <w:paperSrc w:first="8" w:other="8"/>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06C" w:rsidRDefault="0001706C">
      <w:r>
        <w:separator/>
      </w:r>
    </w:p>
  </w:endnote>
  <w:endnote w:type="continuationSeparator" w:id="0">
    <w:p w:rsidR="0001706C" w:rsidRDefault="0001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06C" w:rsidRDefault="0001706C">
      <w:r>
        <w:separator/>
      </w:r>
    </w:p>
  </w:footnote>
  <w:footnote w:type="continuationSeparator" w:id="0">
    <w:p w:rsidR="0001706C" w:rsidRDefault="00017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2D2" w:rsidRDefault="00A232D2">
    <w:pPr>
      <w:pStyle w:val="Encabezado"/>
      <w:rPr>
        <w:b/>
      </w:rPr>
    </w:pPr>
    <w:r>
      <w:tab/>
      <w:t xml:space="preserve">                                                            </w:t>
    </w:r>
    <w:r>
      <w:rPr>
        <w:b/>
      </w:rPr>
      <w:t xml:space="preserve"> </w:t>
    </w:r>
  </w:p>
  <w:p w:rsidR="00C4553C" w:rsidRDefault="00A232D2" w:rsidP="00C4553C">
    <w:pPr>
      <w:tabs>
        <w:tab w:val="left" w:pos="5490"/>
      </w:tabs>
      <w:rPr>
        <w:color w:val="808080"/>
      </w:rPr>
    </w:pPr>
    <w:r>
      <w:rPr>
        <w:color w:val="808080"/>
      </w:rPr>
      <w:t xml:space="preserve">     </w:t>
    </w:r>
  </w:p>
  <w:p w:rsidR="0001706C" w:rsidRPr="00C4553C" w:rsidRDefault="00C4553C" w:rsidP="0001706C">
    <w:pPr>
      <w:tabs>
        <w:tab w:val="left" w:pos="5490"/>
      </w:tabs>
      <w:rPr>
        <w:b/>
        <w:color w:val="808080"/>
        <w:sz w:val="18"/>
        <w:szCs w:val="18"/>
      </w:rPr>
    </w:pPr>
    <w:r>
      <w:rPr>
        <w:color w:val="808080"/>
      </w:rPr>
      <w:t xml:space="preserve">         </w:t>
    </w:r>
  </w:p>
  <w:p w:rsidR="00A232D2" w:rsidRPr="00C4553C" w:rsidRDefault="00A232D2" w:rsidP="00C4553C">
    <w:pPr>
      <w:pStyle w:val="Encabezado"/>
      <w:rPr>
        <w:b/>
        <w:color w:val="80808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1888"/>
    <w:multiLevelType w:val="hybridMultilevel"/>
    <w:tmpl w:val="C6CC1FE6"/>
    <w:lvl w:ilvl="0" w:tplc="343AFA3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06C"/>
    <w:rsid w:val="00013D22"/>
    <w:rsid w:val="0001706C"/>
    <w:rsid w:val="00021DE1"/>
    <w:rsid w:val="00024DC4"/>
    <w:rsid w:val="00032E3F"/>
    <w:rsid w:val="00036E1C"/>
    <w:rsid w:val="00046FE7"/>
    <w:rsid w:val="00052B6D"/>
    <w:rsid w:val="00074C32"/>
    <w:rsid w:val="00090372"/>
    <w:rsid w:val="0009470E"/>
    <w:rsid w:val="000A38A5"/>
    <w:rsid w:val="000A723E"/>
    <w:rsid w:val="000B27C7"/>
    <w:rsid w:val="000E35C8"/>
    <w:rsid w:val="000F0C4E"/>
    <w:rsid w:val="000F365A"/>
    <w:rsid w:val="00101FA8"/>
    <w:rsid w:val="001444E2"/>
    <w:rsid w:val="00151E60"/>
    <w:rsid w:val="00167589"/>
    <w:rsid w:val="001859D4"/>
    <w:rsid w:val="001946F6"/>
    <w:rsid w:val="001B33DA"/>
    <w:rsid w:val="001C7A7A"/>
    <w:rsid w:val="001E79F1"/>
    <w:rsid w:val="00200F77"/>
    <w:rsid w:val="00227DA2"/>
    <w:rsid w:val="0024203D"/>
    <w:rsid w:val="00285602"/>
    <w:rsid w:val="0029794A"/>
    <w:rsid w:val="002B0D3D"/>
    <w:rsid w:val="002B7CA9"/>
    <w:rsid w:val="002E352A"/>
    <w:rsid w:val="002E5AA1"/>
    <w:rsid w:val="00315A93"/>
    <w:rsid w:val="003358D7"/>
    <w:rsid w:val="00367D48"/>
    <w:rsid w:val="00391E00"/>
    <w:rsid w:val="003E3954"/>
    <w:rsid w:val="00417B83"/>
    <w:rsid w:val="004249E5"/>
    <w:rsid w:val="00425D55"/>
    <w:rsid w:val="00460FA2"/>
    <w:rsid w:val="004B60B4"/>
    <w:rsid w:val="004B7084"/>
    <w:rsid w:val="004D4213"/>
    <w:rsid w:val="004D6B5A"/>
    <w:rsid w:val="004E7375"/>
    <w:rsid w:val="004E7DD2"/>
    <w:rsid w:val="00530CA9"/>
    <w:rsid w:val="005322FB"/>
    <w:rsid w:val="00541F46"/>
    <w:rsid w:val="0056523B"/>
    <w:rsid w:val="005954C8"/>
    <w:rsid w:val="005D4560"/>
    <w:rsid w:val="006169FF"/>
    <w:rsid w:val="00635514"/>
    <w:rsid w:val="00646F77"/>
    <w:rsid w:val="00654ACF"/>
    <w:rsid w:val="00654C2C"/>
    <w:rsid w:val="006A04C6"/>
    <w:rsid w:val="006C302E"/>
    <w:rsid w:val="006E143D"/>
    <w:rsid w:val="006F3510"/>
    <w:rsid w:val="007023DE"/>
    <w:rsid w:val="00704638"/>
    <w:rsid w:val="00707A43"/>
    <w:rsid w:val="00707F2C"/>
    <w:rsid w:val="0071510E"/>
    <w:rsid w:val="00716938"/>
    <w:rsid w:val="00730705"/>
    <w:rsid w:val="0078457F"/>
    <w:rsid w:val="007A0228"/>
    <w:rsid w:val="007B2848"/>
    <w:rsid w:val="007D3648"/>
    <w:rsid w:val="007D71B0"/>
    <w:rsid w:val="00813A32"/>
    <w:rsid w:val="00845205"/>
    <w:rsid w:val="00867BFA"/>
    <w:rsid w:val="00876846"/>
    <w:rsid w:val="008A2A46"/>
    <w:rsid w:val="008C40E1"/>
    <w:rsid w:val="008C5189"/>
    <w:rsid w:val="008D1FEE"/>
    <w:rsid w:val="008E4DCF"/>
    <w:rsid w:val="00921048"/>
    <w:rsid w:val="00932B45"/>
    <w:rsid w:val="00954B40"/>
    <w:rsid w:val="009710CD"/>
    <w:rsid w:val="00996C8C"/>
    <w:rsid w:val="009A2406"/>
    <w:rsid w:val="009A2A23"/>
    <w:rsid w:val="009B2042"/>
    <w:rsid w:val="009E68AD"/>
    <w:rsid w:val="00A13BD6"/>
    <w:rsid w:val="00A1429D"/>
    <w:rsid w:val="00A232D2"/>
    <w:rsid w:val="00A363DB"/>
    <w:rsid w:val="00A420F2"/>
    <w:rsid w:val="00A44F05"/>
    <w:rsid w:val="00A50B67"/>
    <w:rsid w:val="00A712B4"/>
    <w:rsid w:val="00A8119C"/>
    <w:rsid w:val="00AC4431"/>
    <w:rsid w:val="00AE769E"/>
    <w:rsid w:val="00AF714E"/>
    <w:rsid w:val="00AF7D97"/>
    <w:rsid w:val="00B0145B"/>
    <w:rsid w:val="00B421F9"/>
    <w:rsid w:val="00B978CC"/>
    <w:rsid w:val="00BA1EBA"/>
    <w:rsid w:val="00BC282A"/>
    <w:rsid w:val="00BD3C44"/>
    <w:rsid w:val="00BE6560"/>
    <w:rsid w:val="00C062AA"/>
    <w:rsid w:val="00C069BE"/>
    <w:rsid w:val="00C208B0"/>
    <w:rsid w:val="00C232D5"/>
    <w:rsid w:val="00C36298"/>
    <w:rsid w:val="00C36EE2"/>
    <w:rsid w:val="00C4553C"/>
    <w:rsid w:val="00C552CB"/>
    <w:rsid w:val="00C553A8"/>
    <w:rsid w:val="00C67B9E"/>
    <w:rsid w:val="00C74516"/>
    <w:rsid w:val="00C75CCD"/>
    <w:rsid w:val="00C84497"/>
    <w:rsid w:val="00CE7628"/>
    <w:rsid w:val="00CF68EE"/>
    <w:rsid w:val="00D45266"/>
    <w:rsid w:val="00D45FE1"/>
    <w:rsid w:val="00D62B9B"/>
    <w:rsid w:val="00D655DD"/>
    <w:rsid w:val="00D67361"/>
    <w:rsid w:val="00D9343D"/>
    <w:rsid w:val="00DB6DFD"/>
    <w:rsid w:val="00DC74E7"/>
    <w:rsid w:val="00DD3D05"/>
    <w:rsid w:val="00DE406C"/>
    <w:rsid w:val="00DE649D"/>
    <w:rsid w:val="00E15546"/>
    <w:rsid w:val="00E23E09"/>
    <w:rsid w:val="00E361C2"/>
    <w:rsid w:val="00E57487"/>
    <w:rsid w:val="00EA3FD8"/>
    <w:rsid w:val="00EC0855"/>
    <w:rsid w:val="00EF0DDA"/>
    <w:rsid w:val="00F03AE3"/>
    <w:rsid w:val="00F04E92"/>
    <w:rsid w:val="00F23D80"/>
    <w:rsid w:val="00F97969"/>
    <w:rsid w:val="00FB0BE8"/>
    <w:rsid w:val="00FC0A49"/>
    <w:rsid w:val="00FD0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0170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0170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25391">
      <w:bodyDiv w:val="1"/>
      <w:marLeft w:val="0"/>
      <w:marRight w:val="0"/>
      <w:marTop w:val="0"/>
      <w:marBottom w:val="0"/>
      <w:divBdr>
        <w:top w:val="none" w:sz="0" w:space="0" w:color="auto"/>
        <w:left w:val="none" w:sz="0" w:space="0" w:color="auto"/>
        <w:bottom w:val="none" w:sz="0" w:space="0" w:color="auto"/>
        <w:right w:val="none" w:sz="0" w:space="0" w:color="auto"/>
      </w:divBdr>
    </w:div>
    <w:div w:id="1656564024">
      <w:bodyDiv w:val="1"/>
      <w:marLeft w:val="0"/>
      <w:marRight w:val="0"/>
      <w:marTop w:val="0"/>
      <w:marBottom w:val="0"/>
      <w:divBdr>
        <w:top w:val="none" w:sz="0" w:space="0" w:color="auto"/>
        <w:left w:val="none" w:sz="0" w:space="0" w:color="auto"/>
        <w:bottom w:val="none" w:sz="0" w:space="0" w:color="auto"/>
        <w:right w:val="none" w:sz="0" w:space="0" w:color="auto"/>
      </w:divBdr>
      <w:divsChild>
        <w:div w:id="1250699463">
          <w:marLeft w:val="0"/>
          <w:marRight w:val="0"/>
          <w:marTop w:val="0"/>
          <w:marBottom w:val="0"/>
          <w:divBdr>
            <w:top w:val="none" w:sz="0" w:space="0" w:color="auto"/>
            <w:left w:val="none" w:sz="0" w:space="0" w:color="auto"/>
            <w:bottom w:val="none" w:sz="0" w:space="0" w:color="auto"/>
            <w:right w:val="none" w:sz="0" w:space="0" w:color="auto"/>
          </w:divBdr>
          <w:divsChild>
            <w:div w:id="955914927">
              <w:marLeft w:val="0"/>
              <w:marRight w:val="0"/>
              <w:marTop w:val="0"/>
              <w:marBottom w:val="0"/>
              <w:divBdr>
                <w:top w:val="none" w:sz="0" w:space="0" w:color="auto"/>
                <w:left w:val="none" w:sz="0" w:space="0" w:color="auto"/>
                <w:bottom w:val="none" w:sz="0" w:space="0" w:color="auto"/>
                <w:right w:val="none" w:sz="0" w:space="0" w:color="auto"/>
              </w:divBdr>
              <w:divsChild>
                <w:div w:id="105391658">
                  <w:marLeft w:val="-225"/>
                  <w:marRight w:val="-225"/>
                  <w:marTop w:val="0"/>
                  <w:marBottom w:val="0"/>
                  <w:divBdr>
                    <w:top w:val="none" w:sz="0" w:space="0" w:color="auto"/>
                    <w:left w:val="none" w:sz="0" w:space="0" w:color="auto"/>
                    <w:bottom w:val="none" w:sz="0" w:space="0" w:color="auto"/>
                    <w:right w:val="none" w:sz="0" w:space="0" w:color="auto"/>
                  </w:divBdr>
                  <w:divsChild>
                    <w:div w:id="1135365989">
                      <w:marLeft w:val="0"/>
                      <w:marRight w:val="0"/>
                      <w:marTop w:val="0"/>
                      <w:marBottom w:val="0"/>
                      <w:divBdr>
                        <w:top w:val="none" w:sz="0" w:space="0" w:color="auto"/>
                        <w:left w:val="none" w:sz="0" w:space="0" w:color="auto"/>
                        <w:bottom w:val="none" w:sz="0" w:space="0" w:color="auto"/>
                        <w:right w:val="none" w:sz="0" w:space="0" w:color="auto"/>
                      </w:divBdr>
                      <w:divsChild>
                        <w:div w:id="1952518509">
                          <w:marLeft w:val="0"/>
                          <w:marRight w:val="0"/>
                          <w:marTop w:val="0"/>
                          <w:marBottom w:val="0"/>
                          <w:divBdr>
                            <w:top w:val="none" w:sz="0" w:space="0" w:color="auto"/>
                            <w:left w:val="none" w:sz="0" w:space="0" w:color="auto"/>
                            <w:bottom w:val="none" w:sz="0" w:space="0" w:color="auto"/>
                            <w:right w:val="none" w:sz="0" w:space="0" w:color="auto"/>
                          </w:divBdr>
                          <w:divsChild>
                            <w:div w:id="826629653">
                              <w:marLeft w:val="0"/>
                              <w:marRight w:val="0"/>
                              <w:marTop w:val="0"/>
                              <w:marBottom w:val="0"/>
                              <w:divBdr>
                                <w:top w:val="none" w:sz="0" w:space="0" w:color="auto"/>
                                <w:left w:val="none" w:sz="0" w:space="0" w:color="auto"/>
                                <w:bottom w:val="none" w:sz="0" w:space="0" w:color="auto"/>
                                <w:right w:val="none" w:sz="0" w:space="0" w:color="auto"/>
                              </w:divBdr>
                              <w:divsChild>
                                <w:div w:id="69934967">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480385632">
                          <w:marLeft w:val="0"/>
                          <w:marRight w:val="0"/>
                          <w:marTop w:val="0"/>
                          <w:marBottom w:val="0"/>
                          <w:divBdr>
                            <w:top w:val="none" w:sz="0" w:space="0" w:color="auto"/>
                            <w:left w:val="none" w:sz="0" w:space="0" w:color="auto"/>
                            <w:bottom w:val="none" w:sz="0" w:space="0" w:color="auto"/>
                            <w:right w:val="none" w:sz="0" w:space="0" w:color="auto"/>
                          </w:divBdr>
                          <w:divsChild>
                            <w:div w:id="1935239111">
                              <w:marLeft w:val="-225"/>
                              <w:marRight w:val="-225"/>
                              <w:marTop w:val="0"/>
                              <w:marBottom w:val="0"/>
                              <w:divBdr>
                                <w:top w:val="none" w:sz="0" w:space="0" w:color="auto"/>
                                <w:left w:val="none" w:sz="0" w:space="0" w:color="auto"/>
                                <w:bottom w:val="none" w:sz="0" w:space="0" w:color="auto"/>
                                <w:right w:val="none" w:sz="0" w:space="0" w:color="auto"/>
                              </w:divBdr>
                              <w:divsChild>
                                <w:div w:id="19167332">
                                  <w:marLeft w:val="0"/>
                                  <w:marRight w:val="0"/>
                                  <w:marTop w:val="0"/>
                                  <w:marBottom w:val="0"/>
                                  <w:divBdr>
                                    <w:top w:val="none" w:sz="0" w:space="0" w:color="auto"/>
                                    <w:left w:val="none" w:sz="0" w:space="0" w:color="auto"/>
                                    <w:bottom w:val="none" w:sz="0" w:space="0" w:color="auto"/>
                                    <w:right w:val="none" w:sz="0" w:space="0" w:color="auto"/>
                                  </w:divBdr>
                                </w:div>
                                <w:div w:id="923683042">
                                  <w:marLeft w:val="0"/>
                                  <w:marRight w:val="0"/>
                                  <w:marTop w:val="0"/>
                                  <w:marBottom w:val="0"/>
                                  <w:divBdr>
                                    <w:top w:val="none" w:sz="0" w:space="0" w:color="auto"/>
                                    <w:left w:val="none" w:sz="0" w:space="0" w:color="auto"/>
                                    <w:bottom w:val="none" w:sz="0" w:space="0" w:color="auto"/>
                                    <w:right w:val="none" w:sz="0" w:space="0" w:color="auto"/>
                                  </w:divBdr>
                                </w:div>
                                <w:div w:id="665014634">
                                  <w:marLeft w:val="0"/>
                                  <w:marRight w:val="0"/>
                                  <w:marTop w:val="0"/>
                                  <w:marBottom w:val="0"/>
                                  <w:divBdr>
                                    <w:top w:val="none" w:sz="0" w:space="0" w:color="auto"/>
                                    <w:left w:val="none" w:sz="0" w:space="0" w:color="auto"/>
                                    <w:bottom w:val="none" w:sz="0" w:space="0" w:color="auto"/>
                                    <w:right w:val="none" w:sz="0" w:space="0" w:color="auto"/>
                                  </w:divBdr>
                                </w:div>
                              </w:divsChild>
                            </w:div>
                            <w:div w:id="1081214709">
                              <w:marLeft w:val="-225"/>
                              <w:marRight w:val="-225"/>
                              <w:marTop w:val="0"/>
                              <w:marBottom w:val="0"/>
                              <w:divBdr>
                                <w:top w:val="none" w:sz="0" w:space="0" w:color="auto"/>
                                <w:left w:val="none" w:sz="0" w:space="0" w:color="auto"/>
                                <w:bottom w:val="none" w:sz="0" w:space="0" w:color="auto"/>
                                <w:right w:val="none" w:sz="0" w:space="0" w:color="auto"/>
                              </w:divBdr>
                              <w:divsChild>
                                <w:div w:id="1395933303">
                                  <w:marLeft w:val="0"/>
                                  <w:marRight w:val="0"/>
                                  <w:marTop w:val="0"/>
                                  <w:marBottom w:val="0"/>
                                  <w:divBdr>
                                    <w:top w:val="none" w:sz="0" w:space="0" w:color="auto"/>
                                    <w:left w:val="none" w:sz="0" w:space="0" w:color="auto"/>
                                    <w:bottom w:val="none" w:sz="0" w:space="0" w:color="auto"/>
                                    <w:right w:val="none" w:sz="0" w:space="0" w:color="auto"/>
                                  </w:divBdr>
                                </w:div>
                                <w:div w:id="941717624">
                                  <w:marLeft w:val="0"/>
                                  <w:marRight w:val="0"/>
                                  <w:marTop w:val="0"/>
                                  <w:marBottom w:val="0"/>
                                  <w:divBdr>
                                    <w:top w:val="none" w:sz="0" w:space="0" w:color="auto"/>
                                    <w:left w:val="none" w:sz="0" w:space="0" w:color="auto"/>
                                    <w:bottom w:val="none" w:sz="0" w:space="0" w:color="auto"/>
                                    <w:right w:val="none" w:sz="0" w:space="0" w:color="auto"/>
                                  </w:divBdr>
                                </w:div>
                              </w:divsChild>
                            </w:div>
                            <w:div w:id="182863901">
                              <w:marLeft w:val="-225"/>
                              <w:marRight w:val="-225"/>
                              <w:marTop w:val="0"/>
                              <w:marBottom w:val="0"/>
                              <w:divBdr>
                                <w:top w:val="none" w:sz="0" w:space="0" w:color="auto"/>
                                <w:left w:val="none" w:sz="0" w:space="0" w:color="auto"/>
                                <w:bottom w:val="none" w:sz="0" w:space="0" w:color="auto"/>
                                <w:right w:val="none" w:sz="0" w:space="0" w:color="auto"/>
                              </w:divBdr>
                              <w:divsChild>
                                <w:div w:id="1659649692">
                                  <w:marLeft w:val="0"/>
                                  <w:marRight w:val="0"/>
                                  <w:marTop w:val="0"/>
                                  <w:marBottom w:val="0"/>
                                  <w:divBdr>
                                    <w:top w:val="none" w:sz="0" w:space="0" w:color="auto"/>
                                    <w:left w:val="none" w:sz="0" w:space="0" w:color="auto"/>
                                    <w:bottom w:val="none" w:sz="0" w:space="0" w:color="auto"/>
                                    <w:right w:val="none" w:sz="0" w:space="0" w:color="auto"/>
                                  </w:divBdr>
                                </w:div>
                              </w:divsChild>
                            </w:div>
                            <w:div w:id="42608950">
                              <w:marLeft w:val="-225"/>
                              <w:marRight w:val="-225"/>
                              <w:marTop w:val="0"/>
                              <w:marBottom w:val="0"/>
                              <w:divBdr>
                                <w:top w:val="none" w:sz="0" w:space="0" w:color="auto"/>
                                <w:left w:val="none" w:sz="0" w:space="0" w:color="auto"/>
                                <w:bottom w:val="none" w:sz="0" w:space="0" w:color="auto"/>
                                <w:right w:val="none" w:sz="0" w:space="0" w:color="auto"/>
                              </w:divBdr>
                              <w:divsChild>
                                <w:div w:id="6218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gunto.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o.fernandez\Desktop\S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Sello</Template>
  <TotalTime>10</TotalTime>
  <Pages>2</Pages>
  <Words>645</Words>
  <Characters>3551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AJUNTAMENT DE SAGUNT</vt:lpstr>
    </vt:vector>
  </TitlesOfParts>
  <Company>Hewlett-Packard Company</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SAGUNT</dc:title>
  <dc:creator>Consell Agrari (Alejandro Fernández Fortuño)</dc:creator>
  <cp:lastModifiedBy>Consell Agrari (Alejandro Fernández Fortuño)</cp:lastModifiedBy>
  <cp:revision>1</cp:revision>
  <cp:lastPrinted>2018-12-03T12:06:00Z</cp:lastPrinted>
  <dcterms:created xsi:type="dcterms:W3CDTF">2022-06-16T09:35:00Z</dcterms:created>
  <dcterms:modified xsi:type="dcterms:W3CDTF">2022-06-16T09:46:00Z</dcterms:modified>
</cp:coreProperties>
</file>