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numPr>
          <w:ilvl w:val="0"/>
          <w:numId w:val="0"/>
        </w:numPr>
        <w:spacing w:lineRule="auto" w:line="360"/>
        <w:ind w:left="0" w:right="0" w:hanging="0"/>
        <w:jc w:val="center"/>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ind w:left="0" w:right="-2" w:hanging="0"/>
        <w:jc w:val="both"/>
        <w:rPr/>
      </w:pPr>
      <w:r>
        <w:rPr>
          <w:rFonts w:cs="Times New Roman" w:ascii="Times New Roman" w:hAnsi="Times New Roman"/>
          <w:b/>
          <w:bCs/>
          <w:sz w:val="24"/>
          <w:szCs w:val="24"/>
          <w:u w:val="single"/>
        </w:rPr>
        <w:t>CONVOCATORIA DE SUBVENCIÓN BONOS DESCUENTO PARA INCENTIVAR EL CONSUMO EN COMERCIOS Y SERVICIOS DE SUMACÀRCER DENTRO DE LA CAMPAÑA DENOMINADA “</w:t>
      </w:r>
      <w:r>
        <w:rPr>
          <w:rFonts w:cs="Times New Roman" w:ascii="Times New Roman" w:hAnsi="Times New Roman"/>
          <w:b/>
          <w:bCs/>
          <w:sz w:val="28"/>
          <w:szCs w:val="28"/>
          <w:u w:val="single"/>
        </w:rPr>
        <w:t xml:space="preserve">JO COMPRE A SUMACÀRCER 2022”. </w:t>
      </w:r>
    </w:p>
    <w:p>
      <w:pPr>
        <w:pStyle w:val="Normal"/>
        <w:ind w:left="0" w:right="-2" w:hanging="0"/>
        <w:jc w:val="both"/>
        <w:rPr>
          <w:rFonts w:ascii="Times New Roman" w:hAnsi="Times New Roman" w:cs="Times New Roman"/>
          <w:b/>
          <w:b/>
          <w:bCs/>
          <w:sz w:val="28"/>
          <w:szCs w:val="28"/>
          <w:u w:val="single"/>
        </w:rPr>
      </w:pPr>
      <w:r>
        <w:rPr>
          <w:rFonts w:cs="Times New Roman" w:ascii="Times New Roman" w:hAnsi="Times New Roman"/>
          <w:b/>
          <w:bCs/>
          <w:sz w:val="28"/>
          <w:szCs w:val="28"/>
          <w:u w:val="single"/>
        </w:rPr>
      </w:r>
    </w:p>
    <w:p>
      <w:pPr>
        <w:pStyle w:val="Normal"/>
        <w:ind w:left="0" w:right="-2" w:hanging="0"/>
        <w:jc w:val="both"/>
        <w:rPr>
          <w:rFonts w:ascii="Times New Roman" w:hAnsi="Times New Roman" w:cs="Times New Roman"/>
          <w:b/>
          <w:b/>
          <w:bCs/>
          <w:sz w:val="24"/>
          <w:szCs w:val="24"/>
          <w:u w:val="single"/>
        </w:rPr>
      </w:pPr>
      <w:r>
        <w:rPr>
          <w:rFonts w:cs="Times New Roman" w:ascii="Times New Roman" w:hAnsi="Times New Roman"/>
          <w:b/>
          <w:bCs/>
          <w:sz w:val="24"/>
          <w:szCs w:val="24"/>
          <w:u w:val="single"/>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1. OBJETO DE LA CONVOCATORIA</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jc w:val="both"/>
        <w:rPr/>
      </w:pPr>
      <w:r>
        <w:rPr>
          <w:rFonts w:cs="Times New Roman" w:ascii="Times New Roman" w:hAnsi="Times New Roman"/>
          <w:sz w:val="24"/>
          <w:szCs w:val="24"/>
        </w:rPr>
        <w:t xml:space="preserve">La presente convocatoria tiene por objeto desarrollar el procedimiento para la concesión, en régimen de concesión directa de ayudas en forma de bonos descuento dentro de las acciones que, desde la concejalía de comercio, se están llevando a cabo en la </w:t>
      </w:r>
      <w:r>
        <w:rPr>
          <w:rFonts w:cs="Times New Roman" w:ascii="Times New Roman" w:hAnsi="Times New Roman"/>
          <w:b/>
          <w:bCs/>
          <w:sz w:val="24"/>
          <w:szCs w:val="24"/>
        </w:rPr>
        <w:t>campaña “ Jo Compre a Sumacàrcer 2022”</w:t>
      </w:r>
      <w:r>
        <w:rPr>
          <w:rFonts w:cs="Times New Roman" w:ascii="Times New Roman" w:hAnsi="Times New Roman"/>
          <w:sz w:val="24"/>
          <w:szCs w:val="24"/>
        </w:rPr>
        <w:t xml:space="preserve"> de apoyo e impulso a la economía local a raíz de la crisis Covid-19. </w:t>
      </w:r>
    </w:p>
    <w:p>
      <w:pPr>
        <w:pStyle w:val="Default"/>
        <w:jc w:val="both"/>
        <w:rPr>
          <w:rFonts w:ascii="Times New Roman" w:hAnsi="Times New Roman" w:cs="Times New Roman"/>
          <w:sz w:val="24"/>
          <w:szCs w:val="24"/>
        </w:rPr>
      </w:pPr>
      <w:r>
        <w:rPr>
          <w:rFonts w:cs="Times New Roman" w:ascii="Times New Roman" w:hAnsi="Times New Roman"/>
          <w:sz w:val="24"/>
          <w:szCs w:val="24"/>
        </w:rPr>
      </w:r>
    </w:p>
    <w:p>
      <w:pPr>
        <w:pStyle w:val="Normal"/>
        <w:ind w:left="0" w:right="-2" w:hanging="0"/>
        <w:jc w:val="both"/>
        <w:rPr/>
      </w:pPr>
      <w:r>
        <w:rPr>
          <w:rFonts w:cs="Times New Roman" w:ascii="Times New Roman" w:hAnsi="Times New Roman"/>
          <w:strike w:val="false"/>
          <w:dstrike w:val="false"/>
          <w:sz w:val="24"/>
          <w:szCs w:val="24"/>
          <w:u w:val="none"/>
        </w:rPr>
        <w:t xml:space="preserve">Esta iniciativa tiene tanto el objetivo de apoyar e impulsar la economía local de nuestro </w:t>
      </w:r>
      <w:r>
        <w:rPr>
          <w:rFonts w:eastAsia="Lucida Sans Unicode" w:cs="Times New Roman" w:ascii="Times New Roman" w:hAnsi="Times New Roman"/>
          <w:strike w:val="false"/>
          <w:dstrike w:val="false"/>
          <w:color w:val="auto"/>
          <w:kern w:val="2"/>
          <w:sz w:val="24"/>
          <w:szCs w:val="24"/>
          <w:u w:val="none"/>
          <w:lang w:val="es-ES" w:eastAsia="zxx" w:bidi="zxx"/>
        </w:rPr>
        <w:t>municipio</w:t>
      </w:r>
      <w:r>
        <w:rPr>
          <w:rFonts w:cs="Times New Roman" w:ascii="Times New Roman" w:hAnsi="Times New Roman"/>
          <w:strike w:val="false"/>
          <w:dstrike w:val="false"/>
          <w:sz w:val="24"/>
          <w:szCs w:val="24"/>
          <w:u w:val="none"/>
        </w:rPr>
        <w:t xml:space="preserve"> a través de la promoción de las compras en el comercio y establecimientos de servicios de Sumacàrcer así como sensibilizar a la población sobre la importancia que tiene activar el consumo local, cuyo beneficio repercute en todo el municipio. </w:t>
      </w:r>
    </w:p>
    <w:p>
      <w:pPr>
        <w:pStyle w:val="Normal"/>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2. ÓRGANO COMPETENTE PARA LA ORDENACIÓN, INSTRUCCIÓN Y RESOLUCIÓN DEL PROCEDIMIENTO DE SUBVENCIONES</w:t>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jc w:val="both"/>
        <w:rPr/>
      </w:pPr>
      <w:r>
        <w:rPr>
          <w:rFonts w:eastAsia="DejaVu Sans" w:cs="DejaVu Sans"/>
        </w:rPr>
        <w:t xml:space="preserve"> </w:t>
      </w:r>
      <w:r>
        <w:rPr>
          <w:rFonts w:cs="Times New Roman" w:ascii="Times New Roman" w:hAnsi="Times New Roman"/>
          <w:sz w:val="24"/>
          <w:szCs w:val="24"/>
        </w:rPr>
        <w:t xml:space="preserve">Será competente para la concesión de ayudas, como órgano facultado para la autorización y disposición del gasto correspondiente,el Alcalde del Ayuntamiento de Sumacàrcer. </w:t>
      </w:r>
    </w:p>
    <w:p>
      <w:pPr>
        <w:pStyle w:val="Default"/>
        <w:jc w:val="both"/>
        <w:rPr/>
      </w:pPr>
      <w:r>
        <w:rPr/>
      </w:r>
    </w:p>
    <w:p>
      <w:pPr>
        <w:pStyle w:val="Default"/>
        <w:jc w:val="both"/>
        <w:rPr>
          <w:rFonts w:ascii="Times New Roman" w:hAnsi="Times New Roman" w:cs="Times New Roman"/>
          <w:sz w:val="24"/>
          <w:szCs w:val="24"/>
        </w:rPr>
      </w:pPr>
      <w:r>
        <w:rPr>
          <w:rFonts w:cs="Times New Roman" w:ascii="Times New Roman" w:hAnsi="Times New Roman"/>
          <w:sz w:val="24"/>
          <w:szCs w:val="24"/>
        </w:rPr>
        <w:t xml:space="preserve">El procedimiento ordinario de concesión de estas ayudas se tramitará en régimen de concesión directa por razón de interés público, social, y económico conforme al art. 22.2 c) de la Ley 38/2003 de 17 de noviembre, General de Subvenciones. </w:t>
      </w:r>
    </w:p>
    <w:p>
      <w:pPr>
        <w:pStyle w:val="Default"/>
        <w:jc w:val="both"/>
        <w:rPr/>
      </w:pPr>
      <w:r>
        <w:rPr/>
      </w:r>
    </w:p>
    <w:p>
      <w:pPr>
        <w:pStyle w:val="Defaul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3. BASES REGULADORAS</w:t>
      </w:r>
    </w:p>
    <w:p>
      <w:pPr>
        <w:pStyle w:val="Normal"/>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autoSpaceDE w:val="false"/>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La convocatoria se regirá, con carácter general, por lo dispuesto en las bases reguladoras, en la Ordenanza General de Subvenciones, en la Ley 38/2003, de 17 de noviembre, General de Subvenciones (en adelante LGS), su Reglamento de desarrollo, aprobado por Real Decreto 887/2006, de 21 de julio (en adelante RLGS),  así como por las Bases de ejecución del Presupuesto Municipal para el ejercicio 2021 aprobadas junto con el Presupuesto Municipal y, supletoriamente, en la Ley 39/2015, de 1 de octubre, del Procedimiento Administrativo Común de las Administraciones Públicas y cualquier otra disposición normativa que por su naturaleza pudiera resultar de aplicación.</w:t>
      </w:r>
    </w:p>
    <w:p>
      <w:pPr>
        <w:pStyle w:val="Normal"/>
        <w:widowControl/>
        <w:autoSpaceDE w:val="false"/>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4. CRÉDITO PRESUPUESTARIO, CUANTÍA TOTAL MÁXIMA, Y CUANTÍA INDIVIDUALIZADA.</w:t>
      </w:r>
    </w:p>
    <w:p>
      <w:pPr>
        <w:pStyle w:val="Normal"/>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Default"/>
        <w:ind w:left="0" w:right="-2" w:hanging="0"/>
        <w:jc w:val="both"/>
        <w:rPr/>
      </w:pPr>
      <w:r>
        <w:rPr>
          <w:rFonts w:cs="Times New Roman" w:ascii="Times New Roman" w:hAnsi="Times New Roman"/>
          <w:sz w:val="24"/>
          <w:szCs w:val="24"/>
        </w:rPr>
        <w:t xml:space="preserve">La cuantía total máxima convocada asciende a un importe de </w:t>
      </w:r>
      <w:r>
        <w:rPr>
          <w:rFonts w:eastAsia="SimSun" w:cs="Times New Roman" w:ascii="Times New Roman" w:hAnsi="Times New Roman"/>
          <w:color w:val="000000"/>
          <w:kern w:val="2"/>
          <w:sz w:val="24"/>
          <w:szCs w:val="24"/>
          <w:lang w:val="es-ES" w:eastAsia="zh-CN" w:bidi="hi-IN"/>
        </w:rPr>
        <w:t>10.000</w:t>
      </w:r>
      <w:r>
        <w:rPr>
          <w:rFonts w:cs="Times New Roman" w:ascii="Times New Roman" w:hAnsi="Times New Roman"/>
          <w:sz w:val="24"/>
          <w:szCs w:val="24"/>
        </w:rPr>
        <w:t xml:space="preserve"> € del vigente presupuesto municipal contemplado en la aplicación presupuestaria </w:t>
      </w:r>
      <w:r>
        <w:rPr>
          <w:rFonts w:cs="Times New Roman" w:ascii="Times New Roman" w:hAnsi="Times New Roman"/>
          <w:sz w:val="24"/>
          <w:szCs w:val="24"/>
          <w:shd w:fill="auto" w:val="clear"/>
        </w:rPr>
        <w:t>4310.226.02.</w:t>
      </w:r>
    </w:p>
    <w:p>
      <w:pPr>
        <w:pStyle w:val="Default"/>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Normal"/>
        <w:ind w:left="0" w:right="-2" w:hanging="0"/>
        <w:jc w:val="both"/>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Se repartirán 5 bonos descuento por importe de 1€ y 3 bonos-descuento por importe de 5€ a cada domicilio del municipio.</w:t>
      </w:r>
    </w:p>
    <w:p>
      <w:pPr>
        <w:pStyle w:val="Normal"/>
        <w:ind w:left="0" w:right="-2" w:hanging="0"/>
        <w:jc w:val="both"/>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r>
    </w:p>
    <w:p>
      <w:pPr>
        <w:pStyle w:val="Normal"/>
        <w:ind w:left="0" w:right="-2" w:hanging="0"/>
        <w:jc w:val="both"/>
        <w:rPr/>
      </w:pPr>
      <w:r>
        <w:rPr>
          <w:rFonts w:eastAsia="Times New Roman" w:cs="Times New Roman" w:ascii="Times New Roman" w:hAnsi="Times New Roman"/>
          <w:strike w:val="false"/>
          <w:dstrike w:val="false"/>
          <w:sz w:val="24"/>
          <w:szCs w:val="24"/>
          <w:u w:val="none"/>
          <w:shd w:fill="auto" w:val="clear"/>
        </w:rPr>
        <w:t xml:space="preserve"> </w:t>
      </w:r>
      <w:r>
        <w:rPr>
          <w:rFonts w:cs="Times New Roman" w:ascii="Times New Roman" w:hAnsi="Times New Roman"/>
          <w:strike w:val="false"/>
          <w:dstrike w:val="false"/>
          <w:sz w:val="24"/>
          <w:szCs w:val="24"/>
          <w:u w:val="none"/>
          <w:shd w:fill="auto" w:val="clear"/>
        </w:rPr>
        <w:t xml:space="preserve">Cada establecimiento adherido recibirá una subvención equivalente al importe total de bonos canjeados en su establecimiento. </w:t>
      </w:r>
    </w:p>
    <w:p>
      <w:pPr>
        <w:pStyle w:val="Normal"/>
        <w:ind w:left="0" w:right="-2" w:hanging="0"/>
        <w:jc w:val="both"/>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5. REQUISITOS PARA OBTENER LA CONDICIÓN DE BENEFICIARIO</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t>a) Podrán participar en esta convocatoria los comercios minoristas, establecimientos de  servicios de Sumacàrcer que se encuentren en la situación que fundamente la concesión de la subvención y en los que concurran las circunstancias previstas a continuación.</w:t>
      </w:r>
    </w:p>
    <w:p>
      <w:pPr>
        <w:pStyle w:val="Default"/>
        <w:ind w:left="0" w:right="0" w:hanging="0"/>
        <w:rPr>
          <w:rFonts w:ascii="Times New Roman" w:hAnsi="Times New Roman" w:cs="Times New Roman"/>
          <w:sz w:val="24"/>
          <w:szCs w:val="24"/>
        </w:rPr>
      </w:pPr>
      <w:r>
        <w:rPr>
          <w:rFonts w:cs="Times New Roman" w:ascii="Times New Roman" w:hAnsi="Times New Roman"/>
          <w:sz w:val="24"/>
          <w:szCs w:val="24"/>
        </w:rPr>
      </w:r>
    </w:p>
    <w:p>
      <w:pPr>
        <w:pStyle w:val="Default"/>
        <w:ind w:left="0" w:right="0" w:hanging="0"/>
        <w:rPr>
          <w:rFonts w:ascii="Times New Roman" w:hAnsi="Times New Roman" w:cs="Times New Roman"/>
          <w:sz w:val="24"/>
          <w:szCs w:val="24"/>
        </w:rPr>
      </w:pPr>
      <w:r>
        <w:rPr>
          <w:rFonts w:cs="Times New Roman" w:ascii="Times New Roman" w:hAnsi="Times New Roman"/>
          <w:sz w:val="24"/>
          <w:szCs w:val="24"/>
        </w:rPr>
        <w:t xml:space="preserve">b) Podrán concurrir a la convocatoria todos aquellos establecimientos que figuren de alta en el Impuesto de Actividades Económicas en el municipio de Sumacàrcer  y que además, tengan un local determinado y abierto al público. </w:t>
      </w:r>
    </w:p>
    <w:p>
      <w:pPr>
        <w:pStyle w:val="Default"/>
        <w:ind w:left="0" w:right="0" w:hanging="0"/>
        <w:rPr>
          <w:rFonts w:ascii="Times New Roman" w:hAnsi="Times New Roman" w:cs="Times New Roman"/>
          <w:sz w:val="24"/>
          <w:szCs w:val="24"/>
        </w:rPr>
      </w:pPr>
      <w:r>
        <w:rPr>
          <w:rFonts w:cs="Times New Roman" w:ascii="Times New Roman" w:hAnsi="Times New Roman"/>
          <w:sz w:val="24"/>
          <w:szCs w:val="24"/>
        </w:rPr>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t>c) Además, la persona titular del establecimiento debe tener la consideración de autónoma, microempresa o pyme (pequeña y mediana empresa) ubicada en Sumacàrcer .</w:t>
      </w:r>
    </w:p>
    <w:p>
      <w:pPr>
        <w:pStyle w:val="Default"/>
        <w:ind w:left="0" w:right="0" w:hanging="0"/>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rPr/>
      </w:pPr>
      <w:r>
        <w:rPr>
          <w:rFonts w:cs="Times New Roman" w:ascii="Times New Roman" w:hAnsi="Times New Roman"/>
          <w:sz w:val="24"/>
          <w:szCs w:val="24"/>
        </w:rPr>
        <w:t>d) Quedan</w:t>
      </w:r>
      <w:r>
        <w:rPr>
          <w:rFonts w:cs="Times New Roman" w:ascii="Times New Roman" w:hAnsi="Times New Roman"/>
          <w:b/>
          <w:bCs/>
          <w:sz w:val="24"/>
          <w:szCs w:val="24"/>
          <w:u w:val="single"/>
        </w:rPr>
        <w:t xml:space="preserve"> expresamente excluidas</w:t>
      </w:r>
      <w:r>
        <w:rPr>
          <w:rFonts w:cs="Times New Roman" w:ascii="Times New Roman" w:hAnsi="Times New Roman"/>
          <w:sz w:val="24"/>
          <w:szCs w:val="24"/>
        </w:rPr>
        <w:t xml:space="preserve"> de esta convocatoria:</w:t>
      </w:r>
    </w:p>
    <w:p>
      <w:pPr>
        <w:pStyle w:val="Default"/>
        <w:spacing w:before="0" w:after="0"/>
        <w:ind w:left="0" w:right="0" w:hanging="0"/>
        <w:rPr>
          <w:rFonts w:ascii="Times New Roman" w:hAnsi="Times New Roman" w:cs="Times New Roman"/>
          <w:sz w:val="24"/>
          <w:szCs w:val="24"/>
        </w:rPr>
      </w:pPr>
      <w:r>
        <w:rPr>
          <w:rFonts w:cs="Times New Roman" w:ascii="Times New Roman" w:hAnsi="Times New Roman"/>
          <w:sz w:val="24"/>
          <w:szCs w:val="24"/>
        </w:rPr>
      </w:r>
    </w:p>
    <w:p>
      <w:pPr>
        <w:pStyle w:val="Default"/>
        <w:rPr>
          <w:rFonts w:ascii="Times New Roman" w:hAnsi="Times New Roman" w:cs="Times New Roman"/>
          <w:sz w:val="24"/>
          <w:szCs w:val="24"/>
          <w:shd w:fill="auto" w:val="clear"/>
        </w:rPr>
      </w:pPr>
      <w:r>
        <w:rPr>
          <w:rFonts w:cs="Times New Roman" w:ascii="Times New Roman" w:hAnsi="Times New Roman"/>
          <w:sz w:val="24"/>
          <w:szCs w:val="24"/>
          <w:shd w:fill="auto" w:val="clear"/>
        </w:rPr>
        <w:t xml:space="preserve">- Asociaciones, Fundaciones y Uniones Temporales de Empresas </w:t>
      </w:r>
    </w:p>
    <w:p>
      <w:pPr>
        <w:pStyle w:val="Default"/>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-Administraciones públicas, sus organismos autónomos, las empresas públicas y otros entes públicos. </w:t>
      </w:r>
    </w:p>
    <w:p>
      <w:pPr>
        <w:pStyle w:val="Default"/>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 Entidades sin ánimo de lucro </w:t>
      </w:r>
    </w:p>
    <w:p>
      <w:pPr>
        <w:pStyle w:val="Default"/>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 Locales de apuestas y salones de juegos. </w:t>
      </w:r>
    </w:p>
    <w:p>
      <w:pPr>
        <w:pStyle w:val="Default"/>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 Locales de alterne. </w:t>
      </w:r>
    </w:p>
    <w:p>
      <w:pPr>
        <w:pStyle w:val="Normal"/>
        <w:ind w:left="0" w:right="-2" w:hanging="0"/>
        <w:jc w:val="both"/>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Grandes superficies comerciales (entendiéndose el centro comercial, no los comercios que se encuentren en sus galerías).</w:t>
      </w:r>
    </w:p>
    <w:p>
      <w:pPr>
        <w:pStyle w:val="Default"/>
        <w:ind w:left="0" w:right="-2" w:hanging="0"/>
        <w:jc w:val="both"/>
        <w:rPr>
          <w:rFonts w:ascii="Times New Roman" w:hAnsi="Times New Roman" w:cs="Times New Roman"/>
          <w:b w:val="false"/>
          <w:b w:val="false"/>
          <w:bCs w:val="false"/>
          <w:sz w:val="24"/>
          <w:szCs w:val="24"/>
          <w:shd w:fill="auto" w:val="clear"/>
        </w:rPr>
      </w:pPr>
      <w:r>
        <w:rPr>
          <w:rFonts w:cs="Times New Roman" w:ascii="Times New Roman" w:hAnsi="Times New Roman"/>
          <w:b w:val="false"/>
          <w:bCs w:val="false"/>
          <w:sz w:val="24"/>
          <w:szCs w:val="24"/>
          <w:shd w:fill="auto" w:val="clear"/>
        </w:rPr>
        <w:t xml:space="preserve">- Negocios de banca, crédito, seguros, asesorías e inmobiliarias. </w:t>
      </w:r>
    </w:p>
    <w:p>
      <w:pPr>
        <w:pStyle w:val="Default"/>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 Gasolineras. </w:t>
      </w:r>
    </w:p>
    <w:p>
      <w:pPr>
        <w:pStyle w:val="Default"/>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t>e) No estar incursa en ninguna de las prohibiciones para obtener la condición de beneficiaria de subvenciones.</w:t>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jc w:val="both"/>
        <w:rPr/>
      </w:pPr>
      <w:r>
        <w:rPr>
          <w:rFonts w:eastAsia="SimSun" w:cs="Times New Roman" w:ascii="Times New Roman" w:hAnsi="Times New Roman"/>
          <w:color w:val="000000"/>
          <w:kern w:val="2"/>
          <w:sz w:val="24"/>
          <w:szCs w:val="24"/>
          <w:lang w:val="es-ES" w:eastAsia="zh-CN" w:bidi="hi-IN"/>
        </w:rPr>
        <w:t>f</w:t>
      </w:r>
      <w:r>
        <w:rPr>
          <w:rFonts w:cs="Times New Roman" w:ascii="Times New Roman" w:hAnsi="Times New Roman"/>
          <w:sz w:val="24"/>
          <w:szCs w:val="24"/>
        </w:rPr>
        <w:t xml:space="preserve">) Estar al corriente de pago en sus obligaciones con Hacienda, Seguridad Social y con el Ayuntamiento de Sumacàrcer en el momento en que se dicte la resolución de la concesión de la subvención. </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6. LUGAR Y PLAZO DE PRESENTACIÓN DE LA SOLICITUD DE ADHESIÓN</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 xml:space="preserve">Los establecimientos interesados en adherirse a esta campaña “ Jo Compre a Sumacàrcer 2022” deberán presentar su solicitud en el registro del Ayuntamiento de Sumacàrcer. Los modelos de solicitud y los de la documentación a presentar estarán disponibles en la página www.sumacarcer.es. </w:t>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jc w:val="both"/>
        <w:rPr/>
      </w:pPr>
      <w:r>
        <w:rPr>
          <w:rFonts w:cs="Times New Roman" w:ascii="Times New Roman" w:hAnsi="Times New Roman"/>
          <w:b/>
          <w:bCs/>
          <w:strike w:val="false"/>
          <w:dstrike w:val="false"/>
          <w:sz w:val="24"/>
          <w:szCs w:val="24"/>
          <w:u w:val="none"/>
        </w:rPr>
        <w:t xml:space="preserve">El plazo de solicitud de adhesión será de 10 días hábiles </w:t>
      </w:r>
      <w:r>
        <w:rPr>
          <w:rFonts w:cs="Times New Roman" w:ascii="Times New Roman" w:hAnsi="Times New Roman"/>
          <w:strike w:val="false"/>
          <w:dstrike w:val="false"/>
          <w:sz w:val="24"/>
          <w:szCs w:val="24"/>
          <w:u w:val="none"/>
        </w:rPr>
        <w:t xml:space="preserve">contados a partir del día siguiente a la publicación de esta convocatoria en el Boletín Oficial de la Provincia de Valencia. Al finalizar este plazo el Ayuntamiento de Sumacàrcer comprobará de oficio que los establecimientos han presentado la documentación correctamente y publicará la lista de establecimientos adheridos en la página web de referencia antes citada. Si la solicitud no reúne los requisitos establecidos en la convocatoria se requerirá a la persona interesada para que en un plazo de 7 días hábiles subsane la falta o acompañe los documentos preceptivos, con indicación de que si así no lo hiciera, se le tendrá por desistido de su petición. </w:t>
      </w:r>
    </w:p>
    <w:p>
      <w:pPr>
        <w:pStyle w:val="Default"/>
        <w:rPr>
          <w:rFonts w:ascii="Times New Roman" w:hAnsi="Times New Roman" w:cs="Times New Roman"/>
          <w:sz w:val="24"/>
          <w:szCs w:val="24"/>
        </w:rPr>
      </w:pPr>
      <w:r>
        <w:rPr>
          <w:rFonts w:cs="Times New Roman" w:ascii="Times New Roman" w:hAnsi="Times New Roman"/>
          <w:sz w:val="24"/>
          <w:szCs w:val="24"/>
        </w:rPr>
      </w:r>
    </w:p>
    <w:p>
      <w:pPr>
        <w:pStyle w:val="Default"/>
        <w:rPr>
          <w:rFonts w:ascii="Times New Roman" w:hAnsi="Times New Roman" w:cs="Times New Roman"/>
          <w:strike w:val="false"/>
          <w:dstrike w:val="false"/>
          <w:sz w:val="24"/>
          <w:szCs w:val="24"/>
          <w:u w:val="none"/>
        </w:rPr>
      </w:pPr>
      <w:r>
        <w:rPr>
          <w:rFonts w:cs="Times New Roman" w:ascii="Times New Roman" w:hAnsi="Times New Roman"/>
          <w:strike w:val="false"/>
          <w:dstrike w:val="false"/>
          <w:sz w:val="24"/>
          <w:szCs w:val="24"/>
          <w:u w:val="none"/>
        </w:rPr>
        <w:t xml:space="preserve">La presentación de la solicitud de adhesión supone la aceptación de la totalidad de las bases que rigen esta convocatoria. </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7. DOCUMENTACIÓN A PRESENTAR</w:t>
      </w:r>
    </w:p>
    <w:p>
      <w:pPr>
        <w:pStyle w:val="Normal"/>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Default"/>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Los establecimientos interesados en adherirse a esta campaña deberán presentar la siguiente documentación: </w:t>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0" w:hanging="0"/>
        <w:rPr>
          <w:rFonts w:ascii="Times New Roman" w:hAnsi="Times New Roman" w:cs="Times New Roman"/>
          <w:strike w:val="false"/>
          <w:dstrike w:val="false"/>
          <w:sz w:val="24"/>
          <w:szCs w:val="24"/>
          <w:u w:val="none"/>
        </w:rPr>
      </w:pPr>
      <w:r>
        <w:rPr>
          <w:rFonts w:cs="Times New Roman" w:ascii="Times New Roman" w:hAnsi="Times New Roman"/>
          <w:strike w:val="false"/>
          <w:dstrike w:val="false"/>
          <w:sz w:val="24"/>
          <w:szCs w:val="24"/>
          <w:u w:val="none"/>
        </w:rPr>
        <w:t xml:space="preserve">a) Solicitud cumplimentada conforme al ANEXO I </w:t>
      </w:r>
    </w:p>
    <w:p>
      <w:pPr>
        <w:pStyle w:val="Default"/>
        <w:ind w:left="0" w:right="0" w:hanging="0"/>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rPr/>
      </w:pPr>
      <w:r>
        <w:rPr>
          <w:rFonts w:cs="Times New Roman" w:ascii="Times New Roman" w:hAnsi="Times New Roman"/>
          <w:strike w:val="false"/>
          <w:dstrike w:val="false"/>
          <w:sz w:val="24"/>
          <w:szCs w:val="24"/>
          <w:u w:val="none"/>
        </w:rPr>
        <w:t xml:space="preserve">b) </w:t>
      </w:r>
      <w:r>
        <w:rPr>
          <w:rFonts w:cs="Times New Roman" w:ascii="Times New Roman" w:hAnsi="Times New Roman"/>
          <w:sz w:val="24"/>
          <w:szCs w:val="24"/>
        </w:rPr>
        <w:t xml:space="preserve">ANEXO II que incluirá: </w:t>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t xml:space="preserve">- Declaración responsable de que reúne los requisitos generales para obtener la condición de beneficiaria </w:t>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t>- Declaración responsable en la que se haga constar que el solicitante no se halla incurso en ninguna prohibición.</w:t>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rPr>
          <w:rFonts w:ascii="Times New Roman" w:hAnsi="Times New Roman" w:cs="Times New Roman"/>
          <w:sz w:val="24"/>
          <w:szCs w:val="24"/>
        </w:rPr>
      </w:pPr>
      <w:r>
        <w:rPr>
          <w:rFonts w:cs="Times New Roman" w:ascii="Times New Roman" w:hAnsi="Times New Roman"/>
          <w:sz w:val="24"/>
          <w:szCs w:val="24"/>
        </w:rPr>
        <w:t>c) Documento que acredite que el solicitante es titular de la cuenta bancaria en la que se abonará el pago de la subvención: conforme al ANEXO III.</w:t>
      </w:r>
    </w:p>
    <w:p>
      <w:pPr>
        <w:pStyle w:val="Default"/>
        <w:spacing w:before="0" w:after="0"/>
        <w:ind w:left="0" w:right="0" w:hanging="0"/>
        <w:rPr/>
      </w:pPr>
      <w:r>
        <w:rPr/>
      </w:r>
    </w:p>
    <w:p>
      <w:pPr>
        <w:pStyle w:val="Normal"/>
        <w:spacing w:before="0" w:after="0"/>
        <w:ind w:left="0" w:right="0" w:hanging="0"/>
        <w:jc w:val="both"/>
        <w:rPr>
          <w:rFonts w:ascii="Times New Roman" w:hAnsi="Times New Roman" w:cs="Times New Roman"/>
          <w:sz w:val="24"/>
          <w:szCs w:val="24"/>
        </w:rPr>
      </w:pPr>
      <w:r>
        <w:rPr>
          <w:rFonts w:cs="Times New Roman" w:ascii="Times New Roman" w:hAnsi="Times New Roman"/>
          <w:sz w:val="24"/>
          <w:szCs w:val="24"/>
        </w:rPr>
        <w:t>Una vez validada toda la documentación presentada en el plazo establecido en el punto 6, los solicitantes aparecerán en el listado de establecimientos adheridos, en la página web del Ayuntamiento.</w:t>
      </w:r>
    </w:p>
    <w:p>
      <w:pPr>
        <w:pStyle w:val="Normal"/>
        <w:spacing w:before="0" w:after="0"/>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0"/>
        <w:jc w:val="both"/>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 xml:space="preserve">Los establecimientos que presenten la documentación incompleta serán requeridos para su subsanación y no podrán ser dados de alta en la web hasta no haber subsanado lo requerido. Las personas solicitantes entenderán que su solicitud ha sido aceptada cuando el nombre de su establecimiento aparezca en el listado de establecimientos adheridos publicado en la citada web, no pudiendo aceptar bono-descuentos si no aparecen en el momento de la venta en el mencionado listado. </w:t>
      </w:r>
    </w:p>
    <w:p>
      <w:pPr>
        <w:pStyle w:val="Normal"/>
        <w:spacing w:before="0" w:after="0"/>
        <w:ind w:left="0" w:right="0" w:hanging="0"/>
        <w:jc w:val="both"/>
        <w:rPr/>
      </w:pPr>
      <w:r>
        <w:rPr/>
      </w:r>
    </w:p>
    <w:p>
      <w:pPr>
        <w:pStyle w:val="Normal"/>
        <w:spacing w:before="0" w:after="0"/>
        <w:ind w:left="0" w:right="0" w:hanging="0"/>
        <w:jc w:val="both"/>
        <w:rPr>
          <w:rFonts w:ascii="Times New Roman" w:hAnsi="Times New Roman" w:cs="Times New Roman"/>
          <w:sz w:val="24"/>
          <w:szCs w:val="24"/>
        </w:rPr>
      </w:pPr>
      <w:r>
        <w:rPr>
          <w:rFonts w:cs="Times New Roman" w:ascii="Times New Roman" w:hAnsi="Times New Roman"/>
          <w:sz w:val="24"/>
          <w:szCs w:val="24"/>
        </w:rPr>
        <w:t xml:space="preserve">A modo de distintivo, los establecimientos adheridos deberán poner en su escaparate, en lugar visible, la cartelería u otros distintivos, facilitados por la Concejalía de Comercio que les acredite como establecimiento participante. </w:t>
      </w:r>
    </w:p>
    <w:p>
      <w:pPr>
        <w:pStyle w:val="Normal"/>
        <w:spacing w:before="0" w:after="0"/>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0"/>
        <w:jc w:val="both"/>
        <w:rPr>
          <w:rFonts w:ascii="Times New Roman" w:hAnsi="Times New Roman" w:cs="Times New Roman"/>
          <w:sz w:val="24"/>
          <w:szCs w:val="24"/>
        </w:rPr>
      </w:pPr>
      <w:r>
        <w:rPr>
          <w:rFonts w:cs="Times New Roman" w:ascii="Times New Roman" w:hAnsi="Times New Roman"/>
          <w:sz w:val="24"/>
          <w:szCs w:val="24"/>
        </w:rPr>
        <w:t xml:space="preserve">Los establecimientos adheridos se deben comprometer a realizar las gestiones necesarias para facilitar el personal municipal la resolución de posibles incidencias, así como las labores de control e inspección que procedan en su caso. </w:t>
      </w:r>
    </w:p>
    <w:p>
      <w:pPr>
        <w:pStyle w:val="Default"/>
        <w:spacing w:before="0" w:after="0"/>
        <w:ind w:left="0" w:right="0" w:hanging="0"/>
        <w:rPr>
          <w:sz w:val="24"/>
          <w:szCs w:val="24"/>
        </w:rPr>
      </w:pPr>
      <w:r>
        <w:rPr>
          <w:sz w:val="24"/>
          <w:szCs w:val="24"/>
        </w:rPr>
      </w:r>
    </w:p>
    <w:p>
      <w:pPr>
        <w:pStyle w:val="Normal"/>
        <w:spacing w:before="0" w:after="0"/>
        <w:ind w:left="0" w:right="0" w:hanging="0"/>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0"/>
        <w:rPr>
          <w:rFonts w:ascii="Times New Roman" w:hAnsi="Times New Roman" w:cs="Times New Roman"/>
          <w:b/>
          <w:b/>
          <w:bCs/>
          <w:strike w:val="false"/>
          <w:dstrike w:val="false"/>
          <w:sz w:val="24"/>
          <w:szCs w:val="24"/>
          <w:u w:val="none"/>
        </w:rPr>
      </w:pPr>
      <w:r>
        <w:rPr>
          <w:rFonts w:cs="Times New Roman" w:ascii="Times New Roman" w:hAnsi="Times New Roman"/>
          <w:b/>
          <w:bCs/>
          <w:strike w:val="false"/>
          <w:dstrike w:val="false"/>
          <w:sz w:val="24"/>
          <w:szCs w:val="24"/>
          <w:u w:val="none"/>
        </w:rPr>
        <w:t>8. PROCEDIMIENTO DE OBTENCIÓN Y GESTIÓN DE LOS BONOS</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pPr>
      <w:r>
        <w:rPr>
          <w:rFonts w:cs="Times New Roman" w:ascii="Times New Roman" w:hAnsi="Times New Roman"/>
          <w:b w:val="false"/>
          <w:bCs w:val="false"/>
          <w:sz w:val="23"/>
          <w:szCs w:val="24"/>
          <w:shd w:fill="auto" w:val="clear"/>
        </w:rPr>
        <w:t>Para esta campaña el Ayuntamiento de Sumacàrcer repartirá los bonos a cada vivienda del municipio.</w:t>
      </w:r>
      <w:r>
        <w:rPr>
          <w:rFonts w:cs="Times New Roman" w:ascii="Times New Roman" w:hAnsi="Times New Roman"/>
          <w:b/>
          <w:bCs/>
          <w:sz w:val="23"/>
          <w:szCs w:val="24"/>
          <w:shd w:fill="auto" w:val="clear"/>
        </w:rPr>
        <w:t xml:space="preserve">  </w:t>
      </w:r>
    </w:p>
    <w:p>
      <w:pPr>
        <w:pStyle w:val="Normal"/>
        <w:ind w:left="0" w:right="-2" w:hanging="0"/>
        <w:jc w:val="both"/>
        <w:rPr>
          <w:shd w:fill="auto" w:val="clear"/>
        </w:rPr>
      </w:pPr>
      <w:r>
        <w:rPr>
          <w:shd w:fill="auto" w:val="clear"/>
        </w:rPr>
      </w:r>
    </w:p>
    <w:p>
      <w:pPr>
        <w:pStyle w:val="Normal"/>
        <w:ind w:left="0" w:right="-2" w:hanging="0"/>
        <w:jc w:val="both"/>
        <w:rPr/>
      </w:pPr>
      <w:r>
        <w:rPr>
          <w:rFonts w:cs="Times New Roman" w:ascii="Times New Roman" w:hAnsi="Times New Roman"/>
          <w:b w:val="false"/>
          <w:bCs w:val="false"/>
          <w:sz w:val="23"/>
          <w:szCs w:val="24"/>
          <w:shd w:fill="auto" w:val="clear"/>
        </w:rPr>
        <w:t>Cada vivienda dispondrá de</w:t>
      </w:r>
      <w:r>
        <w:rPr>
          <w:rFonts w:cs="Times New Roman" w:ascii="Times New Roman" w:hAnsi="Times New Roman"/>
          <w:b w:val="false"/>
          <w:bCs w:val="false"/>
          <w:strike w:val="false"/>
          <w:dstrike w:val="false"/>
          <w:sz w:val="24"/>
          <w:szCs w:val="24"/>
          <w:u w:val="none"/>
          <w:shd w:fill="auto" w:val="clear"/>
        </w:rPr>
        <w:t xml:space="preserve"> 5 bonos descuento por importe de 1€ y 3 bonos-descuento por importe de 5€ </w:t>
      </w:r>
      <w:r>
        <w:rPr>
          <w:rFonts w:cs="Times New Roman" w:ascii="Times New Roman" w:hAnsi="Times New Roman"/>
          <w:b w:val="false"/>
          <w:bCs w:val="false"/>
          <w:strike w:val="false"/>
          <w:dstrike w:val="false"/>
          <w:sz w:val="24"/>
          <w:szCs w:val="24"/>
          <w:u w:val="single"/>
          <w:shd w:fill="auto" w:val="clear"/>
        </w:rPr>
        <w:t xml:space="preserve">que se utilizarán de la siguiente manera: </w:t>
      </w:r>
    </w:p>
    <w:p>
      <w:pPr>
        <w:pStyle w:val="Normal"/>
        <w:ind w:left="0" w:right="-2" w:hanging="0"/>
        <w:jc w:val="both"/>
        <w:rPr>
          <w:b w:val="false"/>
          <w:b w:val="false"/>
          <w:bCs w:val="false"/>
        </w:rPr>
      </w:pPr>
      <w:r>
        <w:rPr>
          <w:b w:val="false"/>
          <w:bCs w:val="false"/>
        </w:rPr>
      </w:r>
    </w:p>
    <w:p>
      <w:pPr>
        <w:pStyle w:val="Normal"/>
        <w:ind w:left="0" w:right="-2" w:hanging="0"/>
        <w:jc w:val="both"/>
        <w:rPr>
          <w:rFonts w:ascii="Times New Roman" w:hAnsi="Times New Roman" w:cs="Times New Roman"/>
          <w:b w:val="false"/>
          <w:b w:val="false"/>
          <w:bCs w:val="false"/>
          <w:strike w:val="false"/>
          <w:dstrike w:val="false"/>
          <w:sz w:val="24"/>
          <w:szCs w:val="24"/>
          <w:u w:val="single"/>
          <w:shd w:fill="auto" w:val="clear"/>
        </w:rPr>
      </w:pPr>
      <w:r>
        <w:rPr>
          <w:rFonts w:cs="Times New Roman" w:ascii="Times New Roman" w:hAnsi="Times New Roman"/>
          <w:b w:val="false"/>
          <w:bCs w:val="false"/>
          <w:strike w:val="false"/>
          <w:dstrike w:val="false"/>
          <w:sz w:val="24"/>
          <w:szCs w:val="24"/>
          <w:u w:val="single"/>
          <w:shd w:fill="auto" w:val="clear"/>
        </w:rPr>
        <w:t>1) 1 bono descuento de 5€ para tiendas de Alimentación.</w:t>
      </w:r>
    </w:p>
    <w:p>
      <w:pPr>
        <w:pStyle w:val="Normal"/>
        <w:ind w:left="0" w:right="-2" w:hanging="0"/>
        <w:jc w:val="both"/>
        <w:rPr>
          <w:b w:val="false"/>
          <w:b w:val="false"/>
          <w:bCs w:val="false"/>
        </w:rPr>
      </w:pPr>
      <w:r>
        <w:rPr>
          <w:b w:val="false"/>
          <w:bCs w:val="false"/>
        </w:rPr>
      </w:r>
    </w:p>
    <w:p>
      <w:pPr>
        <w:pStyle w:val="Normal"/>
        <w:ind w:left="0" w:right="-2" w:hanging="0"/>
        <w:jc w:val="both"/>
        <w:rPr>
          <w:rFonts w:ascii="Times New Roman" w:hAnsi="Times New Roman" w:cs="Times New Roman"/>
          <w:b w:val="false"/>
          <w:b w:val="false"/>
          <w:bCs w:val="false"/>
          <w:strike w:val="false"/>
          <w:dstrike w:val="false"/>
          <w:sz w:val="24"/>
          <w:szCs w:val="24"/>
          <w:u w:val="single"/>
          <w:shd w:fill="auto" w:val="clear"/>
        </w:rPr>
      </w:pPr>
      <w:r>
        <w:rPr>
          <w:rFonts w:cs="Times New Roman" w:ascii="Times New Roman" w:hAnsi="Times New Roman"/>
          <w:b w:val="false"/>
          <w:bCs w:val="false"/>
          <w:strike w:val="false"/>
          <w:dstrike w:val="false"/>
          <w:sz w:val="24"/>
          <w:szCs w:val="24"/>
          <w:u w:val="single"/>
          <w:shd w:fill="auto" w:val="clear"/>
        </w:rPr>
        <w:t>2)  1 bono descuento de 5€ para  Peluqeurias y Esteticistas.</w:t>
      </w:r>
    </w:p>
    <w:p>
      <w:pPr>
        <w:pStyle w:val="Normal"/>
        <w:ind w:left="0" w:right="-2" w:hanging="0"/>
        <w:jc w:val="both"/>
        <w:rPr>
          <w:b w:val="false"/>
          <w:b w:val="false"/>
          <w:bCs w:val="false"/>
        </w:rPr>
      </w:pPr>
      <w:r>
        <w:rPr>
          <w:b w:val="false"/>
          <w:bCs w:val="false"/>
        </w:rPr>
      </w:r>
    </w:p>
    <w:p>
      <w:pPr>
        <w:pStyle w:val="Normal"/>
        <w:ind w:left="0" w:right="-2" w:hanging="0"/>
        <w:jc w:val="both"/>
        <w:rPr>
          <w:rFonts w:ascii="Times New Roman" w:hAnsi="Times New Roman" w:cs="Times New Roman"/>
          <w:b w:val="false"/>
          <w:b w:val="false"/>
          <w:bCs w:val="false"/>
          <w:strike w:val="false"/>
          <w:dstrike w:val="false"/>
          <w:sz w:val="24"/>
          <w:szCs w:val="24"/>
          <w:u w:val="single"/>
          <w:shd w:fill="auto" w:val="clear"/>
        </w:rPr>
      </w:pPr>
      <w:r>
        <w:rPr>
          <w:rFonts w:cs="Times New Roman" w:ascii="Times New Roman" w:hAnsi="Times New Roman"/>
          <w:b w:val="false"/>
          <w:bCs w:val="false"/>
          <w:strike w:val="false"/>
          <w:dstrike w:val="false"/>
          <w:sz w:val="24"/>
          <w:szCs w:val="24"/>
          <w:u w:val="single"/>
          <w:shd w:fill="auto" w:val="clear"/>
        </w:rPr>
        <w:t>3) 5 bonos descuento de 1€ para Hornos, Panaderias y Despachos de Pan.</w:t>
      </w:r>
    </w:p>
    <w:p>
      <w:pPr>
        <w:pStyle w:val="Normal"/>
        <w:ind w:left="0" w:right="-2" w:hanging="0"/>
        <w:jc w:val="both"/>
        <w:rPr>
          <w:b w:val="false"/>
          <w:b w:val="false"/>
          <w:bCs w:val="false"/>
        </w:rPr>
      </w:pPr>
      <w:r>
        <w:rPr>
          <w:b w:val="false"/>
          <w:bCs w:val="false"/>
        </w:rPr>
      </w:r>
    </w:p>
    <w:p>
      <w:pPr>
        <w:pStyle w:val="Normal"/>
        <w:ind w:left="0" w:right="-2" w:hanging="0"/>
        <w:jc w:val="both"/>
        <w:rPr>
          <w:rFonts w:ascii="Times New Roman" w:hAnsi="Times New Roman" w:cs="Times New Roman"/>
          <w:b w:val="false"/>
          <w:b w:val="false"/>
          <w:bCs w:val="false"/>
          <w:strike w:val="false"/>
          <w:dstrike w:val="false"/>
          <w:sz w:val="24"/>
          <w:szCs w:val="24"/>
          <w:u w:val="single"/>
          <w:shd w:fill="auto" w:val="clear"/>
        </w:rPr>
      </w:pPr>
      <w:r>
        <w:rPr>
          <w:rFonts w:cs="Times New Roman" w:ascii="Times New Roman" w:hAnsi="Times New Roman"/>
          <w:b w:val="false"/>
          <w:bCs w:val="false"/>
          <w:strike w:val="false"/>
          <w:dstrike w:val="false"/>
          <w:sz w:val="24"/>
          <w:szCs w:val="24"/>
          <w:u w:val="single"/>
          <w:shd w:fill="auto" w:val="clear"/>
        </w:rPr>
        <w:t xml:space="preserve">4) 1 bono descuento de 5€ para el resto de establecimientos adheridos a la Campaña que no figuren en las Categorias anteriores. </w:t>
      </w:r>
    </w:p>
    <w:p>
      <w:pPr>
        <w:pStyle w:val="Normal"/>
        <w:ind w:left="0" w:right="-2" w:hanging="0"/>
        <w:jc w:val="both"/>
        <w:rPr>
          <w:b w:val="false"/>
          <w:b w:val="false"/>
          <w:bCs w:val="false"/>
        </w:rPr>
      </w:pPr>
      <w:r>
        <w:rPr>
          <w:b w:val="false"/>
          <w:bCs w:val="false"/>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Default"/>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 xml:space="preserve">Formalización de la compra y canjeo del bono-descuento </w:t>
      </w:r>
    </w:p>
    <w:p>
      <w:pPr>
        <w:pStyle w:val="Default"/>
        <w:jc w:val="both"/>
        <w:rPr>
          <w:rFonts w:ascii="Times New Roman" w:hAnsi="Times New Roman" w:cs="Times New Roman"/>
          <w:sz w:val="24"/>
          <w:szCs w:val="24"/>
        </w:rPr>
      </w:pPr>
      <w:r>
        <w:rPr>
          <w:rFonts w:cs="Times New Roman" w:ascii="Times New Roman" w:hAnsi="Times New Roman"/>
          <w:sz w:val="24"/>
          <w:szCs w:val="24"/>
        </w:rPr>
      </w:r>
    </w:p>
    <w:p>
      <w:pPr>
        <w:pStyle w:val="Default"/>
        <w:jc w:val="both"/>
        <w:rPr>
          <w:rFonts w:ascii="Times New Roman" w:hAnsi="Times New Roman" w:cs="Times New Roman"/>
          <w:b w:val="false"/>
          <w:b w:val="false"/>
          <w:strike w:val="false"/>
          <w:dstrike w:val="false"/>
          <w:sz w:val="24"/>
          <w:szCs w:val="24"/>
          <w:u w:val="none"/>
        </w:rPr>
      </w:pPr>
      <w:r>
        <w:rPr>
          <w:rFonts w:cs="Times New Roman" w:ascii="Times New Roman" w:hAnsi="Times New Roman"/>
          <w:b w:val="false"/>
          <w:strike w:val="false"/>
          <w:dstrike w:val="false"/>
          <w:sz w:val="24"/>
          <w:szCs w:val="24"/>
          <w:u w:val="none"/>
        </w:rPr>
        <w:t>Los/las usuarios/as podrán comprar y canjear sus bonos-descuentos  únicamente en los establecimientos participantes que en el momento de la compra estén vigentes en el listado de establecimientos adheridos disponible siempre en la página web de referencia.</w:t>
      </w:r>
    </w:p>
    <w:p>
      <w:pPr>
        <w:pStyle w:val="Default"/>
        <w:jc w:val="both"/>
        <w:rPr>
          <w:rFonts w:ascii="Times New Roman" w:hAnsi="Times New Roman" w:eastAsia="Times New Roman" w:cs="Times New Roman"/>
          <w:b w:val="false"/>
          <w:b w:val="false"/>
          <w:strike w:val="false"/>
          <w:dstrike w:val="false"/>
          <w:sz w:val="24"/>
          <w:szCs w:val="24"/>
          <w:u w:val="none"/>
        </w:rPr>
      </w:pPr>
      <w:r>
        <w:rPr>
          <w:rFonts w:eastAsia="Times New Roman" w:cs="Times New Roman" w:ascii="Times New Roman" w:hAnsi="Times New Roman"/>
          <w:b w:val="false"/>
          <w:strike w:val="false"/>
          <w:dstrike w:val="false"/>
          <w:sz w:val="24"/>
          <w:szCs w:val="24"/>
          <w:u w:val="none"/>
        </w:rPr>
        <w:t xml:space="preserve"> </w:t>
      </w:r>
    </w:p>
    <w:p>
      <w:pPr>
        <w:pStyle w:val="Normal"/>
        <w:ind w:left="0" w:right="-2" w:hanging="0"/>
        <w:jc w:val="both"/>
        <w:rPr>
          <w:rFonts w:ascii="Times New Roman" w:hAnsi="Times New Roman" w:cs="Times New Roman"/>
          <w:b w:val="false"/>
          <w:b w:val="false"/>
          <w:bCs/>
          <w:strike w:val="false"/>
          <w:dstrike w:val="false"/>
          <w:sz w:val="24"/>
          <w:szCs w:val="24"/>
          <w:u w:val="none"/>
        </w:rPr>
      </w:pPr>
      <w:r>
        <w:rPr>
          <w:rFonts w:cs="Times New Roman" w:ascii="Times New Roman" w:hAnsi="Times New Roman"/>
          <w:b w:val="false"/>
          <w:bCs/>
          <w:strike w:val="false"/>
          <w:dstrike w:val="false"/>
          <w:sz w:val="24"/>
          <w:szCs w:val="24"/>
          <w:u w:val="none"/>
        </w:rPr>
        <w:t>En el momento de la compra las personas compradoras mostrarán el/los bono-descuento/s y se lo entregaran a la persona encargada del establecimiento.</w:t>
      </w:r>
    </w:p>
    <w:p>
      <w:pPr>
        <w:pStyle w:val="Normal"/>
        <w:ind w:left="0" w:right="-2" w:hanging="0"/>
        <w:jc w:val="both"/>
        <w:rPr>
          <w:rFonts w:ascii="Times New Roman" w:hAnsi="Times New Roman" w:cs="Times New Roman"/>
          <w:b w:val="false"/>
          <w:b w:val="false"/>
          <w:bCs/>
          <w:strike w:val="false"/>
          <w:dstrike w:val="false"/>
          <w:sz w:val="24"/>
          <w:szCs w:val="24"/>
          <w:u w:val="none"/>
        </w:rPr>
      </w:pPr>
      <w:r>
        <w:rPr>
          <w:rFonts w:cs="Times New Roman" w:ascii="Times New Roman" w:hAnsi="Times New Roman"/>
          <w:b w:val="false"/>
          <w:bCs/>
          <w:strike w:val="false"/>
          <w:dstrike w:val="false"/>
          <w:sz w:val="24"/>
          <w:szCs w:val="24"/>
          <w:u w:val="none"/>
        </w:rPr>
      </w:r>
    </w:p>
    <w:p>
      <w:pPr>
        <w:pStyle w:val="Normal"/>
        <w:ind w:left="0" w:right="-2" w:hanging="0"/>
        <w:jc w:val="both"/>
        <w:rPr/>
      </w:pPr>
      <w:r>
        <w:rPr>
          <w:rFonts w:eastAsia="Times New Roman" w:cs="Times New Roman" w:ascii="Times New Roman" w:hAnsi="Times New Roman"/>
          <w:b w:val="false"/>
          <w:bCs/>
          <w:strike w:val="false"/>
          <w:dstrike w:val="false"/>
          <w:sz w:val="24"/>
          <w:szCs w:val="24"/>
          <w:u w:val="none"/>
        </w:rPr>
        <w:t xml:space="preserve"> </w:t>
      </w:r>
      <w:r>
        <w:rPr>
          <w:rFonts w:cs="Times New Roman" w:ascii="Times New Roman" w:hAnsi="Times New Roman"/>
          <w:b w:val="false"/>
          <w:bCs/>
          <w:strike w:val="false"/>
          <w:dstrike w:val="false"/>
          <w:sz w:val="24"/>
          <w:szCs w:val="24"/>
          <w:u w:val="none"/>
        </w:rPr>
        <w:t xml:space="preserve">Dicha compra  deberá ascender como MINIMO al doble del valor de los bonos a canjear. Ejemplo: para aplicar el el bono descuento de 5€ el importe de la compra realizada deberá ser de 10€ minimo; para canjear el bono descuento de 1€ el importe de la compra realizada deberá ser de minimo 2€. </w:t>
      </w:r>
    </w:p>
    <w:p>
      <w:pPr>
        <w:pStyle w:val="Normal"/>
        <w:ind w:left="0" w:right="-2" w:hanging="0"/>
        <w:jc w:val="both"/>
        <w:rPr>
          <w:rFonts w:ascii="Times New Roman" w:hAnsi="Times New Roman" w:cs="Times New Roman"/>
          <w:b w:val="false"/>
          <w:b w:val="false"/>
          <w:bCs/>
          <w:strike w:val="false"/>
          <w:dstrike w:val="false"/>
          <w:sz w:val="24"/>
          <w:szCs w:val="24"/>
          <w:u w:val="none"/>
        </w:rPr>
      </w:pPr>
      <w:r>
        <w:rPr>
          <w:rFonts w:cs="Times New Roman" w:ascii="Times New Roman" w:hAnsi="Times New Roman"/>
          <w:b w:val="false"/>
          <w:bCs/>
          <w:strike w:val="false"/>
          <w:dstrike w:val="false"/>
          <w:sz w:val="24"/>
          <w:szCs w:val="24"/>
          <w:u w:val="none"/>
        </w:rPr>
      </w:r>
    </w:p>
    <w:p>
      <w:pPr>
        <w:pStyle w:val="Normal"/>
        <w:ind w:left="0" w:right="-2" w:hanging="0"/>
        <w:jc w:val="both"/>
        <w:rPr>
          <w:rFonts w:ascii="Times New Roman" w:hAnsi="Times New Roman" w:cs="Times New Roman"/>
          <w:b/>
          <w:b/>
          <w:bCs/>
          <w:strike w:val="false"/>
          <w:dstrike w:val="false"/>
          <w:sz w:val="24"/>
          <w:szCs w:val="24"/>
          <w:u w:val="none"/>
        </w:rPr>
      </w:pPr>
      <w:r>
        <w:rPr>
          <w:rFonts w:cs="Times New Roman" w:ascii="Times New Roman" w:hAnsi="Times New Roman"/>
          <w:b/>
          <w:bCs/>
          <w:strike w:val="false"/>
          <w:dstrike w:val="false"/>
          <w:sz w:val="24"/>
          <w:szCs w:val="24"/>
          <w:u w:val="none"/>
        </w:rPr>
      </w:r>
    </w:p>
    <w:p>
      <w:pPr>
        <w:pStyle w:val="Default"/>
        <w:ind w:left="0" w:right="-2" w:hanging="0"/>
        <w:jc w:val="both"/>
        <w:rPr>
          <w:rFonts w:ascii="Times New Roman" w:hAnsi="Times New Roman" w:cs="Times New Roman"/>
          <w:b/>
          <w:b/>
          <w:bCs/>
          <w:strike w:val="false"/>
          <w:dstrike w:val="false"/>
          <w:sz w:val="24"/>
          <w:szCs w:val="24"/>
          <w:u w:val="none"/>
        </w:rPr>
      </w:pPr>
      <w:r>
        <w:rPr>
          <w:rFonts w:cs="Times New Roman" w:ascii="Times New Roman" w:hAnsi="Times New Roman"/>
          <w:b/>
          <w:bCs/>
          <w:strike w:val="false"/>
          <w:dstrike w:val="false"/>
          <w:sz w:val="24"/>
          <w:szCs w:val="24"/>
          <w:u w:val="none"/>
        </w:rPr>
        <w:t xml:space="preserve">Plazo para  canjeo de bonos en los establecimientos adheridos </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rFonts w:ascii="Times New Roman" w:hAnsi="Times New Roman" w:cs="Times New Roman"/>
          <w:b w:val="false"/>
          <w:b w:val="false"/>
          <w:bCs/>
          <w:strike w:val="false"/>
          <w:dstrike w:val="false"/>
          <w:sz w:val="24"/>
          <w:szCs w:val="24"/>
          <w:u w:val="none"/>
        </w:rPr>
      </w:pPr>
      <w:r>
        <w:rPr>
          <w:rFonts w:cs="Times New Roman" w:ascii="Times New Roman" w:hAnsi="Times New Roman"/>
          <w:b w:val="false"/>
          <w:bCs/>
          <w:strike w:val="false"/>
          <w:dstrike w:val="false"/>
          <w:sz w:val="24"/>
          <w:szCs w:val="24"/>
          <w:u w:val="none"/>
        </w:rPr>
        <w:t>El canjeo de bonos se podrá realizar en las compras realizadas desde el 11 de Julio de 2022 hasta el 30 de septiembre de 2022.</w:t>
      </w:r>
    </w:p>
    <w:p>
      <w:pPr>
        <w:pStyle w:val="Normal"/>
        <w:ind w:left="0" w:right="-2" w:hanging="0"/>
        <w:jc w:val="both"/>
        <w:rPr/>
      </w:pPr>
      <w:r>
        <w:rPr/>
      </w:r>
    </w:p>
    <w:p>
      <w:pPr>
        <w:pStyle w:val="Normal"/>
        <w:spacing w:before="0" w:after="0"/>
        <w:ind w:left="0" w:right="0" w:hanging="0"/>
        <w:jc w:val="both"/>
        <w:rPr>
          <w:rFonts w:ascii="Times New Roman" w:hAnsi="Times New Roman" w:cs="Times New Roman"/>
          <w:b/>
          <w:b/>
          <w:bCs/>
          <w:strike w:val="false"/>
          <w:dstrike w:val="false"/>
          <w:sz w:val="24"/>
          <w:szCs w:val="24"/>
          <w:u w:val="none"/>
        </w:rPr>
      </w:pPr>
      <w:r>
        <w:rPr>
          <w:rFonts w:cs="Times New Roman" w:ascii="Times New Roman" w:hAnsi="Times New Roman"/>
          <w:b/>
          <w:bCs/>
          <w:strike w:val="false"/>
          <w:dstrike w:val="false"/>
          <w:sz w:val="24"/>
          <w:szCs w:val="24"/>
          <w:u w:val="none"/>
        </w:rPr>
        <w:t>9. JUSTIFICACIÓN Y ABONO DE LA SUBVENCIÓN</w:t>
      </w:r>
    </w:p>
    <w:p>
      <w:pPr>
        <w:pStyle w:val="Normal"/>
        <w:spacing w:before="0" w:after="0"/>
        <w:ind w:left="0" w:right="0"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pPr>
      <w:r>
        <w:rPr>
          <w:rFonts w:eastAsia="Times New Roman" w:cs="Times New Roman" w:ascii="Times New Roman" w:hAnsi="Times New Roman"/>
          <w:sz w:val="24"/>
          <w:szCs w:val="24"/>
          <w:shd w:fill="auto" w:val="clear"/>
        </w:rPr>
        <w:t xml:space="preserve"> </w:t>
      </w:r>
      <w:r>
        <w:rPr>
          <w:rFonts w:cs="Times New Roman" w:ascii="Times New Roman" w:hAnsi="Times New Roman"/>
          <w:sz w:val="24"/>
          <w:szCs w:val="24"/>
          <w:shd w:fill="auto" w:val="clear"/>
        </w:rPr>
        <w:t>Los establecimientos adheridos deberán presentar, entre los días 15 y 30 de cada mes, en el Ayuntamiento de Sumacàrcer la relación de bonos canjeados en su establecimiento</w:t>
      </w:r>
      <w:r>
        <w:rPr>
          <w:rFonts w:cs="Times New Roman" w:ascii="Times New Roman" w:hAnsi="Times New Roman"/>
          <w:sz w:val="24"/>
          <w:szCs w:val="24"/>
          <w:shd w:fill="FFFF00" w:val="clear"/>
        </w:rPr>
        <w:t xml:space="preserve"> </w:t>
      </w:r>
      <w:r>
        <w:rPr>
          <w:rFonts w:cs="Times New Roman" w:ascii="Times New Roman" w:hAnsi="Times New Roman"/>
          <w:sz w:val="24"/>
          <w:szCs w:val="24"/>
          <w:shd w:fill="auto" w:val="clear"/>
        </w:rPr>
        <w:t xml:space="preserve">hasta la fecha de presentación. </w:t>
      </w:r>
    </w:p>
    <w:p>
      <w:pPr>
        <w:pStyle w:val="Normal"/>
        <w:ind w:left="0" w:right="-2" w:hanging="0"/>
        <w:jc w:val="both"/>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Default"/>
        <w:jc w:val="both"/>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Los establecimientos que a fecha 30/09/2022 tengan aún bonos consumidos pendientes de justificar, podrán proceder a la presentación de la documentación requerida para su justificación hasta el día 14 de octubre de 2022. </w:t>
      </w:r>
    </w:p>
    <w:p>
      <w:pPr>
        <w:pStyle w:val="Default"/>
        <w:jc w:val="both"/>
        <w:rPr>
          <w:rFonts w:ascii="Times New Roman" w:hAnsi="Times New Roman" w:cs="Times New Roman"/>
          <w:sz w:val="24"/>
          <w:szCs w:val="24"/>
          <w:shd w:fill="auto" w:val="clear"/>
        </w:rPr>
      </w:pPr>
      <w:r>
        <w:rPr>
          <w:rFonts w:cs="Times New Roman" w:ascii="Times New Roman" w:hAnsi="Times New Roman"/>
          <w:sz w:val="24"/>
          <w:szCs w:val="24"/>
          <w:shd w:fill="auto" w:val="clear"/>
        </w:rPr>
      </w:r>
    </w:p>
    <w:p>
      <w:pPr>
        <w:pStyle w:val="Default"/>
        <w:jc w:val="both"/>
        <w:rPr>
          <w:rFonts w:ascii="Times New Roman" w:hAnsi="Times New Roman" w:cs="Times New Roman"/>
          <w:strike w:val="false"/>
          <w:dstrike w:val="false"/>
          <w:sz w:val="24"/>
          <w:szCs w:val="24"/>
          <w:u w:val="none"/>
          <w:shd w:fill="auto" w:val="clear"/>
        </w:rPr>
      </w:pPr>
      <w:r>
        <w:rPr>
          <w:rFonts w:cs="Times New Roman" w:ascii="Times New Roman" w:hAnsi="Times New Roman"/>
          <w:strike w:val="false"/>
          <w:dstrike w:val="false"/>
          <w:sz w:val="24"/>
          <w:szCs w:val="24"/>
          <w:u w:val="none"/>
          <w:shd w:fill="auto" w:val="clear"/>
        </w:rPr>
        <w:t xml:space="preserve">Una vez revisada por la unidad gestora la documentación presentada se resolverá la concesión de la subvención correspondiente mediante Decreto de Alcaldia y se procederá al pago mediante transferencia bancaria por el importe concedido. </w:t>
      </w:r>
    </w:p>
    <w:p>
      <w:pPr>
        <w:pStyle w:val="Default"/>
        <w:jc w:val="both"/>
        <w:rPr>
          <w:rFonts w:ascii="Times New Roman" w:hAnsi="Times New Roman" w:cs="Times New Roman"/>
          <w:sz w:val="24"/>
          <w:szCs w:val="24"/>
          <w:shd w:fill="FFFF00" w:val="clear"/>
        </w:rPr>
      </w:pPr>
      <w:r>
        <w:rPr>
          <w:rFonts w:cs="Times New Roman" w:ascii="Times New Roman" w:hAnsi="Times New Roman"/>
          <w:sz w:val="24"/>
          <w:szCs w:val="24"/>
          <w:shd w:fill="FFFF00" w:val="clear"/>
        </w:rPr>
      </w:r>
    </w:p>
    <w:p>
      <w:pPr>
        <w:pStyle w:val="Default"/>
        <w:jc w:val="both"/>
        <w:rPr>
          <w:rFonts w:ascii="Times New Roman" w:hAnsi="Times New Roman" w:cs="Times New Roman"/>
          <w:strike w:val="false"/>
          <w:dstrike w:val="false"/>
          <w:sz w:val="24"/>
          <w:szCs w:val="24"/>
          <w:u w:val="none"/>
        </w:rPr>
      </w:pPr>
      <w:r>
        <w:rPr>
          <w:rFonts w:cs="Times New Roman" w:ascii="Times New Roman" w:hAnsi="Times New Roman"/>
          <w:strike w:val="false"/>
          <w:dstrike w:val="false"/>
          <w:sz w:val="24"/>
          <w:szCs w:val="24"/>
          <w:u w:val="none"/>
        </w:rPr>
        <w:t xml:space="preserve">El Ayuntamiento de Sumacàrcer podrá requerir al solicitante cualquier documento aclaratorio o de comprobación para la resolución del expediente. La no presentación de esta documentación supondrá la denegación automática de la subvención. </w:t>
      </w:r>
    </w:p>
    <w:p>
      <w:pPr>
        <w:pStyle w:val="Default"/>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0" w:right="0" w:hanging="0"/>
        <w:jc w:val="both"/>
        <w:rPr>
          <w:rFonts w:ascii="Times New Roman" w:hAnsi="Times New Roman" w:cs="Times New Roman"/>
          <w:b/>
          <w:b/>
          <w:bCs/>
          <w:strike w:val="false"/>
          <w:dstrike w:val="false"/>
          <w:sz w:val="24"/>
          <w:szCs w:val="24"/>
          <w:u w:val="none"/>
        </w:rPr>
      </w:pPr>
      <w:r>
        <w:rPr>
          <w:rFonts w:cs="Times New Roman" w:ascii="Times New Roman" w:hAnsi="Times New Roman"/>
          <w:b/>
          <w:bCs/>
          <w:strike w:val="false"/>
          <w:dstrike w:val="false"/>
          <w:sz w:val="24"/>
          <w:szCs w:val="24"/>
          <w:u w:val="none"/>
        </w:rPr>
        <w:t>10. INSTRUCCIÓN Y RESOLUCION DEL PROCEDIMIENTO. NOTIFICACIÓN DE LA RESOLUCIÓN</w:t>
      </w:r>
    </w:p>
    <w:p>
      <w:pPr>
        <w:pStyle w:val="Normal"/>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Default"/>
        <w:ind w:left="0" w:right="-2" w:hanging="0"/>
        <w:jc w:val="both"/>
        <w:rPr>
          <w:rFonts w:ascii="Times New Roman" w:hAnsi="Times New Roman" w:cs="Times New Roman"/>
          <w:b/>
          <w:b/>
          <w:sz w:val="24"/>
          <w:szCs w:val="24"/>
        </w:rPr>
      </w:pPr>
      <w:r>
        <w:rPr>
          <w:rFonts w:cs="Times New Roman" w:ascii="Times New Roman" w:hAnsi="Times New Roman"/>
          <w:b/>
          <w:sz w:val="24"/>
          <w:szCs w:val="24"/>
        </w:rPr>
        <w:t xml:space="preserve">Instrucción del procedimiento: </w:t>
      </w:r>
    </w:p>
    <w:p>
      <w:pPr>
        <w:pStyle w:val="Default"/>
        <w:jc w:val="both"/>
        <w:rPr>
          <w:rFonts w:ascii="Times New Roman" w:hAnsi="Times New Roman" w:cs="Times New Roman"/>
          <w:b w:val="false"/>
          <w:b w:val="false"/>
          <w:strike w:val="false"/>
          <w:dstrike w:val="false"/>
          <w:sz w:val="24"/>
          <w:szCs w:val="24"/>
          <w:u w:val="none"/>
        </w:rPr>
      </w:pPr>
      <w:r>
        <w:rPr>
          <w:rFonts w:cs="Times New Roman" w:ascii="Times New Roman" w:hAnsi="Times New Roman"/>
          <w:b w:val="false"/>
          <w:strike w:val="false"/>
          <w:dstrike w:val="false"/>
          <w:sz w:val="24"/>
          <w:szCs w:val="24"/>
          <w:u w:val="none"/>
        </w:rPr>
        <w:t xml:space="preserve">Los expedientes serán tramitados y resueltos según el orden de entrada de los mismos. La propuesta de resolución, debidamente motivada, será formulada por el órgano instructor a la vista del expediente y trasladada al órgano competente para resolver. </w:t>
      </w:r>
    </w:p>
    <w:p>
      <w:pPr>
        <w:pStyle w:val="Default"/>
        <w:rPr>
          <w:rFonts w:ascii="Times New Roman" w:hAnsi="Times New Roman" w:cs="Times New Roman"/>
          <w:sz w:val="24"/>
          <w:szCs w:val="24"/>
        </w:rPr>
      </w:pPr>
      <w:r>
        <w:rPr>
          <w:rFonts w:cs="Times New Roman" w:ascii="Times New Roman" w:hAnsi="Times New Roman"/>
          <w:sz w:val="24"/>
          <w:szCs w:val="24"/>
        </w:rPr>
      </w:r>
    </w:p>
    <w:p>
      <w:pPr>
        <w:pStyle w:val="Default"/>
        <w:rPr>
          <w:rFonts w:ascii="Times New Roman" w:hAnsi="Times New Roman" w:cs="Times New Roman"/>
          <w:b/>
          <w:b/>
          <w:strike w:val="false"/>
          <w:dstrike w:val="false"/>
          <w:sz w:val="24"/>
          <w:szCs w:val="24"/>
          <w:u w:val="none"/>
        </w:rPr>
      </w:pPr>
      <w:r>
        <w:rPr>
          <w:rFonts w:cs="Times New Roman" w:ascii="Times New Roman" w:hAnsi="Times New Roman"/>
          <w:b/>
          <w:strike w:val="false"/>
          <w:dstrike w:val="false"/>
          <w:sz w:val="24"/>
          <w:szCs w:val="24"/>
          <w:u w:val="none"/>
        </w:rPr>
        <w:t xml:space="preserve">Plazo máximo de resolución y notificación: </w:t>
      </w:r>
    </w:p>
    <w:p>
      <w:pPr>
        <w:pStyle w:val="Default"/>
        <w:rPr>
          <w:rFonts w:ascii="Times New Roman" w:hAnsi="Times New Roman" w:cs="Times New Roman"/>
          <w:sz w:val="24"/>
          <w:szCs w:val="24"/>
        </w:rPr>
      </w:pPr>
      <w:r>
        <w:rPr>
          <w:rFonts w:cs="Times New Roman" w:ascii="Times New Roman" w:hAnsi="Times New Roman"/>
          <w:sz w:val="24"/>
          <w:szCs w:val="24"/>
        </w:rPr>
      </w:r>
    </w:p>
    <w:p>
      <w:pPr>
        <w:pStyle w:val="Normal"/>
        <w:ind w:left="0" w:right="-2" w:hanging="0"/>
        <w:jc w:val="both"/>
        <w:rPr/>
      </w:pPr>
      <w:r>
        <w:rPr>
          <w:rFonts w:cs="Times New Roman" w:ascii="Times New Roman" w:hAnsi="Times New Roman"/>
          <w:b w:val="false"/>
          <w:strike w:val="false"/>
          <w:dstrike w:val="false"/>
          <w:sz w:val="24"/>
          <w:szCs w:val="24"/>
          <w:u w:val="none"/>
        </w:rPr>
        <w:t>Seis meses. La resolución de concesión deberá ser motivada, se hará constar de manera expresa: la persona o entidad solicitante o solicitantes a quienes se concede la subvención, y su cuantía, y, en su caso, la persona o entidad solicitante o solicitantes cuyas peticiones hayan resultado desestimadas. La resolución de concesión, que pondrá fin a la vía administrativa, será notificada a la persona o entidad solicitante o solicitantes de conformidad con lo prescrito en el art</w:t>
      </w:r>
      <w:r>
        <w:rPr>
          <w:rFonts w:cs="Times New Roman" w:ascii="Times New Roman" w:hAnsi="Times New Roman"/>
          <w:sz w:val="24"/>
          <w:szCs w:val="24"/>
        </w:rPr>
        <w:t xml:space="preserve">ículo 40 de la Ley 39/2015 de 1 de octubre, del Procedimiento Administrativo Común de las Administraciones Públicas. </w:t>
      </w:r>
    </w:p>
    <w:p>
      <w:pPr>
        <w:pStyle w:val="Normal"/>
        <w:ind w:left="0" w:right="-2" w:hanging="0"/>
        <w:jc w:val="both"/>
        <w:rPr/>
      </w:pPr>
      <w:r>
        <w:rPr/>
      </w:r>
    </w:p>
    <w:p>
      <w:pPr>
        <w:pStyle w:val="Normal"/>
        <w:ind w:left="0" w:right="-2" w:hanging="0"/>
        <w:jc w:val="both"/>
        <w:rPr>
          <w:rFonts w:ascii="Times New Roman" w:hAnsi="Times New Roman" w:cs="Times New Roman"/>
          <w:strike w:val="false"/>
          <w:dstrike w:val="false"/>
          <w:sz w:val="24"/>
          <w:szCs w:val="24"/>
          <w:u w:val="none"/>
        </w:rPr>
      </w:pPr>
      <w:r>
        <w:rPr>
          <w:rFonts w:cs="Times New Roman" w:ascii="Times New Roman" w:hAnsi="Times New Roman"/>
          <w:strike w:val="false"/>
          <w:dstrike w:val="false"/>
          <w:sz w:val="24"/>
          <w:szCs w:val="24"/>
          <w:u w:val="none"/>
        </w:rPr>
        <w:t xml:space="preserve">El plazo máximo de resolución y notificación se computará desde la fecha de la publicación del extracto de la convocatoria en el Boletín Oficial de la Provincia de Valencia. </w:t>
      </w:r>
    </w:p>
    <w:p>
      <w:pPr>
        <w:pStyle w:val="Normal"/>
        <w:ind w:left="0" w:right="-2" w:hanging="0"/>
        <w:jc w:val="both"/>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rPr>
          <w:rFonts w:ascii="Times New Roman" w:hAnsi="Times New Roman" w:cs="Times New Roman"/>
          <w:b/>
          <w:b/>
          <w:sz w:val="24"/>
          <w:szCs w:val="24"/>
        </w:rPr>
      </w:pPr>
      <w:r>
        <w:rPr>
          <w:rFonts w:cs="Times New Roman" w:ascii="Times New Roman" w:hAnsi="Times New Roman"/>
          <w:b/>
          <w:sz w:val="24"/>
          <w:szCs w:val="24"/>
        </w:rPr>
        <w:t xml:space="preserve">11. PROTECCIÓN DE DATOS </w:t>
      </w:r>
    </w:p>
    <w:p>
      <w:pPr>
        <w:pStyle w:val="Normal"/>
        <w:ind w:left="0" w:right="-2" w:hanging="0"/>
        <w:jc w:val="both"/>
        <w:rPr>
          <w:rFonts w:ascii="Times New Roman" w:hAnsi="Times New Roman" w:cs="Times New Roman"/>
          <w:b w:val="false"/>
          <w:b w:val="false"/>
          <w:sz w:val="24"/>
          <w:szCs w:val="24"/>
        </w:rPr>
      </w:pPr>
      <w:r>
        <w:rPr>
          <w:rFonts w:cs="Times New Roman" w:ascii="Times New Roman" w:hAnsi="Times New Roman"/>
          <w:b w:val="false"/>
          <w:sz w:val="24"/>
          <w:szCs w:val="24"/>
        </w:rPr>
        <w:t xml:space="preserve">En virtud de la Ley Orgánica 3/2018, de 5 de diciembre, de Protección de Datos Personales y garantía de los derechos digitales, se le informa de que los datos personales solicitados serán incorporados en un fichero propiedad del Ayuntamiento de Sumacàrcer con la finalidad de la tramitación y gestión de su solicitud de subvención, para la realización, control y gestión de las operaciones derivadas de la misma y para la actualización de los datos de contacto en el censo de comercios del presente Ayuntamiento. En el caso de que en la documentación aportada a lo largo del proceso se incorporen datos de carácter personal distintos a los del/de los firmante/s de la solicitud de ayuda, el/los mismo/s deberán informar a dichas personas de los extremos contenidos en este apartado y estar en disposición de acreditar documentalmente ante el Ayuntamiento de Sumacàrcer el ejercicio de dicha información. Puede ejercitar, en los casos que procedan, sus derechos de acceso, rectificación, cancelación y oposición, dirigiéndose por escrito al registro del Ayuntamiento de Sumacàrcer. </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t>12. REGIMEN DE RECURSOS</w:t>
      </w:r>
    </w:p>
    <w:p>
      <w:pPr>
        <w:pStyle w:val="Normal"/>
        <w:ind w:left="0" w:right="-2" w:hanging="0"/>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Default"/>
        <w:ind w:left="0" w:right="-2" w:hanging="0"/>
        <w:jc w:val="both"/>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Contra la presente convocatoria, sus bases y resoluciones administrativas que se adopten en ejecución de las mismas podrán interponerse, potestativamente, los siguientes recursos: </w:t>
      </w:r>
    </w:p>
    <w:p>
      <w:pPr>
        <w:pStyle w:val="Default"/>
        <w:ind w:left="0" w:right="-2" w:hanging="0"/>
        <w:jc w:val="both"/>
        <w:rPr>
          <w:rFonts w:ascii="Times New Roman" w:hAnsi="Times New Roman" w:cs="Times New Roman"/>
          <w:b/>
          <w:b/>
          <w:sz w:val="24"/>
          <w:szCs w:val="24"/>
        </w:rPr>
      </w:pPr>
      <w:r>
        <w:rPr>
          <w:rFonts w:cs="Times New Roman" w:ascii="Times New Roman" w:hAnsi="Times New Roman"/>
          <w:b/>
          <w:sz w:val="24"/>
          <w:szCs w:val="24"/>
        </w:rPr>
      </w:r>
    </w:p>
    <w:p>
      <w:pPr>
        <w:pStyle w:val="Default"/>
        <w:ind w:left="0" w:right="0" w:hanging="0"/>
        <w:jc w:val="both"/>
        <w:rPr/>
      </w:pPr>
      <w:r>
        <w:rPr>
          <w:rFonts w:cs="Times New Roman" w:ascii="Times New Roman" w:hAnsi="Times New Roman"/>
          <w:strike w:val="false"/>
          <w:dstrike w:val="false"/>
          <w:sz w:val="24"/>
          <w:szCs w:val="24"/>
          <w:u w:val="none"/>
        </w:rPr>
        <w:t>•</w:t>
      </w:r>
      <w:r>
        <w:rPr>
          <w:rFonts w:eastAsia="Times New Roman" w:cs="Times New Roman" w:ascii="Times New Roman" w:hAnsi="Times New Roman"/>
          <w:strike w:val="false"/>
          <w:dstrike w:val="false"/>
          <w:sz w:val="24"/>
          <w:szCs w:val="24"/>
          <w:u w:val="none"/>
        </w:rPr>
        <w:t xml:space="preserve"> </w:t>
      </w:r>
      <w:r>
        <w:rPr>
          <w:rFonts w:cs="Times New Roman" w:ascii="Times New Roman" w:hAnsi="Times New Roman"/>
          <w:strike w:val="false"/>
          <w:dstrike w:val="false"/>
          <w:sz w:val="24"/>
          <w:szCs w:val="24"/>
          <w:u w:val="none"/>
        </w:rPr>
        <w:t xml:space="preserve">Recurso de reposición ante el mismo órgano municipal autor del acto administrativo en el plazo de un mes a partir del día siguiente de la notificación o, en su caso, publicación del acto que se recurra. </w:t>
      </w:r>
    </w:p>
    <w:p>
      <w:pPr>
        <w:pStyle w:val="Default"/>
        <w:ind w:left="0" w:right="0" w:hanging="0"/>
        <w:jc w:val="both"/>
        <w:rPr>
          <w:rFonts w:ascii="Times New Roman" w:hAnsi="Times New Roman" w:cs="Times New Roman"/>
          <w:sz w:val="24"/>
          <w:szCs w:val="24"/>
        </w:rPr>
      </w:pPr>
      <w:r>
        <w:rPr>
          <w:rFonts w:cs="Times New Roman" w:ascii="Times New Roman" w:hAnsi="Times New Roman"/>
          <w:sz w:val="24"/>
          <w:szCs w:val="24"/>
        </w:rPr>
      </w:r>
    </w:p>
    <w:p>
      <w:pPr>
        <w:pStyle w:val="Default"/>
        <w:spacing w:before="0" w:after="0"/>
        <w:ind w:left="0" w:right="0" w:hanging="0"/>
        <w:jc w:val="both"/>
        <w:rPr/>
      </w:pPr>
      <w:r>
        <w:rPr>
          <w:rFonts w:cs="Times New Roman" w:ascii="Times New Roman" w:hAnsi="Times New Roman"/>
          <w:strike w:val="false"/>
          <w:dstrike w:val="false"/>
          <w:sz w:val="24"/>
          <w:szCs w:val="24"/>
          <w:u w:val="none"/>
        </w:rPr>
        <w:t>•</w:t>
      </w:r>
      <w:r>
        <w:rPr>
          <w:rFonts w:eastAsia="Times New Roman" w:cs="Times New Roman" w:ascii="Times New Roman" w:hAnsi="Times New Roman"/>
          <w:strike w:val="false"/>
          <w:dstrike w:val="false"/>
          <w:sz w:val="24"/>
          <w:szCs w:val="24"/>
          <w:u w:val="none"/>
        </w:rPr>
        <w:t xml:space="preserve"> </w:t>
      </w:r>
      <w:r>
        <w:rPr>
          <w:rFonts w:cs="Times New Roman" w:ascii="Times New Roman" w:hAnsi="Times New Roman"/>
          <w:strike w:val="false"/>
          <w:dstrike w:val="false"/>
          <w:sz w:val="24"/>
          <w:szCs w:val="24"/>
          <w:u w:val="none"/>
        </w:rPr>
        <w:t xml:space="preserve">Recurso Contencioso-Administrativo ante el Juzgado de lo Contencioso- Administrativo de Valencia en el plazo de dos meses. Este plazo se computará a partir del día siguiente a la notificación o publicación del acto que se recurra. </w:t>
      </w:r>
    </w:p>
    <w:p>
      <w:pPr>
        <w:pStyle w:val="Normal"/>
        <w:ind w:left="0" w:right="-2"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ind w:left="0" w:right="-2" w:hanging="0"/>
        <w:jc w:val="both"/>
        <w:rPr>
          <w:rFonts w:ascii="Times New Roman" w:hAnsi="Times New Roman" w:cs="Times New Roman"/>
          <w:b/>
          <w:b/>
          <w:sz w:val="24"/>
          <w:szCs w:val="24"/>
        </w:rPr>
      </w:pPr>
      <w:r>
        <w:rPr>
          <w:rFonts w:cs="Times New Roman" w:ascii="Times New Roman" w:hAnsi="Times New Roman"/>
          <w:b/>
          <w:sz w:val="24"/>
          <w:szCs w:val="24"/>
        </w:rPr>
      </w:r>
    </w:p>
    <w:p>
      <w:pPr>
        <w:pStyle w:val="Normal"/>
        <w:ind w:left="0" w:right="-2" w:hanging="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El Alcalde-Presidente</w:t>
      </w:r>
    </w:p>
    <w:p>
      <w:pPr>
        <w:pStyle w:val="Normal"/>
        <w:ind w:left="0" w:right="-2" w:hanging="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ind w:left="0" w:right="-2" w:hanging="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ind w:left="0" w:right="-2" w:hanging="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Normal"/>
        <w:ind w:left="0" w:right="-2" w:hanging="0"/>
        <w:jc w:val="center"/>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Fdo: David Pons García</w:t>
      </w:r>
    </w:p>
    <w:sectPr>
      <w:headerReference w:type="default" r:id="rId2"/>
      <w:footerReference w:type="default" r:id="rId3"/>
      <w:type w:val="nextPage"/>
      <w:pgSz w:w="11906" w:h="16838"/>
      <w:pgMar w:left="1701" w:right="1701" w:header="709" w:top="2447" w:footer="709" w:bottom="153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1"/>
    <w:family w:val="auto"/>
    <w:pitch w:val="default"/>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DejaVu Sans">
    <w:charset w:val="00"/>
    <w:family w:val="roman"/>
    <w:pitch w:val="variable"/>
  </w:font>
  <w:font w:name="Verdana">
    <w:charset w:val="00"/>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Ajuntament de Sumacàrcer</w:t>
    </w:r>
  </w:p>
  <w:p>
    <w:pPr>
      <w:pStyle w:val="Cuerpodetexto"/>
      <w:spacing w:before="0" w:after="120"/>
      <w:jc w:val="center"/>
      <w:rPr>
        <w:b w:val="false"/>
        <w:b w:val="false"/>
        <w:bCs w:val="false"/>
        <w:sz w:val="16"/>
      </w:rPr>
    </w:pPr>
    <w:r>
      <w:rPr>
        <w:b w:val="false"/>
        <w:bCs w:val="false"/>
        <w:sz w:val="16"/>
      </w:rPr>
      <w:t>Plaça Major, 1, Sumacàrcer. 46295 (València). Tel. 962595280. Fax: 962595531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pBdr/>
      <w:rPr/>
    </w:pPr>
    <w:r>
      <w:rPr/>
      <w:drawing>
        <wp:inline distT="0" distB="0" distL="0" distR="0">
          <wp:extent cx="699770" cy="69977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52" t="-252" r="-252" b="-252"/>
                  <a:stretch>
                    <a:fillRect/>
                  </a:stretch>
                </pic:blipFill>
                <pic:spPr bwMode="auto">
                  <a:xfrm>
                    <a:off x="0" y="0"/>
                    <a:ext cx="699770" cy="699770"/>
                  </a:xfrm>
                  <a:prstGeom prst="rect">
                    <a:avLst/>
                  </a:prstGeom>
                </pic:spPr>
              </pic:pic>
            </a:graphicData>
          </a:graphic>
        </wp:inline>
      </w:drawing>
    </w:r>
    <w:r>
      <w:rPr>
        <w:rFonts w:eastAsia="Verdana" w:cs="Verdana"/>
      </w:rPr>
      <w:t xml:space="preserve"> </w:t>
    </w:r>
  </w:p>
  <w:p>
    <w:pPr>
      <w:pStyle w:val="Header2"/>
      <w:pBdr>
        <w:bottom w:val="single" w:sz="4" w:space="5" w:color="000000"/>
      </w:pBdr>
      <w:jc w:val="center"/>
      <w:rPr>
        <w:b/>
        <w:b/>
        <w:bCs/>
        <w:sz w:val="28"/>
        <w:szCs w:val="28"/>
      </w:rPr>
    </w:pPr>
    <w:r>
      <w:rPr>
        <w:b/>
        <w:bCs/>
        <w:sz w:val="28"/>
        <w:szCs w:val="28"/>
      </w:rPr>
      <w:t>Ajuntament de Sumacàrcer</w:t>
    </w:r>
  </w:p>
</w:hdr>
</file>

<file path=word/settings.xml><?xml version="1.0" encoding="utf-8"?>
<w:settings xmlns:w="http://schemas.openxmlformats.org/wordprocessingml/2006/main">
  <w:zoom w:percent="110"/>
  <w:displayBackgroundShape/>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Verdana" w:hAnsi="Verdana" w:eastAsia="Lucida Sans Unicode" w:cs="Tahoma"/>
      <w:color w:val="auto"/>
      <w:kern w:val="2"/>
      <w:sz w:val="20"/>
      <w:szCs w:val="24"/>
      <w:lang w:val="es-ES" w:eastAsia="zxx" w:bidi="zxx"/>
    </w:rPr>
  </w:style>
  <w:style w:type="character" w:styleId="EnlacedeInternet">
    <w:name w:val="Enlace de Internet"/>
    <w:rPr>
      <w:color w:val="0563C1"/>
      <w:u w:val="single"/>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120"/>
    </w:pPr>
    <w:rPr>
      <w:rFonts w:ascii="Verdana" w:hAnsi="Verdana" w:eastAsia="MS Mincho" w:cs="Tahoma"/>
      <w:sz w:val="20"/>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20"/>
        <w:tab w:val="center" w:pos="4818" w:leader="none"/>
        <w:tab w:val="right" w:pos="9637" w:leader="none"/>
      </w:tabs>
    </w:pPr>
    <w:rPr/>
  </w:style>
  <w:style w:type="paragraph" w:styleId="Footer1">
    <w:name w:val="Footer1"/>
    <w:basedOn w:val="Normal"/>
    <w:qFormat/>
    <w:pPr>
      <w:suppressLineNumbers/>
      <w:tabs>
        <w:tab w:val="clear" w:pos="720"/>
        <w:tab w:val="center" w:pos="4818" w:leader="none"/>
        <w:tab w:val="right" w:pos="9637" w:leader="none"/>
      </w:tabs>
      <w:textAlignment w:val="auto"/>
    </w:pPr>
    <w:rPr/>
  </w:style>
  <w:style w:type="paragraph" w:styleId="Header2">
    <w:name w:val="Header2"/>
    <w:basedOn w:val="Normal"/>
    <w:qFormat/>
    <w:pPr>
      <w:suppressLineNumbers/>
      <w:tabs>
        <w:tab w:val="clear" w:pos="720"/>
        <w:tab w:val="right" w:pos="9637" w:leader="none"/>
      </w:tabs>
    </w:pPr>
    <w:rPr/>
  </w:style>
  <w:style w:type="paragraph" w:styleId="Footer2">
    <w:name w:val="Footer2"/>
    <w:basedOn w:val="Normal"/>
    <w:qFormat/>
    <w:pPr>
      <w:suppressLineNumbers/>
      <w:tabs>
        <w:tab w:val="clear" w:pos="720"/>
        <w:tab w:val="right" w:pos="9637" w:leader="none"/>
      </w:tabs>
      <w:textAlignment w:val="auto"/>
    </w:pPr>
    <w:rPr/>
  </w:style>
  <w:style w:type="paragraph" w:styleId="Header3">
    <w:name w:val="Header3"/>
    <w:basedOn w:val="Normal"/>
    <w:qFormat/>
    <w:pPr>
      <w:suppressLineNumbers/>
      <w:tabs>
        <w:tab w:val="clear" w:pos="720"/>
        <w:tab w:val="center" w:pos="4818" w:leader="none"/>
        <w:tab w:val="right" w:pos="9637" w:leader="none"/>
      </w:tabs>
    </w:pPr>
    <w:rPr/>
  </w:style>
  <w:style w:type="paragraph" w:styleId="Header4">
    <w:name w:val="Header4"/>
    <w:basedOn w:val="Normal"/>
    <w:qFormat/>
    <w:pPr>
      <w:suppressLineNumbers/>
      <w:tabs>
        <w:tab w:val="clear" w:pos="720"/>
        <w:tab w:val="center" w:pos="4818" w:leader="none"/>
        <w:tab w:val="right" w:pos="9637" w:leader="none"/>
      </w:tabs>
    </w:pPr>
    <w:rPr/>
  </w:style>
  <w:style w:type="paragraph" w:styleId="Footer3">
    <w:name w:val="Footer3"/>
    <w:basedOn w:val="Normal"/>
    <w:qFormat/>
    <w:pPr>
      <w:suppressLineNumbers/>
      <w:tabs>
        <w:tab w:val="clear" w:pos="720"/>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5386" w:leader="none"/>
        <w:tab w:val="right" w:pos="10772" w:leader="none"/>
      </w:tabs>
    </w:pPr>
    <w:rPr/>
  </w:style>
  <w:style w:type="paragraph" w:styleId="Piedepgina">
    <w:name w:val="Footer"/>
    <w:basedOn w:val="Normal"/>
    <w:pPr>
      <w:suppressLineNumbers/>
      <w:tabs>
        <w:tab w:val="clear" w:pos="720"/>
        <w:tab w:val="center" w:pos="5386" w:leader="none"/>
        <w:tab w:val="right" w:pos="10772" w:leader="none"/>
      </w:tabs>
    </w:pPr>
    <w:rPr/>
  </w:style>
  <w:style w:type="paragraph" w:styleId="Default">
    <w:name w:val="Default"/>
    <w:qFormat/>
    <w:pPr>
      <w:widowControl w:val="false"/>
      <w:suppressAutoHyphens w:val="true"/>
      <w:bidi w:val="0"/>
      <w:jc w:val="left"/>
      <w:textAlignment w:val="auto"/>
    </w:pPr>
    <w:rPr>
      <w:rFonts w:ascii="DejaVu Sans" w:hAnsi="DejaVu Sans" w:eastAsia="SimSun" w:cs="DejaVu Sans"/>
      <w:color w:val="000000"/>
      <w:kern w:val="2"/>
      <w:sz w:val="24"/>
      <w:szCs w:val="24"/>
      <w:lang w:val="es-ES" w:eastAsia="zh-CN" w:bidi="hi-IN"/>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199</TotalTime>
  <Application>LibreOffice/7.0.4.2$Windows_X86_64 LibreOffice_project/dcf040e67528d9187c66b2379df5ea4407429775</Application>
  <AppVersion>15.0000</AppVersion>
  <Pages>8</Pages>
  <Words>1942</Words>
  <Characters>10639</Characters>
  <CharactersWithSpaces>12565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2021-04-27T12:11:00Z</dcterms:created>
  <dc:creator>Inés Lahoz</dc:creator>
  <dc:description/>
  <dc:language>es-ES</dc:language>
  <cp:lastModifiedBy/>
  <cp:lastPrinted>2021-06-08T09:58:00Z</cp:lastPrinted>
  <dcterms:modified xsi:type="dcterms:W3CDTF">2022-06-07T09:23:08Z</dcterms:modified>
  <cp:revision>17</cp:revision>
  <dc:subject/>
  <dc:title>Ref:  Toma posesión</dc:title>
</cp:coreProperties>
</file>