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784F3" w14:textId="22150820" w:rsidR="00D33E91" w:rsidRDefault="008E3341" w:rsidP="00DC7083">
      <w:pPr>
        <w:shd w:val="clear" w:color="auto" w:fill="FFFFFF"/>
        <w:spacing w:before="100" w:beforeAutospacing="1" w:after="100" w:afterAutospacing="1"/>
        <w:jc w:val="both"/>
      </w:pPr>
      <w:r>
        <w:rPr>
          <w:rFonts w:ascii="Roboto" w:eastAsia="Times New Roman" w:hAnsi="Roboto" w:cs="Times New Roman"/>
          <w:b/>
          <w:bCs/>
          <w:color w:val="000000"/>
          <w:sz w:val="22"/>
          <w:szCs w:val="22"/>
          <w:lang w:eastAsia="es-ES" w:bidi="ar-SA"/>
        </w:rPr>
        <w:t>ESTUDI I APROVACIÓ DE LA MODIFICACIÓ DE LA CONVOCATÒRIA PER AL 202</w:t>
      </w:r>
      <w:r w:rsidR="004F462F">
        <w:rPr>
          <w:rFonts w:ascii="Roboto" w:eastAsia="Times New Roman" w:hAnsi="Roboto" w:cs="Times New Roman"/>
          <w:b/>
          <w:bCs/>
          <w:color w:val="000000"/>
          <w:sz w:val="22"/>
          <w:szCs w:val="22"/>
          <w:lang w:eastAsia="es-ES" w:bidi="ar-SA"/>
        </w:rPr>
        <w:t>2</w:t>
      </w:r>
      <w:r>
        <w:rPr>
          <w:rFonts w:ascii="Roboto" w:eastAsia="Times New Roman" w:hAnsi="Roboto" w:cs="Times New Roman"/>
          <w:b/>
          <w:bCs/>
          <w:color w:val="000000"/>
          <w:sz w:val="22"/>
          <w:szCs w:val="22"/>
          <w:lang w:eastAsia="es-ES" w:bidi="ar-SA"/>
        </w:rPr>
        <w:t>, PER A L’ATORGAMENT DE SUBVENCIONS EN MATÈRIA DEL PROGRAMA D</w:t>
      </w:r>
      <w:r w:rsidR="0087674E">
        <w:rPr>
          <w:rFonts w:ascii="Roboto" w:eastAsia="Times New Roman" w:hAnsi="Roboto" w:cs="Times New Roman"/>
          <w:b/>
          <w:bCs/>
          <w:color w:val="000000"/>
          <w:sz w:val="22"/>
          <w:szCs w:val="22"/>
          <w:lang w:eastAsia="es-ES" w:bidi="ar-SA"/>
        </w:rPr>
        <w:t>’</w:t>
      </w:r>
      <w:r>
        <w:rPr>
          <w:rFonts w:ascii="Roboto" w:eastAsia="Times New Roman" w:hAnsi="Roboto" w:cs="Times New Roman"/>
          <w:b/>
          <w:bCs/>
          <w:color w:val="000000"/>
          <w:sz w:val="22"/>
          <w:szCs w:val="22"/>
          <w:lang w:eastAsia="es-ES" w:bidi="ar-SA"/>
        </w:rPr>
        <w:t>AJUTS PER AL FOMENT DE</w:t>
      </w:r>
      <w:r w:rsidR="0087674E">
        <w:rPr>
          <w:rFonts w:ascii="Roboto" w:eastAsia="Times New Roman" w:hAnsi="Roboto" w:cs="Times New Roman"/>
          <w:b/>
          <w:bCs/>
          <w:color w:val="000000"/>
          <w:sz w:val="22"/>
          <w:szCs w:val="22"/>
          <w:lang w:eastAsia="es-ES" w:bidi="ar-SA"/>
        </w:rPr>
        <w:t xml:space="preserve"> L’</w:t>
      </w:r>
      <w:r>
        <w:rPr>
          <w:rFonts w:ascii="Roboto" w:eastAsia="Times New Roman" w:hAnsi="Roboto" w:cs="Times New Roman"/>
          <w:b/>
          <w:bCs/>
          <w:color w:val="000000"/>
          <w:sz w:val="22"/>
          <w:szCs w:val="22"/>
          <w:lang w:eastAsia="es-ES" w:bidi="ar-SA"/>
        </w:rPr>
        <w:t>AUTOEMPRESA (EXP.</w:t>
      </w:r>
      <w:r w:rsidR="0087674E">
        <w:rPr>
          <w:rFonts w:ascii="Roboto" w:eastAsia="Times New Roman" w:hAnsi="Roboto" w:cs="Times New Roman"/>
          <w:b/>
          <w:bCs/>
          <w:color w:val="000000"/>
          <w:sz w:val="22"/>
          <w:szCs w:val="22"/>
          <w:lang w:eastAsia="es-ES" w:bidi="ar-SA"/>
        </w:rPr>
        <w:t xml:space="preserve"> </w:t>
      </w:r>
      <w:r w:rsidR="004F462F">
        <w:rPr>
          <w:rFonts w:ascii="Roboto" w:eastAsia="Times New Roman" w:hAnsi="Roboto" w:cs="Times New Roman"/>
          <w:b/>
          <w:bCs/>
          <w:color w:val="000000"/>
          <w:sz w:val="22"/>
          <w:szCs w:val="22"/>
          <w:lang w:eastAsia="es-ES" w:bidi="ar-SA"/>
        </w:rPr>
        <w:t>430/2022</w:t>
      </w:r>
      <w:r>
        <w:rPr>
          <w:rFonts w:ascii="Roboto" w:eastAsia="Times New Roman" w:hAnsi="Roboto" w:cs="Times New Roman"/>
          <w:b/>
          <w:bCs/>
          <w:color w:val="000000"/>
          <w:sz w:val="22"/>
          <w:szCs w:val="22"/>
          <w:lang w:eastAsia="es-ES" w:bidi="ar-SA"/>
        </w:rPr>
        <w:t>)</w:t>
      </w:r>
    </w:p>
    <w:p w14:paraId="710334A3" w14:textId="4B497B43" w:rsidR="00D33E91" w:rsidRDefault="008E3341" w:rsidP="00DC7083">
      <w:pPr>
        <w:shd w:val="clear" w:color="auto" w:fill="FFFFFF"/>
        <w:spacing w:before="100" w:beforeAutospacing="1" w:after="100" w:afterAutospacing="1"/>
        <w:jc w:val="both"/>
      </w:pPr>
      <w:r>
        <w:rPr>
          <w:rFonts w:ascii="Roboto" w:eastAsia="Times New Roman" w:hAnsi="Roboto" w:cs="Calibri"/>
          <w:color w:val="000000"/>
          <w:sz w:val="22"/>
          <w:szCs w:val="22"/>
          <w:lang w:eastAsia="es-ES" w:bidi="ar-SA"/>
        </w:rPr>
        <w:t>Atès que s’ha d’aprovar la convocatòria per a l’atorgament de subvencions per a la realització del programa d</w:t>
      </w:r>
      <w:r w:rsidR="0087674E">
        <w:rPr>
          <w:rFonts w:ascii="Roboto" w:eastAsia="Times New Roman" w:hAnsi="Roboto" w:cs="Calibri"/>
          <w:color w:val="000000"/>
          <w:sz w:val="22"/>
          <w:szCs w:val="22"/>
          <w:lang w:eastAsia="es-ES" w:bidi="ar-SA"/>
        </w:rPr>
        <w:t>’</w:t>
      </w:r>
      <w:r>
        <w:rPr>
          <w:rFonts w:ascii="Roboto" w:eastAsia="Times New Roman" w:hAnsi="Roboto" w:cs="Calibri"/>
          <w:color w:val="000000"/>
          <w:sz w:val="22"/>
          <w:szCs w:val="22"/>
          <w:lang w:eastAsia="es-ES" w:bidi="ar-SA"/>
        </w:rPr>
        <w:t>ajuts per al foment de l</w:t>
      </w:r>
      <w:r w:rsidR="0087674E">
        <w:rPr>
          <w:rFonts w:ascii="Roboto" w:eastAsia="Times New Roman" w:hAnsi="Roboto" w:cs="Calibri"/>
          <w:color w:val="000000"/>
          <w:sz w:val="22"/>
          <w:szCs w:val="22"/>
          <w:lang w:eastAsia="es-ES" w:bidi="ar-SA"/>
        </w:rPr>
        <w:t>’</w:t>
      </w:r>
      <w:r>
        <w:rPr>
          <w:rFonts w:ascii="Roboto" w:eastAsia="Times New Roman" w:hAnsi="Roboto" w:cs="Calibri"/>
          <w:color w:val="000000"/>
          <w:sz w:val="22"/>
          <w:szCs w:val="22"/>
          <w:lang w:eastAsia="es-ES" w:bidi="ar-SA"/>
        </w:rPr>
        <w:t>autoempresa al municipi de Vandellòs i l’Hospitalet de l’Infant any 202</w:t>
      </w:r>
      <w:r w:rsidR="004F462F">
        <w:rPr>
          <w:rFonts w:ascii="Roboto" w:eastAsia="Times New Roman" w:hAnsi="Roboto" w:cs="Calibri"/>
          <w:color w:val="000000"/>
          <w:sz w:val="22"/>
          <w:szCs w:val="22"/>
          <w:lang w:eastAsia="es-ES" w:bidi="ar-SA"/>
        </w:rPr>
        <w:t>2</w:t>
      </w:r>
      <w:r>
        <w:rPr>
          <w:rFonts w:ascii="Roboto" w:eastAsia="Times New Roman" w:hAnsi="Roboto" w:cs="Calibri"/>
          <w:color w:val="000000"/>
          <w:sz w:val="22"/>
          <w:szCs w:val="22"/>
          <w:lang w:eastAsia="es-ES" w:bidi="ar-SA"/>
        </w:rPr>
        <w:t>.</w:t>
      </w:r>
    </w:p>
    <w:p w14:paraId="669DF7BA" w14:textId="217B0233" w:rsidR="00D33E91" w:rsidRDefault="008E3341" w:rsidP="00DC7083">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Atès que el règim específic d’aquesta convocatòria seria: bases reguladores per l</w:t>
      </w:r>
      <w:r w:rsidR="0087674E">
        <w:rPr>
          <w:rFonts w:ascii="Roboto" w:eastAsia="Times New Roman" w:hAnsi="Roboto" w:cs="Times New Roman"/>
          <w:color w:val="000000"/>
          <w:sz w:val="22"/>
          <w:szCs w:val="22"/>
          <w:lang w:eastAsia="es-ES" w:bidi="ar-SA"/>
        </w:rPr>
        <w:t>’</w:t>
      </w:r>
      <w:r>
        <w:rPr>
          <w:rFonts w:ascii="Roboto" w:eastAsia="Times New Roman" w:hAnsi="Roboto" w:cs="Times New Roman"/>
          <w:color w:val="000000"/>
          <w:sz w:val="22"/>
          <w:szCs w:val="22"/>
          <w:lang w:eastAsia="es-ES" w:bidi="ar-SA"/>
        </w:rPr>
        <w:t xml:space="preserve">atorgament de subvencions per la </w:t>
      </w:r>
      <w:r>
        <w:rPr>
          <w:rFonts w:ascii="Roboto" w:eastAsia="Times New Roman" w:hAnsi="Roboto" w:cs="Calibri"/>
          <w:color w:val="000000"/>
          <w:sz w:val="22"/>
          <w:szCs w:val="22"/>
          <w:lang w:eastAsia="es-ES" w:bidi="ar-SA"/>
        </w:rPr>
        <w:t>realització del programa d</w:t>
      </w:r>
      <w:r w:rsidR="0087674E">
        <w:rPr>
          <w:rFonts w:ascii="Roboto" w:eastAsia="Times New Roman" w:hAnsi="Roboto" w:cs="Calibri"/>
          <w:color w:val="000000"/>
          <w:sz w:val="22"/>
          <w:szCs w:val="22"/>
          <w:lang w:eastAsia="es-ES" w:bidi="ar-SA"/>
        </w:rPr>
        <w:t>’</w:t>
      </w:r>
      <w:r>
        <w:rPr>
          <w:rFonts w:ascii="Roboto" w:eastAsia="Times New Roman" w:hAnsi="Roboto" w:cs="Calibri"/>
          <w:color w:val="000000"/>
          <w:sz w:val="22"/>
          <w:szCs w:val="22"/>
          <w:lang w:eastAsia="es-ES" w:bidi="ar-SA"/>
        </w:rPr>
        <w:t>ajuts per al foment  de l</w:t>
      </w:r>
      <w:r w:rsidR="0087674E">
        <w:rPr>
          <w:rFonts w:ascii="Roboto" w:eastAsia="Times New Roman" w:hAnsi="Roboto" w:cs="Calibri"/>
          <w:color w:val="000000"/>
          <w:sz w:val="22"/>
          <w:szCs w:val="22"/>
          <w:lang w:eastAsia="es-ES" w:bidi="ar-SA"/>
        </w:rPr>
        <w:t>’</w:t>
      </w:r>
      <w:r>
        <w:rPr>
          <w:rFonts w:ascii="Roboto" w:eastAsia="Times New Roman" w:hAnsi="Roboto" w:cs="Calibri"/>
          <w:color w:val="000000"/>
          <w:sz w:val="22"/>
          <w:szCs w:val="22"/>
          <w:lang w:eastAsia="es-ES" w:bidi="ar-SA"/>
        </w:rPr>
        <w:t>autoempresa al municipi de Vandellòs i l’Hospitalet de l’Infant</w:t>
      </w:r>
      <w:r w:rsidR="0087674E">
        <w:rPr>
          <w:rFonts w:ascii="Roboto" w:eastAsia="Times New Roman" w:hAnsi="Roboto" w:cs="Calibri"/>
          <w:color w:val="000000"/>
          <w:sz w:val="22"/>
          <w:szCs w:val="22"/>
          <w:lang w:eastAsia="es-ES" w:bidi="ar-SA"/>
        </w:rPr>
        <w:t>.</w:t>
      </w:r>
      <w:r>
        <w:rPr>
          <w:rFonts w:ascii="Roboto" w:eastAsia="Times New Roman" w:hAnsi="Roboto" w:cs="Calibri"/>
          <w:color w:val="000000"/>
          <w:sz w:val="22"/>
          <w:szCs w:val="22"/>
          <w:lang w:eastAsia="es-ES" w:bidi="ar-SA"/>
        </w:rPr>
        <w:t xml:space="preserve"> </w:t>
      </w:r>
      <w:r w:rsidR="0087674E">
        <w:rPr>
          <w:rFonts w:ascii="Roboto" w:eastAsia="Times New Roman" w:hAnsi="Roboto" w:cs="Calibri"/>
          <w:color w:val="000000"/>
          <w:sz w:val="22"/>
          <w:szCs w:val="22"/>
          <w:lang w:eastAsia="es-ES" w:bidi="ar-SA"/>
        </w:rPr>
        <w:t>L</w:t>
      </w:r>
      <w:r>
        <w:rPr>
          <w:rFonts w:ascii="Roboto" w:eastAsia="Times New Roman" w:hAnsi="Roboto" w:cs="Calibri"/>
          <w:color w:val="000000"/>
          <w:sz w:val="22"/>
          <w:szCs w:val="22"/>
          <w:lang w:eastAsia="es-ES" w:bidi="ar-SA"/>
        </w:rPr>
        <w:t xml:space="preserve">es </w:t>
      </w:r>
      <w:r>
        <w:rPr>
          <w:rFonts w:ascii="Roboto" w:hAnsi="Roboto"/>
          <w:color w:val="000000"/>
          <w:sz w:val="22"/>
          <w:szCs w:val="22"/>
        </w:rPr>
        <w:t xml:space="preserve">bases van ser aprovades al Ple del 29 d´octubre de 2014 i </w:t>
      </w:r>
      <w:r>
        <w:rPr>
          <w:rFonts w:ascii="Roboto" w:eastAsia="Times New Roman" w:hAnsi="Roboto" w:cs="Calibri"/>
          <w:color w:val="000000"/>
          <w:sz w:val="22"/>
          <w:szCs w:val="22"/>
          <w:lang w:eastAsia="es-ES" w:bidi="ar-SA"/>
        </w:rPr>
        <w:t xml:space="preserve"> publicades definitivament al BOPT n</w:t>
      </w:r>
      <w:r w:rsidR="0087674E">
        <w:rPr>
          <w:rFonts w:ascii="Roboto" w:eastAsia="Times New Roman" w:hAnsi="Roboto" w:cs="Calibri"/>
          <w:color w:val="000000"/>
          <w:sz w:val="22"/>
          <w:szCs w:val="22"/>
          <w:lang w:eastAsia="es-ES" w:bidi="ar-SA"/>
        </w:rPr>
        <w:t>ú</w:t>
      </w:r>
      <w:r>
        <w:rPr>
          <w:rFonts w:ascii="Roboto" w:eastAsia="Times New Roman" w:hAnsi="Roboto" w:cs="Calibri"/>
          <w:color w:val="000000"/>
          <w:sz w:val="22"/>
          <w:szCs w:val="22"/>
          <w:lang w:eastAsia="es-ES" w:bidi="ar-SA"/>
        </w:rPr>
        <w:t xml:space="preserve">m. </w:t>
      </w:r>
      <w:r>
        <w:rPr>
          <w:rFonts w:ascii="Roboto" w:hAnsi="Roboto"/>
          <w:color w:val="000000"/>
          <w:sz w:val="22"/>
          <w:szCs w:val="22"/>
        </w:rPr>
        <w:t>285 del 13/12/2014, realitzant l</w:t>
      </w:r>
      <w:r w:rsidR="0087674E">
        <w:rPr>
          <w:rFonts w:ascii="Roboto" w:hAnsi="Roboto"/>
          <w:color w:val="000000"/>
          <w:sz w:val="22"/>
          <w:szCs w:val="22"/>
        </w:rPr>
        <w:t>’</w:t>
      </w:r>
      <w:r>
        <w:rPr>
          <w:rFonts w:ascii="Roboto" w:hAnsi="Roboto"/>
          <w:color w:val="000000"/>
          <w:sz w:val="22"/>
          <w:szCs w:val="22"/>
        </w:rPr>
        <w:t>aprovació de la seva modificació al Ple del 9 d’ abril de 2020 i definitivament publicades al BOP CVE 2020-2803 de 22 de maig de 2020</w:t>
      </w:r>
      <w:r w:rsidR="0087674E">
        <w:rPr>
          <w:rFonts w:ascii="Roboto" w:hAnsi="Roboto"/>
          <w:color w:val="000000"/>
          <w:sz w:val="22"/>
          <w:szCs w:val="22"/>
        </w:rPr>
        <w:t xml:space="preserve"> i realitzant la seva segona modificació al Ple del 31 de març de 2021 i publicades definitivament al BOPT CVE 2021 – 4281 del 19 de maig de 2021</w:t>
      </w:r>
      <w:r w:rsidR="00944A72">
        <w:rPr>
          <w:rFonts w:ascii="Roboto" w:hAnsi="Roboto"/>
          <w:color w:val="000000"/>
          <w:sz w:val="22"/>
          <w:szCs w:val="22"/>
        </w:rPr>
        <w:t xml:space="preserve"> i realitzant una nova modificació aprovada al Ple de 31 de març de 2022 i publicades definitivament al BOPT </w:t>
      </w:r>
      <w:r w:rsidR="00944A72" w:rsidRPr="00E47AC9">
        <w:rPr>
          <w:rFonts w:ascii="Roboto" w:hAnsi="Roboto"/>
          <w:color w:val="000000"/>
          <w:sz w:val="22"/>
          <w:szCs w:val="22"/>
        </w:rPr>
        <w:t>CVE 2022</w:t>
      </w:r>
      <w:r w:rsidR="00E47AC9" w:rsidRPr="00E47AC9">
        <w:rPr>
          <w:rFonts w:ascii="Roboto" w:hAnsi="Roboto"/>
          <w:color w:val="000000"/>
          <w:sz w:val="22"/>
          <w:szCs w:val="22"/>
        </w:rPr>
        <w:t>-03881</w:t>
      </w:r>
      <w:r w:rsidR="00944A72" w:rsidRPr="00E47AC9">
        <w:rPr>
          <w:rFonts w:ascii="Roboto" w:hAnsi="Roboto"/>
          <w:color w:val="000000"/>
          <w:sz w:val="22"/>
          <w:szCs w:val="22"/>
        </w:rPr>
        <w:t xml:space="preserve"> </w:t>
      </w:r>
      <w:r w:rsidR="00E47AC9" w:rsidRPr="00E47AC9">
        <w:rPr>
          <w:rFonts w:ascii="Roboto" w:hAnsi="Roboto"/>
          <w:color w:val="000000"/>
          <w:sz w:val="22"/>
          <w:szCs w:val="22"/>
        </w:rPr>
        <w:t>de 19</w:t>
      </w:r>
      <w:r w:rsidR="00944A72" w:rsidRPr="00E47AC9">
        <w:rPr>
          <w:rFonts w:ascii="Roboto" w:hAnsi="Roboto"/>
          <w:color w:val="000000"/>
          <w:sz w:val="22"/>
          <w:szCs w:val="22"/>
        </w:rPr>
        <w:t xml:space="preserve"> de maig de 2022</w:t>
      </w:r>
      <w:r w:rsidR="0087674E">
        <w:rPr>
          <w:rFonts w:ascii="Roboto" w:hAnsi="Roboto"/>
          <w:color w:val="000000"/>
          <w:sz w:val="22"/>
          <w:szCs w:val="22"/>
        </w:rPr>
        <w:t xml:space="preserve">. Les bases </w:t>
      </w:r>
      <w:r>
        <w:rPr>
          <w:rFonts w:ascii="Roboto" w:eastAsia="Times New Roman" w:hAnsi="Roboto" w:cs="Times New Roman"/>
          <w:color w:val="000000"/>
          <w:sz w:val="22"/>
          <w:szCs w:val="22"/>
          <w:lang w:eastAsia="es-ES" w:bidi="ar-SA"/>
        </w:rPr>
        <w:t>figuren íntegrament transcrites a la pagina web de l'Ajuntament de Vandellòs i l’Hospitalet de l’Infant, en la secció de Govern Obert i Transparència: Convocatòries de subvencions i ajuts.</w:t>
      </w:r>
    </w:p>
    <w:p w14:paraId="7F804926" w14:textId="4606F3DE" w:rsidR="00D33E91" w:rsidRDefault="008E3341" w:rsidP="00DC7083">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Atès que el crèdit pressupostari al qual s’imputen les subvencions del pressupost municipal de despesa de l’any 202</w:t>
      </w:r>
      <w:r w:rsidR="004F462F">
        <w:rPr>
          <w:rFonts w:ascii="Roboto" w:eastAsia="Times New Roman" w:hAnsi="Roboto" w:cs="Times New Roman"/>
          <w:color w:val="000000"/>
          <w:sz w:val="22"/>
          <w:szCs w:val="22"/>
          <w:lang w:eastAsia="es-ES" w:bidi="ar-SA"/>
        </w:rPr>
        <w:t>2</w:t>
      </w:r>
      <w:r>
        <w:rPr>
          <w:rFonts w:ascii="Roboto" w:eastAsia="Times New Roman" w:hAnsi="Roboto" w:cs="Times New Roman"/>
          <w:color w:val="000000"/>
          <w:sz w:val="22"/>
          <w:szCs w:val="22"/>
          <w:lang w:eastAsia="es-ES" w:bidi="ar-SA"/>
        </w:rPr>
        <w:t>, per un import total de </w:t>
      </w:r>
      <w:r w:rsidR="00944A72">
        <w:rPr>
          <w:rFonts w:ascii="Roboto" w:eastAsia="Times New Roman" w:hAnsi="Roboto" w:cs="Times New Roman"/>
          <w:color w:val="000000"/>
          <w:sz w:val="22"/>
          <w:szCs w:val="22"/>
          <w:lang w:eastAsia="es-ES" w:bidi="ar-SA"/>
        </w:rPr>
        <w:t>5</w:t>
      </w:r>
      <w:r>
        <w:rPr>
          <w:rFonts w:ascii="Roboto" w:eastAsia="Times New Roman" w:hAnsi="Roboto" w:cs="Times New Roman"/>
          <w:color w:val="000000"/>
          <w:sz w:val="22"/>
          <w:szCs w:val="22"/>
          <w:lang w:eastAsia="es-ES" w:bidi="ar-SA"/>
        </w:rPr>
        <w:t>.000,00 euros, seria:</w:t>
      </w:r>
    </w:p>
    <w:p w14:paraId="7EAE873C" w14:textId="07C3535B" w:rsidR="00D33E91" w:rsidRPr="00E47AC9" w:rsidRDefault="00104E67" w:rsidP="00E47AC9">
      <w:pPr>
        <w:pStyle w:val="Prrafodelista"/>
        <w:numPr>
          <w:ilvl w:val="0"/>
          <w:numId w:val="3"/>
        </w:numPr>
        <w:shd w:val="clear" w:color="auto" w:fill="FFFFFF"/>
        <w:spacing w:before="100" w:beforeAutospacing="1" w:after="100" w:afterAutospacing="1"/>
        <w:jc w:val="both"/>
        <w:rPr>
          <w:rFonts w:ascii="Roboto" w:eastAsia="Calibri" w:hAnsi="Roboto" w:cs="Times New Roman"/>
          <w:color w:val="000000"/>
          <w:sz w:val="22"/>
          <w:szCs w:val="22"/>
          <w:lang w:eastAsia="en-US" w:bidi="ar-SA"/>
        </w:rPr>
      </w:pPr>
      <w:bookmarkStart w:id="0" w:name="_Hlk102568021"/>
      <w:r w:rsidRPr="00E47AC9">
        <w:rPr>
          <w:rFonts w:ascii="Roboto" w:eastAsia="Calibri" w:hAnsi="Roboto" w:cs="Times New Roman"/>
          <w:color w:val="000000"/>
          <w:sz w:val="22"/>
          <w:szCs w:val="22"/>
          <w:lang w:eastAsia="en-US" w:bidi="ar-SA"/>
        </w:rPr>
        <w:t>202</w:t>
      </w:r>
      <w:r w:rsidR="00944A72" w:rsidRPr="00E47AC9">
        <w:rPr>
          <w:rFonts w:ascii="Roboto" w:eastAsia="Calibri" w:hAnsi="Roboto" w:cs="Times New Roman"/>
          <w:color w:val="000000"/>
          <w:sz w:val="22"/>
          <w:szCs w:val="22"/>
          <w:lang w:eastAsia="en-US" w:bidi="ar-SA"/>
        </w:rPr>
        <w:t>2</w:t>
      </w:r>
      <w:r w:rsidRPr="00E47AC9">
        <w:rPr>
          <w:rFonts w:ascii="Roboto" w:eastAsia="Calibri" w:hAnsi="Roboto" w:cs="Times New Roman"/>
          <w:color w:val="000000"/>
          <w:sz w:val="22"/>
          <w:szCs w:val="22"/>
          <w:lang w:eastAsia="en-US" w:bidi="ar-SA"/>
        </w:rPr>
        <w:t xml:space="preserve"> – 22 – 241 – 47001</w:t>
      </w:r>
      <w:r w:rsidR="00944A72" w:rsidRPr="00E47AC9">
        <w:rPr>
          <w:rFonts w:ascii="Roboto" w:eastAsia="Calibri" w:hAnsi="Roboto" w:cs="Times New Roman"/>
          <w:color w:val="000000"/>
          <w:sz w:val="22"/>
          <w:szCs w:val="22"/>
          <w:lang w:eastAsia="en-US" w:bidi="ar-SA"/>
        </w:rPr>
        <w:t xml:space="preserve">: </w:t>
      </w:r>
      <w:r w:rsidR="008E3341" w:rsidRPr="00E47AC9">
        <w:rPr>
          <w:rFonts w:ascii="Roboto" w:eastAsia="Calibri" w:hAnsi="Roboto" w:cs="Times New Roman"/>
          <w:color w:val="000000"/>
          <w:sz w:val="22"/>
          <w:szCs w:val="22"/>
          <w:lang w:eastAsia="en-US" w:bidi="ar-SA"/>
        </w:rPr>
        <w:t xml:space="preserve">AJUTS NOVA EMPRESA: </w:t>
      </w:r>
      <w:r w:rsidR="00944A72" w:rsidRPr="00E47AC9">
        <w:rPr>
          <w:rFonts w:ascii="Roboto" w:eastAsia="Calibri" w:hAnsi="Roboto" w:cs="Times New Roman"/>
          <w:color w:val="000000"/>
          <w:sz w:val="22"/>
          <w:szCs w:val="22"/>
          <w:lang w:eastAsia="en-US" w:bidi="ar-SA"/>
        </w:rPr>
        <w:t>5</w:t>
      </w:r>
      <w:r w:rsidR="008E3341" w:rsidRPr="00E47AC9">
        <w:rPr>
          <w:rFonts w:ascii="Roboto" w:eastAsia="Calibri" w:hAnsi="Roboto" w:cs="Times New Roman"/>
          <w:color w:val="000000"/>
          <w:sz w:val="22"/>
          <w:szCs w:val="22"/>
          <w:lang w:eastAsia="en-US" w:bidi="ar-SA"/>
        </w:rPr>
        <w:t>.000,00 euros</w:t>
      </w:r>
    </w:p>
    <w:bookmarkEnd w:id="0"/>
    <w:p w14:paraId="3C7A38E4" w14:textId="1BCA1A5E" w:rsidR="00D33E91" w:rsidRDefault="008E3341" w:rsidP="00DC7083">
      <w:pPr>
        <w:shd w:val="clear" w:color="auto" w:fill="FFFFFF"/>
        <w:spacing w:before="100" w:beforeAutospacing="1" w:after="100" w:afterAutospacing="1"/>
        <w:jc w:val="both"/>
      </w:pPr>
      <w:r>
        <w:rPr>
          <w:rFonts w:ascii="Roboto" w:eastAsia="Calibri" w:hAnsi="Roboto" w:cs="Times New Roman"/>
          <w:color w:val="000000"/>
          <w:sz w:val="22"/>
          <w:szCs w:val="22"/>
          <w:lang w:eastAsia="en-US" w:bidi="ar-SA"/>
        </w:rPr>
        <w:t>Pel que fa a l’objecte, les condicions i la finalitat de la concessió de subvencions convocades, els requisits per sol·licitar-les, els documents i informacions que s’han d’adjuntar a la sol·licitud, així com els criteris de valoració i repartiment consten a les bases específiques reguladores de la convocatòria.</w:t>
      </w:r>
    </w:p>
    <w:p w14:paraId="726C1CF5" w14:textId="77777777" w:rsidR="00D33E91" w:rsidRDefault="008E3341" w:rsidP="00DC7083">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Els sol·licitants hauran d’acreditar mitjançant declaració responsable que reuneixen els requisits per a ser beneficiari/ària previstos en l’article 13 de la Llei 38/2003, de 18 de novembre, General de Subvencions, així com l’acompliment de les obligacions tributàries i amb la Seguretat Social (o, en aquest cas, presentar l’autorització perquè l’Ajuntament pugui consultar aquestes dades).</w:t>
      </w:r>
    </w:p>
    <w:p w14:paraId="68272212" w14:textId="58F2CFE3" w:rsidR="00D33E91" w:rsidRDefault="008E3341" w:rsidP="00DC7083">
      <w:pPr>
        <w:shd w:val="clear" w:color="auto" w:fill="FFFFFF"/>
        <w:spacing w:before="100" w:beforeAutospacing="1" w:after="100" w:afterAutospacing="1"/>
        <w:jc w:val="both"/>
      </w:pPr>
      <w:bookmarkStart w:id="1" w:name="_Hlk102568730"/>
      <w:r>
        <w:rPr>
          <w:rFonts w:ascii="Roboto" w:eastAsia="Times New Roman" w:hAnsi="Roboto" w:cs="Times New Roman"/>
          <w:color w:val="000000"/>
          <w:sz w:val="22"/>
          <w:szCs w:val="22"/>
          <w:lang w:eastAsia="es-ES" w:bidi="ar-SA"/>
        </w:rPr>
        <w:t xml:space="preserve">Atès que el règim de la concessió es tracta: </w:t>
      </w:r>
      <w:r w:rsidR="00840638">
        <w:rPr>
          <w:rFonts w:ascii="Roboto" w:eastAsia="Times New Roman" w:hAnsi="Roboto" w:cs="Times New Roman"/>
          <w:color w:val="000000"/>
          <w:sz w:val="22"/>
          <w:szCs w:val="22"/>
          <w:lang w:eastAsia="es-ES" w:bidi="ar-SA"/>
        </w:rPr>
        <w:t>concessió directa</w:t>
      </w:r>
      <w:r>
        <w:rPr>
          <w:rFonts w:ascii="Roboto" w:eastAsia="Times New Roman" w:hAnsi="Roboto" w:cs="Times New Roman"/>
          <w:color w:val="000000"/>
          <w:sz w:val="22"/>
          <w:szCs w:val="22"/>
          <w:lang w:eastAsia="es-ES" w:bidi="ar-SA"/>
        </w:rPr>
        <w:t>. Convocatòria oberta.</w:t>
      </w:r>
    </w:p>
    <w:bookmarkEnd w:id="1"/>
    <w:p w14:paraId="4BB556DC" w14:textId="77777777" w:rsidR="00D33E91" w:rsidRDefault="008E3341" w:rsidP="00DC7083">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Pel que fa als òrgans d’instrucció i resolució, són:</w:t>
      </w:r>
    </w:p>
    <w:p w14:paraId="4617C1F7" w14:textId="6CA2F857" w:rsidR="00D33E91" w:rsidRDefault="008E3341" w:rsidP="00DC7083">
      <w:pPr>
        <w:pStyle w:val="Prrafodelista"/>
        <w:numPr>
          <w:ilvl w:val="0"/>
          <w:numId w:val="2"/>
        </w:numPr>
        <w:shd w:val="clear" w:color="auto" w:fill="FFFFFF"/>
        <w:spacing w:before="100" w:beforeAutospacing="1" w:after="100" w:afterAutospacing="1"/>
        <w:jc w:val="both"/>
      </w:pPr>
      <w:r w:rsidRPr="00DC7083">
        <w:rPr>
          <w:rFonts w:ascii="Roboto" w:eastAsia="Times New Roman" w:hAnsi="Roboto" w:cs="Times New Roman"/>
          <w:color w:val="000000"/>
          <w:sz w:val="22"/>
          <w:szCs w:val="22"/>
          <w:lang w:eastAsia="es-ES" w:bidi="ar-SA"/>
        </w:rPr>
        <w:t>Òrgan competent per a la instrucció del procediment: Departament de Promoció Econòmica.</w:t>
      </w:r>
    </w:p>
    <w:p w14:paraId="1878FEB1" w14:textId="431E1824" w:rsidR="00D33E91" w:rsidRDefault="008E3341" w:rsidP="00DC7083">
      <w:pPr>
        <w:pStyle w:val="Prrafodelista"/>
        <w:numPr>
          <w:ilvl w:val="0"/>
          <w:numId w:val="2"/>
        </w:numPr>
        <w:shd w:val="clear" w:color="auto" w:fill="FFFFFF"/>
        <w:spacing w:before="100" w:beforeAutospacing="1" w:after="100" w:afterAutospacing="1"/>
        <w:jc w:val="both"/>
      </w:pPr>
      <w:r w:rsidRPr="00DC7083">
        <w:rPr>
          <w:rFonts w:ascii="Roboto" w:eastAsia="Times New Roman" w:hAnsi="Roboto" w:cs="Times New Roman"/>
          <w:color w:val="000000"/>
          <w:sz w:val="22"/>
          <w:szCs w:val="22"/>
          <w:lang w:eastAsia="es-ES" w:bidi="ar-SA"/>
        </w:rPr>
        <w:t>Òrgan competent per a la resolució del procediment: Junta de Govern Local.</w:t>
      </w:r>
    </w:p>
    <w:p w14:paraId="74CF9D98" w14:textId="77777777" w:rsidR="00D33E91" w:rsidRDefault="008E3341" w:rsidP="00DC7083">
      <w:pPr>
        <w:shd w:val="clear" w:color="auto" w:fill="FFFFFF"/>
        <w:spacing w:before="100" w:beforeAutospacing="1" w:after="100" w:afterAutospacing="1"/>
        <w:jc w:val="both"/>
      </w:pPr>
      <w:r>
        <w:rPr>
          <w:rFonts w:ascii="Roboto" w:eastAsia="Times New Roman" w:hAnsi="Roboto" w:cs="Calibri"/>
          <w:color w:val="000000"/>
          <w:sz w:val="22"/>
          <w:szCs w:val="22"/>
          <w:lang w:eastAsia="es-ES" w:bidi="ar-SA"/>
        </w:rPr>
        <w:t> </w:t>
      </w:r>
    </w:p>
    <w:p w14:paraId="5BDDD37E" w14:textId="7C005E31" w:rsidR="00D33E91" w:rsidRDefault="008E3341" w:rsidP="00DC7083">
      <w:pPr>
        <w:spacing w:before="100" w:beforeAutospacing="1" w:after="100" w:afterAutospacing="1"/>
        <w:jc w:val="both"/>
      </w:pPr>
      <w:r>
        <w:rPr>
          <w:rFonts w:ascii="Roboto" w:eastAsia="Calibri" w:hAnsi="Roboto" w:cs="Times New Roman"/>
          <w:color w:val="000000"/>
          <w:sz w:val="22"/>
          <w:szCs w:val="22"/>
          <w:lang w:eastAsia="en-US" w:bidi="ar-SA"/>
        </w:rPr>
        <w:lastRenderedPageBreak/>
        <w:t>Atès que els terminis de presentació de sol·licituds serà: fins el 30 de novembre de 202</w:t>
      </w:r>
      <w:r w:rsidR="00840638">
        <w:rPr>
          <w:rFonts w:ascii="Roboto" w:eastAsia="Calibri" w:hAnsi="Roboto" w:cs="Times New Roman"/>
          <w:color w:val="000000"/>
          <w:sz w:val="22"/>
          <w:szCs w:val="22"/>
          <w:lang w:eastAsia="en-US" w:bidi="ar-SA"/>
        </w:rPr>
        <w:t>2</w:t>
      </w:r>
      <w:r>
        <w:rPr>
          <w:rFonts w:ascii="Roboto" w:eastAsia="Calibri" w:hAnsi="Roboto" w:cs="Times New Roman"/>
          <w:color w:val="000000"/>
          <w:sz w:val="22"/>
          <w:szCs w:val="22"/>
          <w:lang w:eastAsia="en-US" w:bidi="ar-SA"/>
        </w:rPr>
        <w:t>.</w:t>
      </w:r>
    </w:p>
    <w:p w14:paraId="68076B9A" w14:textId="3A533C8F" w:rsidR="00D33E91" w:rsidRDefault="008E3341" w:rsidP="00DC7083">
      <w:pPr>
        <w:spacing w:before="100" w:beforeAutospacing="1" w:after="100" w:afterAutospacing="1"/>
        <w:jc w:val="both"/>
      </w:pPr>
      <w:r>
        <w:rPr>
          <w:rFonts w:ascii="Roboto" w:eastAsia="Calibri" w:hAnsi="Roboto" w:cs="Times New Roman"/>
          <w:color w:val="000000"/>
          <w:sz w:val="22"/>
          <w:szCs w:val="22"/>
          <w:lang w:eastAsia="en-US" w:bidi="ar-SA"/>
        </w:rPr>
        <w:t>Atès la naturalesa de la convocatòria és del 202</w:t>
      </w:r>
      <w:r w:rsidR="00840638">
        <w:rPr>
          <w:rFonts w:ascii="Roboto" w:eastAsia="Calibri" w:hAnsi="Roboto" w:cs="Times New Roman"/>
          <w:color w:val="000000"/>
          <w:sz w:val="22"/>
          <w:szCs w:val="22"/>
          <w:lang w:eastAsia="en-US" w:bidi="ar-SA"/>
        </w:rPr>
        <w:t>2</w:t>
      </w:r>
      <w:r>
        <w:rPr>
          <w:rFonts w:ascii="Roboto" w:eastAsia="Calibri" w:hAnsi="Roboto" w:cs="Times New Roman"/>
          <w:color w:val="000000"/>
          <w:sz w:val="22"/>
          <w:szCs w:val="22"/>
          <w:lang w:eastAsia="en-US" w:bidi="ar-SA"/>
        </w:rPr>
        <w:t xml:space="preserve"> i en relació de la tipologia despeses subvencionables a la presentació de la sol·licitud. Es realitzarà el càlcul de la totalitat en concepte de bestreta de la quantitat a subvencionar dins els límits que els criteris de valoració i repartiment consten a les bases específiques reguladores.</w:t>
      </w:r>
    </w:p>
    <w:p w14:paraId="7FB7E32F" w14:textId="0F1FA5F2" w:rsidR="00D33E91" w:rsidRDefault="008E3341" w:rsidP="00DC7083">
      <w:pPr>
        <w:spacing w:before="100" w:beforeAutospacing="1" w:after="100" w:afterAutospacing="1"/>
        <w:jc w:val="both"/>
        <w:rPr>
          <w:rFonts w:ascii="Roboto" w:eastAsia="Calibri" w:hAnsi="Roboto" w:cs="Times New Roman"/>
          <w:color w:val="000000"/>
          <w:sz w:val="22"/>
          <w:szCs w:val="22"/>
          <w:lang w:eastAsia="en-US" w:bidi="ar-SA"/>
        </w:rPr>
      </w:pPr>
      <w:r>
        <w:rPr>
          <w:rFonts w:ascii="Roboto" w:eastAsia="Calibri" w:hAnsi="Roboto" w:cs="Times New Roman"/>
          <w:color w:val="000000"/>
          <w:sz w:val="22"/>
          <w:szCs w:val="22"/>
          <w:lang w:eastAsia="en-US" w:bidi="ar-SA"/>
        </w:rPr>
        <w:t>La justificació de la tota la documentació es presentarà dins del període 202</w:t>
      </w:r>
      <w:r w:rsidR="00840638">
        <w:rPr>
          <w:rFonts w:ascii="Roboto" w:eastAsia="Calibri" w:hAnsi="Roboto" w:cs="Times New Roman"/>
          <w:color w:val="000000"/>
          <w:sz w:val="22"/>
          <w:szCs w:val="22"/>
          <w:lang w:eastAsia="en-US" w:bidi="ar-SA"/>
        </w:rPr>
        <w:t>2</w:t>
      </w:r>
      <w:r>
        <w:rPr>
          <w:rFonts w:ascii="Roboto" w:eastAsia="Calibri" w:hAnsi="Roboto" w:cs="Times New Roman"/>
          <w:color w:val="000000"/>
          <w:sz w:val="22"/>
          <w:szCs w:val="22"/>
          <w:lang w:eastAsia="en-US" w:bidi="ar-SA"/>
        </w:rPr>
        <w:t>.</w:t>
      </w:r>
    </w:p>
    <w:p w14:paraId="4C938606" w14:textId="77777777" w:rsidR="00D33E91" w:rsidRDefault="008E3341" w:rsidP="00DC7083">
      <w:pPr>
        <w:spacing w:before="100" w:beforeAutospacing="1" w:after="100" w:afterAutospacing="1"/>
        <w:jc w:val="both"/>
        <w:rPr>
          <w:rFonts w:ascii="Roboto" w:hAnsi="Roboto"/>
          <w:color w:val="000000"/>
          <w:sz w:val="22"/>
          <w:szCs w:val="22"/>
        </w:rPr>
      </w:pPr>
      <w:r>
        <w:rPr>
          <w:rFonts w:ascii="Roboto" w:hAnsi="Roboto"/>
          <w:color w:val="000000"/>
          <w:sz w:val="22"/>
          <w:szCs w:val="22"/>
        </w:rPr>
        <w:t>L’import a justificar  serà del 100% de l’import subvencionat. L’incompliment de les condicions que van ser considerades per a l’atorgament de la subvenció, així com la manca de justificació o la justificació incompleta o incorrecta de l’objecte de la subvenció, comportarà el reintegrament total o parcial  de la subvenció per part del beneficiari.</w:t>
      </w:r>
    </w:p>
    <w:p w14:paraId="52896913" w14:textId="77777777" w:rsidR="00D33E91" w:rsidRDefault="008E3341" w:rsidP="00DC7083">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Atès que la forma de presentació de les sol·licituds serà: electrònicament, o bé presencialment a les oficines municipals d’atenció al ciutadà.</w:t>
      </w:r>
    </w:p>
    <w:p w14:paraId="5A895304" w14:textId="77777777" w:rsidR="00D33E91" w:rsidRDefault="008E3341" w:rsidP="00DC7083">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En quant al termini de resolució i notificació: 6 mesos des de la publicació de l’anunci de la convocatòria en la BDNS i en el Butlletí Oficial corresponent .</w:t>
      </w:r>
    </w:p>
    <w:p w14:paraId="61429C63" w14:textId="77777777" w:rsidR="00D33E91" w:rsidRDefault="008E3341" w:rsidP="00DC7083">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Mitjà de notificació de la resolució: publicació a la seu electrònica.</w:t>
      </w:r>
    </w:p>
    <w:p w14:paraId="53767D4C" w14:textId="77777777" w:rsidR="00D33E91" w:rsidRDefault="008E3341" w:rsidP="00DC7083">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Règim d’acceptació: tàcita, si no es manifesta el contrari en el termini d’un mes des de la notificació de la resolució.</w:t>
      </w:r>
    </w:p>
    <w:p w14:paraId="03B1A5B4" w14:textId="77777777" w:rsidR="00D33E91" w:rsidRDefault="008E3341" w:rsidP="00DC7083">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Règim general aplicable: Llei 38/2003, de 17 de novembre, general de subvencions; Reial decret 887/2006, de 21 de juliol, pel qual s’aprova el reglament de la Llei 38/2003, de 17 de novembre, general de subvencions; Ordenança Municipal de Subvencions; Llei 39/2015, de 1 d’octubre, del procediment administratiu comú de les administracions públiques i la Llei 26/2010, de 3 d’agost, de règim jurídic i de procediment de les administracions públiques de Catalunya.</w:t>
      </w:r>
    </w:p>
    <w:p w14:paraId="512E9CBE" w14:textId="77777777" w:rsidR="00D33E91" w:rsidRDefault="008E3341" w:rsidP="00DC7083">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Atès que les resolucions dictades en execució de la convocatòria exhaureixen la via administrativa.</w:t>
      </w:r>
    </w:p>
    <w:p w14:paraId="04400144" w14:textId="77777777" w:rsidR="00D33E91" w:rsidRDefault="008E3341" w:rsidP="00DC7083">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Règim de recursos contra els actes administratius dictats en execució de la convocatòria : recurs contenciós administratiu, en el termini màxim de dos mesos des de l’endemà de la notificació, davant del Jutjat Contenciós Administratiu de Reus. De manera alternativa i potestativa, recurs de reposició, en el termini màxim d’un mes des de l’endemà de la notificació.</w:t>
      </w:r>
    </w:p>
    <w:p w14:paraId="2BED0DE5" w14:textId="77777777" w:rsidR="00D33E91" w:rsidRDefault="008E3341" w:rsidP="00DC7083">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 xml:space="preserve">Atès el que disposa la Resolució del 9 de desembre de 2015, de la Intervenció General de la Administració de l'Estat, per la que es regula el contingut i periodicitat de la informació a subministrar a la nova Base de Dades Nacional de subvencions publicada al BOE núm. 299, de 15 de desembre de 2015, així com la Resolució de 10 de desembre de 2015, de la Intervenció General de la Administració de l'Estat, pel que es regula el procés de registre i publicació de convocatòries de subvencions i ajuts en el sistema </w:t>
      </w:r>
      <w:r>
        <w:rPr>
          <w:rFonts w:ascii="Roboto" w:eastAsia="Times New Roman" w:hAnsi="Roboto" w:cs="Times New Roman"/>
          <w:color w:val="000000"/>
          <w:sz w:val="22"/>
          <w:szCs w:val="22"/>
          <w:lang w:eastAsia="es-ES" w:bidi="ar-SA"/>
        </w:rPr>
        <w:lastRenderedPageBreak/>
        <w:t>nacional de publicitat de subvencions, publicada al BOE núm. 299, de 15 de desembre de 2015.</w:t>
      </w:r>
    </w:p>
    <w:p w14:paraId="2E5937EF" w14:textId="77777777" w:rsidR="00D33E91" w:rsidRDefault="008E3341" w:rsidP="00DC7083">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Atès el que disposa l'article 17.3 b i 20.8 a ) de la Llei 38 /2003, de 17 de novembre, General de Subvencions.</w:t>
      </w:r>
    </w:p>
    <w:p w14:paraId="7C8F80C4" w14:textId="77777777" w:rsidR="008E3341" w:rsidRDefault="008E3341" w:rsidP="00DC7083">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Atès el que disposa la r</w:t>
      </w:r>
      <w:r w:rsidRPr="008E3341">
        <w:rPr>
          <w:rFonts w:ascii="Roboto" w:eastAsia="Times New Roman" w:hAnsi="Roboto" w:cs="Times New Roman"/>
          <w:color w:val="000000"/>
          <w:sz w:val="22"/>
          <w:szCs w:val="22"/>
          <w:lang w:eastAsia="es-ES" w:bidi="ar-SA"/>
        </w:rPr>
        <w:t xml:space="preserve">ef. </w:t>
      </w:r>
      <w:r>
        <w:rPr>
          <w:rFonts w:ascii="Roboto" w:eastAsia="Times New Roman" w:hAnsi="Roboto" w:cs="Times New Roman"/>
          <w:color w:val="000000"/>
          <w:sz w:val="22"/>
          <w:szCs w:val="22"/>
          <w:lang w:eastAsia="es-ES" w:bidi="ar-SA"/>
        </w:rPr>
        <w:t>l</w:t>
      </w:r>
      <w:r w:rsidRPr="008E3341">
        <w:rPr>
          <w:rFonts w:ascii="Roboto" w:eastAsia="Times New Roman" w:hAnsi="Roboto" w:cs="Times New Roman"/>
          <w:color w:val="000000"/>
          <w:sz w:val="22"/>
          <w:szCs w:val="22"/>
          <w:lang w:eastAsia="es-ES" w:bidi="ar-SA"/>
        </w:rPr>
        <w:t>egal: Art. 13.2.c) RD 424/2017 ACM2008 18.1.A) Art. 23.2.I) LGS Art. 60 RLGS</w:t>
      </w:r>
      <w:r>
        <w:rPr>
          <w:rFonts w:ascii="Roboto" w:eastAsia="Times New Roman" w:hAnsi="Roboto" w:cs="Times New Roman"/>
          <w:color w:val="000000"/>
          <w:sz w:val="22"/>
          <w:szCs w:val="22"/>
          <w:lang w:eastAsia="es-ES" w:bidi="ar-SA"/>
        </w:rPr>
        <w:t>.</w:t>
      </w:r>
    </w:p>
    <w:p w14:paraId="02C63EF2" w14:textId="77777777" w:rsidR="00D33E91" w:rsidRDefault="008E3341" w:rsidP="00DC7083">
      <w:pPr>
        <w:shd w:val="clear" w:color="auto" w:fill="FFFFFF"/>
        <w:spacing w:before="100" w:beforeAutospacing="1" w:after="100" w:afterAutospacing="1"/>
        <w:jc w:val="both"/>
      </w:pPr>
      <w:r>
        <w:rPr>
          <w:rFonts w:ascii="Roboto" w:eastAsia="Times New Roman" w:hAnsi="Roboto" w:cs="Times New Roman"/>
          <w:color w:val="000000"/>
          <w:sz w:val="22"/>
          <w:szCs w:val="22"/>
          <w:lang w:eastAsia="es-ES" w:bidi="ar-SA"/>
        </w:rPr>
        <w:t>Disposició transitòria única:</w:t>
      </w:r>
    </w:p>
    <w:p w14:paraId="0E71BAAF" w14:textId="792065C5" w:rsidR="00D33E91" w:rsidRDefault="008E3341" w:rsidP="00DC7083">
      <w:pPr>
        <w:shd w:val="clear" w:color="auto" w:fill="FFFFFF"/>
        <w:spacing w:before="100" w:beforeAutospacing="1" w:after="100" w:afterAutospacing="1"/>
        <w:jc w:val="both"/>
      </w:pPr>
      <w:r>
        <w:rPr>
          <w:rFonts w:ascii="Roboto" w:eastAsia="Times New Roman" w:hAnsi="Roboto" w:cs="Calibri"/>
          <w:color w:val="000000"/>
          <w:sz w:val="22"/>
          <w:szCs w:val="22"/>
          <w:lang w:eastAsia="es-ES" w:bidi="ar-SA"/>
        </w:rPr>
        <w:t>Envers les sol·licituds generades al 20</w:t>
      </w:r>
      <w:r w:rsidR="00DC7083">
        <w:rPr>
          <w:rFonts w:ascii="Roboto" w:eastAsia="Times New Roman" w:hAnsi="Roboto" w:cs="Calibri"/>
          <w:color w:val="000000"/>
          <w:sz w:val="22"/>
          <w:szCs w:val="22"/>
          <w:lang w:eastAsia="es-ES" w:bidi="ar-SA"/>
        </w:rPr>
        <w:t>2</w:t>
      </w:r>
      <w:r w:rsidR="00840638">
        <w:rPr>
          <w:rFonts w:ascii="Roboto" w:eastAsia="Times New Roman" w:hAnsi="Roboto" w:cs="Calibri"/>
          <w:color w:val="000000"/>
          <w:sz w:val="22"/>
          <w:szCs w:val="22"/>
          <w:lang w:eastAsia="es-ES" w:bidi="ar-SA"/>
        </w:rPr>
        <w:t>1</w:t>
      </w:r>
      <w:r>
        <w:rPr>
          <w:rFonts w:ascii="Roboto" w:eastAsia="Times New Roman" w:hAnsi="Roboto" w:cs="Calibri"/>
          <w:color w:val="000000"/>
          <w:sz w:val="22"/>
          <w:szCs w:val="22"/>
          <w:lang w:eastAsia="es-ES" w:bidi="ar-SA"/>
        </w:rPr>
        <w:t>, excepcionalment, seran objecte de subvenció d´aquesta convocatòria si consta acord fet de la junta de govern local de l</w:t>
      </w:r>
      <w:r w:rsidR="00DC7083">
        <w:rPr>
          <w:rFonts w:ascii="Roboto" w:eastAsia="Times New Roman" w:hAnsi="Roboto" w:cs="Calibri"/>
          <w:color w:val="000000"/>
          <w:sz w:val="22"/>
          <w:szCs w:val="22"/>
          <w:lang w:eastAsia="es-ES" w:bidi="ar-SA"/>
        </w:rPr>
        <w:t>’</w:t>
      </w:r>
      <w:r>
        <w:rPr>
          <w:rFonts w:ascii="Roboto" w:eastAsia="Times New Roman" w:hAnsi="Roboto" w:cs="Calibri"/>
          <w:color w:val="000000"/>
          <w:sz w:val="22"/>
          <w:szCs w:val="22"/>
          <w:lang w:eastAsia="es-ES" w:bidi="ar-SA"/>
        </w:rPr>
        <w:t>exercici econòmic de 20</w:t>
      </w:r>
      <w:r w:rsidR="00DC7083">
        <w:rPr>
          <w:rFonts w:ascii="Roboto" w:eastAsia="Times New Roman" w:hAnsi="Roboto" w:cs="Calibri"/>
          <w:color w:val="000000"/>
          <w:sz w:val="22"/>
          <w:szCs w:val="22"/>
          <w:lang w:eastAsia="es-ES" w:bidi="ar-SA"/>
        </w:rPr>
        <w:t>2</w:t>
      </w:r>
      <w:r w:rsidR="00840638">
        <w:rPr>
          <w:rFonts w:ascii="Roboto" w:eastAsia="Times New Roman" w:hAnsi="Roboto" w:cs="Calibri"/>
          <w:color w:val="000000"/>
          <w:sz w:val="22"/>
          <w:szCs w:val="22"/>
          <w:lang w:eastAsia="es-ES" w:bidi="ar-SA"/>
        </w:rPr>
        <w:t>1</w:t>
      </w:r>
      <w:r>
        <w:rPr>
          <w:rFonts w:ascii="Roboto" w:eastAsia="Times New Roman" w:hAnsi="Roboto" w:cs="Calibri"/>
          <w:color w:val="000000"/>
          <w:sz w:val="22"/>
          <w:szCs w:val="22"/>
          <w:lang w:eastAsia="es-ES" w:bidi="ar-SA"/>
        </w:rPr>
        <w:t>.</w:t>
      </w:r>
    </w:p>
    <w:p w14:paraId="3C138170" w14:textId="77777777" w:rsidR="00D33E91" w:rsidRDefault="008E3341" w:rsidP="00DC7083">
      <w:pPr>
        <w:shd w:val="clear" w:color="auto" w:fill="FFFFFF"/>
        <w:spacing w:before="100" w:beforeAutospacing="1" w:after="100" w:afterAutospacing="1"/>
        <w:jc w:val="both"/>
      </w:pPr>
      <w:r>
        <w:rPr>
          <w:rFonts w:ascii="Roboto" w:eastAsia="Times New Roman" w:hAnsi="Roboto" w:cs="Calibri"/>
          <w:color w:val="000000"/>
          <w:sz w:val="22"/>
          <w:szCs w:val="22"/>
          <w:lang w:eastAsia="es-ES" w:bidi="ar-SA"/>
        </w:rPr>
        <w:t> </w:t>
      </w:r>
    </w:p>
    <w:p w14:paraId="53598748" w14:textId="77777777" w:rsidR="00D33E91" w:rsidRDefault="00D33E91" w:rsidP="00DC7083">
      <w:pPr>
        <w:spacing w:before="100" w:beforeAutospacing="1" w:after="100" w:afterAutospacing="1"/>
        <w:jc w:val="both"/>
        <w:rPr>
          <w:rFonts w:ascii="Roboto" w:hAnsi="Roboto"/>
          <w:color w:val="000000"/>
          <w:sz w:val="22"/>
          <w:szCs w:val="22"/>
        </w:rPr>
      </w:pPr>
    </w:p>
    <w:sectPr w:rsidR="00D33E91">
      <w:headerReference w:type="default" r:id="rId7"/>
      <w:footerReference w:type="default" r:id="rId8"/>
      <w:pgSz w:w="11906" w:h="16838"/>
      <w:pgMar w:top="2267" w:right="1701" w:bottom="1693" w:left="1701" w:header="283"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F07C9" w14:textId="77777777" w:rsidR="0028224C" w:rsidRDefault="0028224C">
      <w:r>
        <w:separator/>
      </w:r>
    </w:p>
  </w:endnote>
  <w:endnote w:type="continuationSeparator" w:id="0">
    <w:p w14:paraId="71C926A7" w14:textId="77777777" w:rsidR="0028224C" w:rsidRDefault="00282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59B12" w14:textId="77777777" w:rsidR="00D33E91" w:rsidRDefault="008E3341">
    <w:pPr>
      <w:pStyle w:val="Piedepgina"/>
    </w:pPr>
    <w:r>
      <w:rPr>
        <w:noProof/>
      </w:rPr>
      <w:drawing>
        <wp:anchor distT="0" distB="0" distL="114300" distR="114300" simplePos="0" relativeHeight="251661312" behindDoc="0" locked="0" layoutInCell="1" allowOverlap="1" wp14:anchorId="658B624C" wp14:editId="7A8010A5">
          <wp:simplePos x="0" y="0"/>
          <wp:positionH relativeFrom="column">
            <wp:posOffset>0</wp:posOffset>
          </wp:positionH>
          <wp:positionV relativeFrom="paragraph">
            <wp:posOffset>-56515</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lum/>
                    <a:alphaModFix/>
                  </a:blip>
                  <a:stretch/>
                </pic:blipFill>
                <pic:spPr bwMode="auto">
                  <a:xfrm>
                    <a:off x="0" y="0"/>
                    <a:ext cx="5400000" cy="723959"/>
                  </a:xfrm>
                  <a:prstGeom prst="rect">
                    <a:avLst/>
                  </a:prstGeom>
                  <a:noFill/>
                  <a:ln>
                    <a:noFill/>
                    <a:prstDash val="soli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78A71" w14:textId="77777777" w:rsidR="0028224C" w:rsidRDefault="0028224C">
      <w:r>
        <w:rPr>
          <w:color w:val="000000"/>
        </w:rPr>
        <w:separator/>
      </w:r>
    </w:p>
  </w:footnote>
  <w:footnote w:type="continuationSeparator" w:id="0">
    <w:p w14:paraId="1983FEB6" w14:textId="77777777" w:rsidR="0028224C" w:rsidRDefault="002822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8C996" w14:textId="77777777" w:rsidR="00D33E91" w:rsidRDefault="008E3341">
    <w:pPr>
      <w:pStyle w:val="Encabezado"/>
    </w:pPr>
    <w:r>
      <w:rPr>
        <w:noProof/>
      </w:rPr>
      <mc:AlternateContent>
        <mc:Choice Requires="wpg">
          <w:drawing>
            <wp:anchor distT="0" distB="0" distL="114300" distR="114300" simplePos="0" relativeHeight="251659264" behindDoc="0" locked="0" layoutInCell="1" allowOverlap="1" wp14:anchorId="22858255" wp14:editId="76E5B631">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lum/>
                        <a:alphaModFix/>
                      </a:blip>
                      <a:stretch/>
                    </pic:blipFill>
                    <pic:spPr bwMode="auto">
                      <a:xfrm>
                        <a:off x="0" y="0"/>
                        <a:ext cx="2700000" cy="763200"/>
                      </a:xfrm>
                      <a:prstGeom prst="rect">
                        <a:avLst/>
                      </a:prstGeom>
                      <a:noFill/>
                      <a:ln>
                        <a:noFill/>
                        <a:prstDash val="soli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true;mso-position-horizontal-relative:text;margin-left:0.0pt;mso-position-horizontal:absolute;mso-position-vertical-relative:text;margin-top:21.3pt;mso-position-vertical:absolute;width:212.6pt;height:60.1pt;">
              <v:path textboxrect="0,0,0,0"/>
              <v:imagedata r:id="rId2"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04A4E"/>
    <w:multiLevelType w:val="hybridMultilevel"/>
    <w:tmpl w:val="887ED25C"/>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B7D4404"/>
    <w:multiLevelType w:val="hybridMultilevel"/>
    <w:tmpl w:val="310CEF4E"/>
    <w:lvl w:ilvl="0" w:tplc="3E9E9660">
      <w:start w:val="1"/>
      <w:numFmt w:val="lowerLetter"/>
      <w:lvlText w:val="%1."/>
      <w:lvlJc w:val="left"/>
      <w:pPr>
        <w:ind w:left="720" w:hanging="360"/>
      </w:pPr>
    </w:lvl>
    <w:lvl w:ilvl="1" w:tplc="553A0906">
      <w:start w:val="1"/>
      <w:numFmt w:val="lowerLetter"/>
      <w:lvlText w:val="%2."/>
      <w:lvlJc w:val="left"/>
      <w:pPr>
        <w:ind w:left="1440" w:hanging="360"/>
      </w:pPr>
    </w:lvl>
    <w:lvl w:ilvl="2" w:tplc="9E84C3CE">
      <w:start w:val="1"/>
      <w:numFmt w:val="lowerRoman"/>
      <w:lvlText w:val="%3."/>
      <w:lvlJc w:val="right"/>
      <w:pPr>
        <w:ind w:left="2160" w:hanging="180"/>
      </w:pPr>
    </w:lvl>
    <w:lvl w:ilvl="3" w:tplc="4A7E41C4">
      <w:start w:val="1"/>
      <w:numFmt w:val="decimal"/>
      <w:lvlText w:val="%4."/>
      <w:lvlJc w:val="left"/>
      <w:pPr>
        <w:ind w:left="2880" w:hanging="360"/>
      </w:pPr>
    </w:lvl>
    <w:lvl w:ilvl="4" w:tplc="8A78A1FC">
      <w:start w:val="1"/>
      <w:numFmt w:val="lowerLetter"/>
      <w:lvlText w:val="%5."/>
      <w:lvlJc w:val="left"/>
      <w:pPr>
        <w:ind w:left="3600" w:hanging="360"/>
      </w:pPr>
    </w:lvl>
    <w:lvl w:ilvl="5" w:tplc="F2E2673A">
      <w:start w:val="1"/>
      <w:numFmt w:val="lowerRoman"/>
      <w:lvlText w:val="%6."/>
      <w:lvlJc w:val="right"/>
      <w:pPr>
        <w:ind w:left="4320" w:hanging="180"/>
      </w:pPr>
    </w:lvl>
    <w:lvl w:ilvl="6" w:tplc="9334BC00">
      <w:start w:val="1"/>
      <w:numFmt w:val="decimal"/>
      <w:lvlText w:val="%7."/>
      <w:lvlJc w:val="left"/>
      <w:pPr>
        <w:ind w:left="5040" w:hanging="360"/>
      </w:pPr>
    </w:lvl>
    <w:lvl w:ilvl="7" w:tplc="F814E36E">
      <w:start w:val="1"/>
      <w:numFmt w:val="lowerLetter"/>
      <w:lvlText w:val="%8."/>
      <w:lvlJc w:val="left"/>
      <w:pPr>
        <w:ind w:left="5760" w:hanging="360"/>
      </w:pPr>
    </w:lvl>
    <w:lvl w:ilvl="8" w:tplc="ADEA730E">
      <w:start w:val="1"/>
      <w:numFmt w:val="lowerRoman"/>
      <w:lvlText w:val="%9."/>
      <w:lvlJc w:val="right"/>
      <w:pPr>
        <w:ind w:left="6480" w:hanging="180"/>
      </w:pPr>
    </w:lvl>
  </w:abstractNum>
  <w:abstractNum w:abstractNumId="2" w15:restartNumberingAfterBreak="0">
    <w:nsid w:val="64D34FC1"/>
    <w:multiLevelType w:val="hybridMultilevel"/>
    <w:tmpl w:val="D9E0171E"/>
    <w:lvl w:ilvl="0" w:tplc="0C0A0019">
      <w:start w:val="1"/>
      <w:numFmt w:val="lowerLetter"/>
      <w:lvlText w:val="%1."/>
      <w:lvlJc w:val="left"/>
      <w:pPr>
        <w:ind w:left="781" w:hanging="360"/>
      </w:pPr>
    </w:lvl>
    <w:lvl w:ilvl="1" w:tplc="04030019" w:tentative="1">
      <w:start w:val="1"/>
      <w:numFmt w:val="lowerLetter"/>
      <w:lvlText w:val="%2."/>
      <w:lvlJc w:val="left"/>
      <w:pPr>
        <w:ind w:left="1501" w:hanging="360"/>
      </w:pPr>
    </w:lvl>
    <w:lvl w:ilvl="2" w:tplc="0403001B" w:tentative="1">
      <w:start w:val="1"/>
      <w:numFmt w:val="lowerRoman"/>
      <w:lvlText w:val="%3."/>
      <w:lvlJc w:val="right"/>
      <w:pPr>
        <w:ind w:left="2221" w:hanging="180"/>
      </w:pPr>
    </w:lvl>
    <w:lvl w:ilvl="3" w:tplc="0403000F" w:tentative="1">
      <w:start w:val="1"/>
      <w:numFmt w:val="decimal"/>
      <w:lvlText w:val="%4."/>
      <w:lvlJc w:val="left"/>
      <w:pPr>
        <w:ind w:left="2941" w:hanging="360"/>
      </w:pPr>
    </w:lvl>
    <w:lvl w:ilvl="4" w:tplc="04030019" w:tentative="1">
      <w:start w:val="1"/>
      <w:numFmt w:val="lowerLetter"/>
      <w:lvlText w:val="%5."/>
      <w:lvlJc w:val="left"/>
      <w:pPr>
        <w:ind w:left="3661" w:hanging="360"/>
      </w:pPr>
    </w:lvl>
    <w:lvl w:ilvl="5" w:tplc="0403001B" w:tentative="1">
      <w:start w:val="1"/>
      <w:numFmt w:val="lowerRoman"/>
      <w:lvlText w:val="%6."/>
      <w:lvlJc w:val="right"/>
      <w:pPr>
        <w:ind w:left="4381" w:hanging="180"/>
      </w:pPr>
    </w:lvl>
    <w:lvl w:ilvl="6" w:tplc="0403000F" w:tentative="1">
      <w:start w:val="1"/>
      <w:numFmt w:val="decimal"/>
      <w:lvlText w:val="%7."/>
      <w:lvlJc w:val="left"/>
      <w:pPr>
        <w:ind w:left="5101" w:hanging="360"/>
      </w:pPr>
    </w:lvl>
    <w:lvl w:ilvl="7" w:tplc="04030019" w:tentative="1">
      <w:start w:val="1"/>
      <w:numFmt w:val="lowerLetter"/>
      <w:lvlText w:val="%8."/>
      <w:lvlJc w:val="left"/>
      <w:pPr>
        <w:ind w:left="5821" w:hanging="360"/>
      </w:pPr>
    </w:lvl>
    <w:lvl w:ilvl="8" w:tplc="0403001B" w:tentative="1">
      <w:start w:val="1"/>
      <w:numFmt w:val="lowerRoman"/>
      <w:lvlText w:val="%9."/>
      <w:lvlJc w:val="right"/>
      <w:pPr>
        <w:ind w:left="6541" w:hanging="180"/>
      </w:pPr>
    </w:lvl>
  </w:abstractNum>
  <w:num w:numId="1" w16cid:durableId="1392188998">
    <w:abstractNumId w:val="1"/>
  </w:num>
  <w:num w:numId="2" w16cid:durableId="2046248065">
    <w:abstractNumId w:val="0"/>
  </w:num>
  <w:num w:numId="3" w16cid:durableId="16643099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isplayBackgroundShape/>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E91"/>
    <w:rsid w:val="00104E67"/>
    <w:rsid w:val="00270989"/>
    <w:rsid w:val="0028224C"/>
    <w:rsid w:val="00475431"/>
    <w:rsid w:val="0047623D"/>
    <w:rsid w:val="004F462F"/>
    <w:rsid w:val="006E1E2C"/>
    <w:rsid w:val="00840638"/>
    <w:rsid w:val="00861F23"/>
    <w:rsid w:val="0087674E"/>
    <w:rsid w:val="008E3341"/>
    <w:rsid w:val="0093021E"/>
    <w:rsid w:val="00944A72"/>
    <w:rsid w:val="00D33E91"/>
    <w:rsid w:val="00DC7083"/>
    <w:rsid w:val="00E47AC9"/>
    <w:rsid w:val="00E938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3EC4B"/>
  <w15:docId w15:val="{CF99AEA8-C14B-434F-AF79-1C28FD81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keepNext/>
      <w:keepLines/>
      <w:spacing w:before="480" w:after="200"/>
      <w:outlineLvl w:val="0"/>
    </w:pPr>
    <w:rPr>
      <w:rFonts w:ascii="Arial" w:eastAsia="Arial" w:hAnsi="Arial" w:cs="Arial"/>
      <w:sz w:val="40"/>
      <w:szCs w:val="40"/>
    </w:rPr>
  </w:style>
  <w:style w:type="paragraph" w:styleId="Ttulo2">
    <w:name w:val="heading 2"/>
    <w:basedOn w:val="Normal"/>
    <w:next w:val="Normal"/>
    <w:link w:val="Ttulo2Car"/>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next w:val="Normal"/>
    <w:link w:val="Ttulo3Car"/>
    <w:uiPriority w:val="9"/>
    <w:unhideWhenUsed/>
    <w:qFormat/>
    <w:pPr>
      <w:keepNext/>
      <w:keepLines/>
      <w:spacing w:before="320" w:after="200"/>
      <w:outlineLvl w:val="2"/>
    </w:pPr>
    <w:rPr>
      <w:rFonts w:ascii="Arial" w:eastAsia="Arial" w:hAnsi="Arial" w:cs="Arial"/>
      <w:sz w:val="30"/>
      <w:szCs w:val="30"/>
    </w:rPr>
  </w:style>
  <w:style w:type="paragraph" w:styleId="Ttulo4">
    <w:name w:val="heading 4"/>
    <w:basedOn w:val="Normal"/>
    <w:next w:val="Normal"/>
    <w:link w:val="Ttulo4C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ar"/>
    <w:uiPriority w:val="9"/>
    <w:unhideWhenUsed/>
    <w:qFormat/>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ar"/>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Arial" w:eastAsia="Arial" w:hAnsi="Arial" w:cs="Arial"/>
      <w:sz w:val="40"/>
      <w:szCs w:val="40"/>
    </w:rPr>
  </w:style>
  <w:style w:type="character" w:customStyle="1" w:styleId="Ttulo2Car">
    <w:name w:val="Título 2 Car"/>
    <w:basedOn w:val="Fuentedeprrafopredeter"/>
    <w:link w:val="Ttulo2"/>
    <w:uiPriority w:val="9"/>
    <w:rPr>
      <w:rFonts w:ascii="Arial" w:eastAsia="Arial" w:hAnsi="Arial" w:cs="Arial"/>
      <w:sz w:val="34"/>
    </w:rPr>
  </w:style>
  <w:style w:type="character" w:customStyle="1" w:styleId="Ttulo3Car">
    <w:name w:val="Título 3 Car"/>
    <w:basedOn w:val="Fuentedeprrafopredeter"/>
    <w:link w:val="Ttulo3"/>
    <w:uiPriority w:val="9"/>
    <w:rPr>
      <w:rFonts w:ascii="Arial" w:eastAsia="Arial" w:hAnsi="Arial" w:cs="Arial"/>
      <w:sz w:val="30"/>
      <w:szCs w:val="30"/>
    </w:rPr>
  </w:style>
  <w:style w:type="character" w:customStyle="1" w:styleId="Ttulo4Car">
    <w:name w:val="Título 4 Car"/>
    <w:basedOn w:val="Fuentedeprrafopredeter"/>
    <w:link w:val="Ttulo4"/>
    <w:uiPriority w:val="9"/>
    <w:rPr>
      <w:rFonts w:ascii="Arial" w:eastAsia="Arial" w:hAnsi="Arial" w:cs="Arial"/>
      <w:b/>
      <w:bCs/>
      <w:sz w:val="26"/>
      <w:szCs w:val="26"/>
    </w:rPr>
  </w:style>
  <w:style w:type="character" w:customStyle="1" w:styleId="Ttulo5Car">
    <w:name w:val="Título 5 Car"/>
    <w:basedOn w:val="Fuentedeprrafopredeter"/>
    <w:link w:val="Ttulo5"/>
    <w:uiPriority w:val="9"/>
    <w:rPr>
      <w:rFonts w:ascii="Arial" w:eastAsia="Arial" w:hAnsi="Arial" w:cs="Arial"/>
      <w:b/>
      <w:bCs/>
      <w:sz w:val="24"/>
      <w:szCs w:val="24"/>
    </w:rPr>
  </w:style>
  <w:style w:type="character" w:customStyle="1" w:styleId="Ttulo6Car">
    <w:name w:val="Título 6 Car"/>
    <w:basedOn w:val="Fuentedeprrafopredeter"/>
    <w:link w:val="Ttulo6"/>
    <w:uiPriority w:val="9"/>
    <w:rPr>
      <w:rFonts w:ascii="Arial" w:eastAsia="Arial" w:hAnsi="Arial" w:cs="Arial"/>
      <w:b/>
      <w:bCs/>
      <w:sz w:val="22"/>
      <w:szCs w:val="22"/>
    </w:rPr>
  </w:style>
  <w:style w:type="character" w:customStyle="1" w:styleId="Ttulo7Car">
    <w:name w:val="Título 7 Car"/>
    <w:basedOn w:val="Fuentedeprrafopredeter"/>
    <w:link w:val="Ttulo7"/>
    <w:uiPriority w:val="9"/>
    <w:rPr>
      <w:rFonts w:ascii="Arial" w:eastAsia="Arial" w:hAnsi="Arial" w:cs="Arial"/>
      <w:b/>
      <w:bCs/>
      <w:i/>
      <w:iCs/>
      <w:sz w:val="22"/>
      <w:szCs w:val="22"/>
    </w:rPr>
  </w:style>
  <w:style w:type="character" w:customStyle="1" w:styleId="Ttulo8Car">
    <w:name w:val="Título 8 Car"/>
    <w:basedOn w:val="Fuentedeprrafopredeter"/>
    <w:link w:val="Ttulo8"/>
    <w:uiPriority w:val="9"/>
    <w:rPr>
      <w:rFonts w:ascii="Arial" w:eastAsia="Arial" w:hAnsi="Arial" w:cs="Arial"/>
      <w:i/>
      <w:iCs/>
      <w:sz w:val="22"/>
      <w:szCs w:val="22"/>
    </w:rPr>
  </w:style>
  <w:style w:type="character" w:customStyle="1" w:styleId="Ttulo9Car">
    <w:name w:val="Título 9 Car"/>
    <w:basedOn w:val="Fuentedeprrafopredeter"/>
    <w:link w:val="Ttulo9"/>
    <w:uiPriority w:val="9"/>
    <w:rPr>
      <w:rFonts w:ascii="Arial" w:eastAsia="Arial" w:hAnsi="Arial" w:cs="Arial"/>
      <w:i/>
      <w:iCs/>
      <w:sz w:val="21"/>
      <w:szCs w:val="21"/>
    </w:rPr>
  </w:style>
  <w:style w:type="paragraph" w:styleId="Prrafodelista">
    <w:name w:val="List Paragraph"/>
    <w:basedOn w:val="Normal"/>
    <w:uiPriority w:val="34"/>
    <w:qFormat/>
    <w:pPr>
      <w:ind w:left="720"/>
      <w:contextualSpacing/>
    </w:pPr>
  </w:style>
  <w:style w:type="paragraph" w:styleId="Sinespaciado">
    <w:name w:val="No Spacing"/>
    <w:uiPriority w:val="1"/>
    <w:qFormat/>
  </w:style>
  <w:style w:type="paragraph" w:styleId="Ttulo">
    <w:name w:val="Title"/>
    <w:basedOn w:val="Normal"/>
    <w:next w:val="Normal"/>
    <w:link w:val="TtuloCar"/>
    <w:uiPriority w:val="10"/>
    <w:qFormat/>
    <w:pPr>
      <w:spacing w:before="300" w:after="200"/>
      <w:contextualSpacing/>
    </w:pPr>
    <w:rPr>
      <w:sz w:val="48"/>
      <w:szCs w:val="48"/>
    </w:rPr>
  </w:style>
  <w:style w:type="character" w:customStyle="1" w:styleId="TtuloCar">
    <w:name w:val="Título Car"/>
    <w:basedOn w:val="Fuentedeprrafopredeter"/>
    <w:link w:val="Ttulo"/>
    <w:uiPriority w:val="10"/>
    <w:rPr>
      <w:sz w:val="48"/>
      <w:szCs w:val="48"/>
    </w:rPr>
  </w:style>
  <w:style w:type="paragraph" w:styleId="Subttulo">
    <w:name w:val="Subtitle"/>
    <w:basedOn w:val="Normal"/>
    <w:next w:val="Normal"/>
    <w:link w:val="SubttuloCar"/>
    <w:uiPriority w:val="11"/>
    <w:qFormat/>
    <w:pPr>
      <w:spacing w:before="200" w:after="200"/>
    </w:pPr>
  </w:style>
  <w:style w:type="character" w:customStyle="1" w:styleId="SubttuloCar">
    <w:name w:val="Subtítulo Car"/>
    <w:basedOn w:val="Fuentedeprrafopredeter"/>
    <w:link w:val="Subttulo"/>
    <w:uiPriority w:val="11"/>
    <w:rPr>
      <w:sz w:val="24"/>
      <w:szCs w:val="24"/>
    </w:rPr>
  </w:style>
  <w:style w:type="paragraph" w:styleId="Cita">
    <w:name w:val="Quote"/>
    <w:basedOn w:val="Normal"/>
    <w:next w:val="Normal"/>
    <w:link w:val="CitaCar"/>
    <w:uiPriority w:val="29"/>
    <w:qFormat/>
    <w:pPr>
      <w:ind w:left="720" w:right="720"/>
    </w:pPr>
    <w:rPr>
      <w:i/>
    </w:rPr>
  </w:style>
  <w:style w:type="character" w:customStyle="1" w:styleId="CitaCar">
    <w:name w:val="Cita Car"/>
    <w:link w:val="Cita"/>
    <w:uiPriority w:val="29"/>
    <w:rPr>
      <w:i/>
    </w:rPr>
  </w:style>
  <w:style w:type="paragraph" w:styleId="Citadestacada">
    <w:name w:val="Intense Quote"/>
    <w:basedOn w:val="Normal"/>
    <w:next w:val="Normal"/>
    <w:link w:val="Citadestacada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destacadaCar">
    <w:name w:val="Cita destacada Car"/>
    <w:link w:val="Citadestacada"/>
    <w:uiPriority w:val="30"/>
    <w:rPr>
      <w:i/>
    </w:r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table" w:styleId="Tablaconcuadrcula">
    <w:name w:val="Table Grid"/>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anormal"/>
    <w:uiPriority w:val="99"/>
    <w:rPr>
      <w:color w:val="404040"/>
      <w:sz w:val="20"/>
      <w:szCs w:val="20"/>
      <w:lang w:val="es-ES" w:eastAsia="es-ES"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anormal"/>
    <w:uiPriority w:val="99"/>
    <w:rPr>
      <w:color w:val="404040"/>
      <w:sz w:val="20"/>
      <w:szCs w:val="20"/>
      <w:lang w:val="es-ES" w:eastAsia="es-ES"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anormal"/>
    <w:uiPriority w:val="99"/>
    <w:rPr>
      <w:color w:val="404040"/>
      <w:sz w:val="20"/>
      <w:szCs w:val="20"/>
      <w:lang w:val="es-ES" w:eastAsia="es-ES"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anormal"/>
    <w:uiPriority w:val="99"/>
    <w:rPr>
      <w:color w:val="404040"/>
      <w:sz w:val="20"/>
      <w:szCs w:val="20"/>
      <w:lang w:val="es-ES" w:eastAsia="es-ES"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anormal"/>
    <w:uiPriority w:val="99"/>
    <w:rPr>
      <w:color w:val="404040"/>
      <w:sz w:val="20"/>
      <w:szCs w:val="20"/>
      <w:lang w:val="es-ES" w:eastAsia="es-ES"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anormal"/>
    <w:uiPriority w:val="99"/>
    <w:rPr>
      <w:color w:val="404040"/>
      <w:sz w:val="20"/>
      <w:szCs w:val="20"/>
      <w:lang w:val="es-ES" w:eastAsia="es-ES"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anormal"/>
    <w:uiPriority w:val="99"/>
    <w:rPr>
      <w:color w:val="404040"/>
      <w:sz w:val="20"/>
      <w:szCs w:val="20"/>
      <w:lang w:val="es-ES" w:eastAsia="es-ES"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ipervnculo">
    <w:name w:val="Hyperlink"/>
    <w:uiPriority w:val="99"/>
    <w:unhideWhenUsed/>
    <w:rPr>
      <w:color w:val="0563C1" w:themeColor="hyperlink"/>
      <w:u w:val="single"/>
    </w:rPr>
  </w:style>
  <w:style w:type="paragraph" w:styleId="Textonotapie">
    <w:name w:val="footnote text"/>
    <w:basedOn w:val="Normal"/>
    <w:link w:val="TextonotapieCar"/>
    <w:uiPriority w:val="99"/>
    <w:semiHidden/>
    <w:unhideWhenUsed/>
    <w:pPr>
      <w:spacing w:after="40"/>
    </w:pPr>
    <w:rPr>
      <w:sz w:val="18"/>
    </w:rPr>
  </w:style>
  <w:style w:type="character" w:customStyle="1" w:styleId="TextonotapieCar">
    <w:name w:val="Texto nota pie Car"/>
    <w:link w:val="Textonotapie"/>
    <w:uiPriority w:val="99"/>
    <w:rPr>
      <w:sz w:val="18"/>
    </w:rPr>
  </w:style>
  <w:style w:type="character" w:styleId="Refdenotaalpie">
    <w:name w:val="footnote reference"/>
    <w:basedOn w:val="Fuentedeprrafopredeter"/>
    <w:uiPriority w:val="99"/>
    <w:unhideWhenUsed/>
    <w:rPr>
      <w:vertAlign w:val="superscript"/>
    </w:rPr>
  </w:style>
  <w:style w:type="paragraph" w:styleId="TDC1">
    <w:name w:val="toc 1"/>
    <w:basedOn w:val="Normal"/>
    <w:next w:val="Normal"/>
    <w:uiPriority w:val="39"/>
    <w:unhideWhenUsed/>
    <w:pPr>
      <w:spacing w:after="57"/>
    </w:pPr>
  </w:style>
  <w:style w:type="paragraph" w:styleId="TDC2">
    <w:name w:val="toc 2"/>
    <w:basedOn w:val="Normal"/>
    <w:next w:val="Normal"/>
    <w:uiPriority w:val="39"/>
    <w:unhideWhenUsed/>
    <w:pPr>
      <w:spacing w:after="57"/>
      <w:ind w:left="283"/>
    </w:pPr>
  </w:style>
  <w:style w:type="paragraph" w:styleId="TDC3">
    <w:name w:val="toc 3"/>
    <w:basedOn w:val="Normal"/>
    <w:next w:val="Normal"/>
    <w:uiPriority w:val="39"/>
    <w:unhideWhenUsed/>
    <w:pPr>
      <w:spacing w:after="57"/>
      <w:ind w:left="567"/>
    </w:pPr>
  </w:style>
  <w:style w:type="paragraph" w:styleId="TDC4">
    <w:name w:val="toc 4"/>
    <w:basedOn w:val="Normal"/>
    <w:next w:val="Normal"/>
    <w:uiPriority w:val="39"/>
    <w:unhideWhenUsed/>
    <w:pPr>
      <w:spacing w:after="57"/>
      <w:ind w:left="850"/>
    </w:pPr>
  </w:style>
  <w:style w:type="paragraph" w:styleId="TDC5">
    <w:name w:val="toc 5"/>
    <w:basedOn w:val="Normal"/>
    <w:next w:val="Normal"/>
    <w:uiPriority w:val="39"/>
    <w:unhideWhenUsed/>
    <w:pPr>
      <w:spacing w:after="57"/>
      <w:ind w:left="1134"/>
    </w:pPr>
  </w:style>
  <w:style w:type="paragraph" w:styleId="TDC6">
    <w:name w:val="toc 6"/>
    <w:basedOn w:val="Normal"/>
    <w:next w:val="Normal"/>
    <w:uiPriority w:val="39"/>
    <w:unhideWhenUsed/>
    <w:pPr>
      <w:spacing w:after="57"/>
      <w:ind w:left="1417"/>
    </w:pPr>
  </w:style>
  <w:style w:type="paragraph" w:styleId="TDC7">
    <w:name w:val="toc 7"/>
    <w:basedOn w:val="Normal"/>
    <w:next w:val="Normal"/>
    <w:uiPriority w:val="39"/>
    <w:unhideWhenUsed/>
    <w:pPr>
      <w:spacing w:after="57"/>
      <w:ind w:left="1701"/>
    </w:pPr>
  </w:style>
  <w:style w:type="paragraph" w:styleId="TDC8">
    <w:name w:val="toc 8"/>
    <w:basedOn w:val="Normal"/>
    <w:next w:val="Normal"/>
    <w:uiPriority w:val="39"/>
    <w:unhideWhenUsed/>
    <w:pPr>
      <w:spacing w:after="57"/>
      <w:ind w:left="1984"/>
    </w:pPr>
  </w:style>
  <w:style w:type="paragraph" w:styleId="TDC9">
    <w:name w:val="toc 9"/>
    <w:basedOn w:val="Normal"/>
    <w:next w:val="Normal"/>
    <w:uiPriority w:val="39"/>
    <w:unhideWhenUsed/>
    <w:pPr>
      <w:spacing w:after="57"/>
      <w:ind w:left="2268"/>
    </w:pPr>
  </w:style>
  <w:style w:type="paragraph" w:styleId="TtuloTDC">
    <w:name w:val="TOC Heading"/>
    <w:uiPriority w:val="39"/>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pacing w:before="120" w:after="120"/>
    </w:pPr>
    <w:rPr>
      <w:i/>
      <w:iCs/>
    </w:rPr>
  </w:style>
  <w:style w:type="paragraph" w:customStyle="1" w:styleId="Index">
    <w:name w:val="Index"/>
    <w:basedOn w:val="Normal"/>
  </w:style>
  <w:style w:type="paragraph" w:styleId="Encabezado">
    <w:name w:val="header"/>
    <w:basedOn w:val="Standard"/>
    <w:link w:val="EncabezadoCar"/>
    <w:pPr>
      <w:tabs>
        <w:tab w:val="center" w:pos="4819"/>
        <w:tab w:val="right" w:pos="9638"/>
      </w:tabs>
    </w:pPr>
  </w:style>
  <w:style w:type="paragraph" w:styleId="Piedepgina">
    <w:name w:val="footer"/>
    <w:basedOn w:val="Normal"/>
    <w:link w:val="PiedepginaCar"/>
    <w:pPr>
      <w:tabs>
        <w:tab w:val="center" w:pos="4252"/>
        <w:tab w:val="right" w:pos="8504"/>
      </w:tabs>
    </w:pPr>
  </w:style>
  <w:style w:type="paragraph" w:customStyle="1" w:styleId="TableContents">
    <w:name w:val="Table Contents"/>
    <w:basedOn w:val="Normal"/>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3</Pages>
  <Words>888</Words>
  <Characters>5065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15</cp:revision>
  <dcterms:created xsi:type="dcterms:W3CDTF">2020-05-22T11:33:00Z</dcterms:created>
  <dcterms:modified xsi:type="dcterms:W3CDTF">2022-05-19T11:45:00Z</dcterms:modified>
</cp:coreProperties>
</file>