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shd w:val="clear" w:color="auto" w:fill="FFFFFF"/>
        <w:ind w:left="0" w:hanging="2"/>
        <w:jc w:val="both"/>
        <w:rPr>
          <w:rFonts w:ascii="Arial" w:hAnsi="Arial" w:eastAsia="Arial" w:cs="Arial"/>
          <w:i/>
          <w:i/>
          <w:iCs/>
          <w:color w:val="000000"/>
          <w:sz w:val="22"/>
          <w:szCs w:val="22"/>
        </w:rPr>
      </w:pPr>
      <w:r>
        <w:rPr>
          <w:rFonts w:eastAsia="Arial" w:cs="Arial" w:ascii="Arial" w:hAnsi="Arial"/>
          <w:i/>
          <w:iCs/>
          <w:color w:val="000000"/>
          <w:sz w:val="22"/>
          <w:szCs w:val="22"/>
        </w:rPr>
      </w:r>
    </w:p>
    <w:p>
      <w:pPr>
        <w:pStyle w:val="Normal"/>
        <w:widowControl/>
        <w:ind w:left="0" w:hanging="2"/>
        <w:jc w:val="both"/>
        <w:rPr/>
      </w:pPr>
      <w:r>
        <w:rPr>
          <w:rFonts w:eastAsia="Times" w:cs="Times" w:ascii="Arial" w:hAnsi="Arial"/>
          <w:b/>
          <w:bCs/>
          <w:i w:val="false"/>
          <w:iCs w:val="false"/>
          <w:sz w:val="22"/>
          <w:szCs w:val="22"/>
          <w:lang w:val="es-ES" w:eastAsia="en-US" w:bidi="ar-SA"/>
        </w:rPr>
        <w:t>Expt. 27/2022. Prestaciones económicas individualizadas y para la autonomía de personas mayores para el 2022, provenientes de fondos propios del municipio de Carlet.</w:t>
      </w:r>
    </w:p>
    <w:p>
      <w:pPr>
        <w:pStyle w:val="Normal"/>
        <w:widowControl/>
        <w:ind w:left="0" w:hanging="2"/>
        <w:jc w:val="both"/>
        <w:rPr>
          <w:rFonts w:ascii="Arial" w:hAnsi="Arial" w:eastAsia="Times" w:cs="Times"/>
          <w:i w:val="false"/>
          <w:i w:val="false"/>
          <w:iCs w:val="false"/>
          <w:sz w:val="22"/>
          <w:szCs w:val="22"/>
          <w:lang w:val="es-ES" w:eastAsia="en-US" w:bidi="ar-SA"/>
        </w:rPr>
      </w:pPr>
      <w:r>
        <w:rPr>
          <w:rFonts w:eastAsia="Times" w:cs="Times" w:ascii="Arial" w:hAnsi="Arial"/>
          <w:i w:val="false"/>
          <w:iCs w:val="false"/>
          <w:sz w:val="22"/>
          <w:szCs w:val="22"/>
          <w:lang w:val="es-ES" w:eastAsia="en-US" w:bidi="ar-SA"/>
        </w:rPr>
      </w:r>
    </w:p>
    <w:p>
      <w:pPr>
        <w:pStyle w:val="Normal"/>
        <w:widowControl/>
        <w:ind w:left="0" w:hanging="2"/>
        <w:jc w:val="both"/>
        <w:rPr>
          <w:rFonts w:ascii="Arial" w:hAnsi="Arial" w:eastAsia="Times" w:cs="Times"/>
          <w:sz w:val="22"/>
          <w:szCs w:val="22"/>
          <w:lang w:val="es-ES" w:eastAsia="en-US" w:bidi="ar-SA"/>
        </w:rPr>
      </w:pPr>
      <w:r>
        <w:rPr>
          <w:rFonts w:eastAsia="Times" w:cs="Times" w:ascii="Arial" w:hAnsi="Arial"/>
          <w:sz w:val="22"/>
          <w:szCs w:val="22"/>
          <w:lang w:val="es-ES" w:eastAsia="en-US" w:bidi="ar-SA"/>
        </w:rPr>
      </w:r>
    </w:p>
    <w:p>
      <w:pPr>
        <w:pStyle w:val="Normal"/>
        <w:widowControl/>
        <w:ind w:left="0" w:hanging="2"/>
        <w:jc w:val="center"/>
        <w:rPr/>
      </w:pPr>
      <w:r>
        <w:rPr>
          <w:rFonts w:eastAsia="Times" w:cs="Times" w:ascii="Arial" w:hAnsi="Arial"/>
          <w:b/>
          <w:bCs/>
          <w:i w:val="false"/>
          <w:iCs w:val="false"/>
          <w:sz w:val="22"/>
          <w:szCs w:val="22"/>
          <w:lang w:val="es-ES" w:eastAsia="en-US" w:bidi="ar-SA"/>
        </w:rPr>
        <w:t>EDICTO CONVOCATORIA PRESTACIONES ECONÓMICAS INDIVIDUALIZADAS Y PARA LA AUTONOMÍA DE PERSONAS MAYORES PARA EL 2022, PROVENIENTES DE FONDOS PROPIOS DEL MUNICIPIO DE CARLET</w:t>
      </w:r>
    </w:p>
    <w:p>
      <w:pPr>
        <w:pStyle w:val="Normal"/>
        <w:widowControl/>
        <w:ind w:left="-2" w:hanging="0"/>
        <w:jc w:val="both"/>
        <w:rPr>
          <w:rFonts w:ascii="Arial" w:hAnsi="Arial" w:eastAsia="Times" w:cs="Times"/>
          <w:sz w:val="22"/>
          <w:szCs w:val="22"/>
          <w:lang w:val="es-ES" w:eastAsia="en-US" w:bidi="ar-SA"/>
        </w:rPr>
      </w:pPr>
      <w:r>
        <w:rPr>
          <w:rFonts w:eastAsia="Times" w:cs="Times" w:ascii="Arial" w:hAnsi="Arial"/>
          <w:sz w:val="22"/>
          <w:szCs w:val="22"/>
          <w:lang w:val="es-ES" w:eastAsia="en-US" w:bidi="ar-SA"/>
        </w:rPr>
      </w:r>
    </w:p>
    <w:p>
      <w:pPr>
        <w:pStyle w:val="Normal"/>
        <w:widowControl/>
        <w:ind w:left="0" w:hanging="2"/>
        <w:jc w:val="both"/>
        <w:rPr/>
      </w:pPr>
      <w:r>
        <w:rPr>
          <w:rFonts w:eastAsia="Times" w:cs="Times" w:ascii="Arial" w:hAnsi="Arial"/>
          <w:i w:val="false"/>
          <w:iCs w:val="false"/>
          <w:sz w:val="22"/>
          <w:szCs w:val="22"/>
          <w:lang w:val="es-ES" w:eastAsia="en-US" w:bidi="ar-SA"/>
        </w:rPr>
        <w:t>Visto lo Decreto número 2022-1159 de fecha 05 de mayo de 2022 que literalmente transcrito dice:</w:t>
      </w:r>
    </w:p>
    <w:p>
      <w:pPr>
        <w:pStyle w:val="Normal"/>
        <w:widowControl/>
        <w:ind w:left="0" w:hanging="2"/>
        <w:jc w:val="both"/>
        <w:rPr>
          <w:rFonts w:ascii="Arial" w:hAnsi="Arial" w:eastAsia="Times" w:cs="Times"/>
          <w:sz w:val="22"/>
          <w:szCs w:val="22"/>
          <w:lang w:val="es-ES" w:eastAsia="en-US" w:bidi="ar-SA"/>
        </w:rPr>
      </w:pPr>
      <w:r>
        <w:rPr>
          <w:rFonts w:eastAsia="Times" w:cs="Times" w:ascii="Arial" w:hAnsi="Arial"/>
          <w:sz w:val="22"/>
          <w:szCs w:val="22"/>
          <w:lang w:val="es-ES" w:eastAsia="en-US" w:bidi="ar-SA"/>
        </w:rPr>
      </w:r>
    </w:p>
    <w:p>
      <w:pPr>
        <w:pStyle w:val="Normal"/>
        <w:widowControl/>
        <w:ind w:left="720" w:hanging="2"/>
        <w:jc w:val="both"/>
        <w:rPr>
          <w:i/>
          <w:i/>
          <w:iCs/>
          <w:sz w:val="19"/>
          <w:szCs w:val="19"/>
        </w:rPr>
      </w:pPr>
      <w:r>
        <w:rPr>
          <w:rFonts w:eastAsia="Times" w:cs="Times" w:ascii="Arial" w:hAnsi="Arial"/>
          <w:i/>
          <w:iCs/>
          <w:sz w:val="19"/>
          <w:szCs w:val="19"/>
          <w:lang w:val="es-ES" w:eastAsia="en-US" w:bidi="ar-SA"/>
        </w:rPr>
        <w:t>«</w:t>
      </w:r>
      <w:r>
        <w:rPr>
          <w:rFonts w:eastAsia="Arial" w:cs="Arial" w:ascii="Arial" w:hAnsi="Arial"/>
          <w:i/>
          <w:iCs/>
          <w:color w:val="000000"/>
          <w:position w:val="0"/>
          <w:sz w:val="19"/>
          <w:sz w:val="19"/>
          <w:szCs w:val="19"/>
          <w:vertAlign w:val="baseline"/>
          <w:lang w:val="ca-ES-valencia" w:eastAsia="en-US" w:bidi="ar-SA"/>
        </w:rPr>
        <w:t>Vista la propuesta del Regidor de Servicios Sociales que literalmente transcrita dice:</w:t>
      </w:r>
    </w:p>
    <w:p>
      <w:pPr>
        <w:pStyle w:val="Normal"/>
        <w:widowControl/>
        <w:shd w:val="clear" w:fill="FFFFFF"/>
        <w:jc w:val="both"/>
        <w:rPr>
          <w:rFonts w:ascii="Arial" w:hAnsi="Arial" w:eastAsia="Arial" w:cs="Arial"/>
          <w:i/>
          <w:i/>
          <w:iCs/>
          <w:sz w:val="19"/>
          <w:szCs w:val="19"/>
          <w:lang w:val="ca-ES-valencia" w:eastAsia="en-US" w:bidi="ar-SA"/>
        </w:rPr>
      </w:pPr>
      <w:r>
        <w:rPr>
          <w:rFonts w:eastAsia="Arial" w:cs="Arial" w:ascii="Arial" w:hAnsi="Arial"/>
          <w:i/>
          <w:iCs/>
          <w:sz w:val="19"/>
          <w:szCs w:val="19"/>
          <w:lang w:val="ca-ES-valencia" w:eastAsia="en-US" w:bidi="ar-SA"/>
        </w:rPr>
      </w:r>
    </w:p>
    <w:p>
      <w:pPr>
        <w:pStyle w:val="LOnormal"/>
        <w:widowControl/>
        <w:shd w:val="clear" w:fill="FFFFFF"/>
        <w:ind w:left="720" w:hanging="0"/>
        <w:jc w:val="both"/>
        <w:rPr/>
      </w:pPr>
      <w:r>
        <w:rPr>
          <w:rFonts w:eastAsia="Arial" w:cs="Arial" w:ascii="Arial" w:hAnsi="Arial"/>
          <w:i/>
          <w:iCs/>
          <w:sz w:val="19"/>
          <w:szCs w:val="19"/>
          <w:lang w:val="ca-ES-valencia" w:eastAsia="en-US" w:bidi="ar-SA"/>
        </w:rPr>
        <w:t>«(...)</w:t>
      </w:r>
      <w:r>
        <w:rPr>
          <w:rFonts w:eastAsia="Arial" w:cs="Arial" w:ascii="Arial" w:hAnsi="Arial"/>
          <w:i/>
          <w:iCs/>
          <w:sz w:val="19"/>
          <w:szCs w:val="19"/>
          <w:lang w:val="ca-ES" w:eastAsia="en-US" w:bidi="ar-SA"/>
        </w:rPr>
        <w:t>Corresponde ahora aprobar la correspondiente convocatoria, y la publicación de la misma en la base de datos nacional de subvenciones (</w:t>
      </w:r>
      <w:hyperlink r:id="rId2">
        <w:r>
          <w:rPr>
            <w:rStyle w:val="ListLabel38"/>
            <w:rFonts w:eastAsia="Arial" w:cs="Arial" w:ascii="Arial" w:hAnsi="Arial"/>
            <w:i/>
            <w:iCs/>
            <w:sz w:val="19"/>
            <w:szCs w:val="19"/>
            <w:lang w:val="ca-ES" w:eastAsia="en-US" w:bidi="ar-SA"/>
          </w:rPr>
          <w:t>http://www.pap.minhap.gob.es/bdnstrans</w:t>
        </w:r>
      </w:hyperlink>
      <w:r>
        <w:rPr>
          <w:rFonts w:eastAsia="Arial" w:cs="Arial" w:ascii="Arial" w:hAnsi="Arial"/>
          <w:i/>
          <w:iCs/>
          <w:sz w:val="19"/>
          <w:szCs w:val="19"/>
          <w:lang w:val="ca-ES" w:eastAsia="en-US" w:bidi="ar-SA"/>
        </w:rPr>
        <w:t>), en el tablón de anuncios del Ayuntamiento y a la página web municipal (</w:t>
      </w:r>
      <w:hyperlink r:id="rId3">
        <w:r>
          <w:rPr>
            <w:rStyle w:val="ListLabel39"/>
            <w:rFonts w:eastAsia="Arial" w:cs="Arial" w:ascii="Arial" w:hAnsi="Arial"/>
            <w:i/>
            <w:iCs/>
            <w:sz w:val="19"/>
            <w:szCs w:val="19"/>
            <w:lang w:val="ca-ES" w:eastAsia="en-US" w:bidi="ar-SA"/>
          </w:rPr>
          <w:t>www.carlet.es</w:t>
        </w:r>
      </w:hyperlink>
      <w:r>
        <w:rPr>
          <w:rFonts w:eastAsia="Arial" w:cs="Arial" w:ascii="Arial" w:hAnsi="Arial"/>
          <w:i/>
          <w:iCs/>
          <w:sz w:val="19"/>
          <w:szCs w:val="19"/>
          <w:lang w:val="ca-ES" w:eastAsia="en-US" w:bidi="ar-SA"/>
        </w:rPr>
        <w:t xml:space="preserve">). </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lang w:val="ca-ES"/>
        </w:rPr>
      </w:pPr>
      <w:r>
        <w:rPr>
          <w:rFonts w:ascii="Arial" w:hAnsi="Arial"/>
          <w:i/>
          <w:iCs/>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i/>
          <w:i/>
          <w:iCs/>
          <w:sz w:val="19"/>
          <w:szCs w:val="19"/>
        </w:rPr>
      </w:pPr>
      <w:r>
        <w:rPr>
          <w:rFonts w:ascii="Arial" w:hAnsi="Arial"/>
          <w:i/>
          <w:iCs/>
          <w:sz w:val="19"/>
          <w:szCs w:val="19"/>
          <w:lang w:val="ca-ES"/>
        </w:rPr>
        <w:t>Considerando el artículo 23 de la Ley 38/2003, de 17 de noviembre, General de Subvenciones, la convocatoria tiene que tener necesariamente el siguiente contenido:</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lang w:val="ca-ES"/>
        </w:rPr>
      </w:pPr>
      <w:r>
        <w:rPr>
          <w:rFonts w:ascii="Arial" w:hAnsi="Arial"/>
          <w:i/>
          <w:iCs/>
          <w:sz w:val="19"/>
          <w:szCs w:val="19"/>
          <w:lang w:val="ca-ES"/>
        </w:rPr>
      </w:r>
    </w:p>
    <w:p>
      <w:pPr>
        <w:pStyle w:val="Normal"/>
        <w:numPr>
          <w:ilvl w:val="0"/>
          <w:numId w:val="2"/>
        </w:numPr>
        <w:tabs>
          <w:tab w:val="clear" w:pos="720"/>
          <w:tab w:val="left" w:pos="284" w:leader="none"/>
        </w:tabs>
        <w:spacing w:lineRule="auto" w:line="276"/>
        <w:ind w:left="720" w:hanging="0"/>
        <w:jc w:val="both"/>
        <w:rPr>
          <w:i/>
          <w:i/>
          <w:iCs/>
          <w:sz w:val="19"/>
          <w:szCs w:val="19"/>
        </w:rPr>
      </w:pPr>
      <w:r>
        <w:rPr>
          <w:rFonts w:ascii="Arial" w:hAnsi="Arial"/>
          <w:i/>
          <w:iCs/>
          <w:sz w:val="19"/>
          <w:szCs w:val="19"/>
          <w:lang w:val="ca-ES"/>
        </w:rPr>
        <w:t>a)Indicación de la disposición que establezca las bases reguladoras y del diario oficial en que está publicada.</w:t>
      </w:r>
    </w:p>
    <w:p>
      <w:pPr>
        <w:pStyle w:val="Normal"/>
        <w:numPr>
          <w:ilvl w:val="0"/>
          <w:numId w:val="2"/>
        </w:numPr>
        <w:tabs>
          <w:tab w:val="clear" w:pos="720"/>
          <w:tab w:val="left" w:pos="284" w:leader="none"/>
        </w:tabs>
        <w:spacing w:lineRule="auto" w:line="276"/>
        <w:ind w:left="720" w:hanging="0"/>
        <w:jc w:val="both"/>
        <w:rPr>
          <w:i/>
          <w:i/>
          <w:iCs/>
          <w:sz w:val="19"/>
          <w:szCs w:val="19"/>
        </w:rPr>
      </w:pPr>
      <w:r>
        <w:rPr>
          <w:rFonts w:ascii="Arial" w:hAnsi="Arial"/>
          <w:i/>
          <w:iCs/>
          <w:sz w:val="19"/>
          <w:szCs w:val="19"/>
          <w:lang w:val="ca-ES"/>
        </w:rPr>
        <w:t>Crédito presupuestario, aplicación presupuestaria e importe.</w:t>
      </w:r>
    </w:p>
    <w:p>
      <w:pPr>
        <w:pStyle w:val="Normal"/>
        <w:numPr>
          <w:ilvl w:val="0"/>
          <w:numId w:val="2"/>
        </w:numPr>
        <w:tabs>
          <w:tab w:val="clear" w:pos="720"/>
          <w:tab w:val="left" w:pos="284" w:leader="none"/>
        </w:tabs>
        <w:spacing w:lineRule="auto" w:line="276"/>
        <w:ind w:left="720" w:hanging="0"/>
        <w:jc w:val="both"/>
        <w:rPr>
          <w:i/>
          <w:i/>
          <w:iCs/>
          <w:sz w:val="19"/>
          <w:szCs w:val="19"/>
        </w:rPr>
      </w:pPr>
      <w:r>
        <w:rPr>
          <w:rFonts w:ascii="Arial" w:hAnsi="Arial"/>
          <w:i/>
          <w:iCs/>
          <w:sz w:val="19"/>
          <w:szCs w:val="19"/>
          <w:lang w:val="ca-ES"/>
        </w:rPr>
        <w:t>Objeto, condiciones y finalidad de la subvención.</w:t>
      </w:r>
    </w:p>
    <w:p>
      <w:pPr>
        <w:pStyle w:val="Normal"/>
        <w:numPr>
          <w:ilvl w:val="0"/>
          <w:numId w:val="2"/>
        </w:numPr>
        <w:tabs>
          <w:tab w:val="clear" w:pos="720"/>
          <w:tab w:val="left" w:pos="284" w:leader="none"/>
        </w:tabs>
        <w:spacing w:lineRule="auto" w:line="276"/>
        <w:ind w:left="720" w:hanging="0"/>
        <w:jc w:val="both"/>
        <w:rPr>
          <w:i/>
          <w:i/>
          <w:iCs/>
          <w:sz w:val="19"/>
          <w:szCs w:val="19"/>
        </w:rPr>
      </w:pPr>
      <w:r>
        <w:rPr>
          <w:rFonts w:ascii="Arial" w:hAnsi="Arial"/>
          <w:i/>
          <w:iCs/>
          <w:sz w:val="19"/>
          <w:szCs w:val="19"/>
          <w:lang w:val="ca-ES"/>
        </w:rPr>
        <w:t>Expresión del tipo de procedimiento de concesión de concurrencia competitiva.</w:t>
      </w:r>
    </w:p>
    <w:p>
      <w:pPr>
        <w:pStyle w:val="Normal"/>
        <w:numPr>
          <w:ilvl w:val="0"/>
          <w:numId w:val="2"/>
        </w:numPr>
        <w:tabs>
          <w:tab w:val="clear" w:pos="720"/>
          <w:tab w:val="left" w:pos="284" w:leader="none"/>
        </w:tabs>
        <w:spacing w:lineRule="auto" w:line="276"/>
        <w:ind w:left="720" w:hanging="0"/>
        <w:jc w:val="both"/>
        <w:rPr>
          <w:i/>
          <w:i/>
          <w:iCs/>
          <w:sz w:val="19"/>
          <w:szCs w:val="19"/>
        </w:rPr>
      </w:pPr>
      <w:r>
        <w:rPr>
          <w:rFonts w:ascii="Arial" w:hAnsi="Arial"/>
          <w:i/>
          <w:iCs/>
          <w:sz w:val="19"/>
          <w:szCs w:val="19"/>
          <w:lang w:val="ca-ES"/>
        </w:rPr>
        <w:t>Requisitos para solicitar la subvención y forma de acreditarlos.</w:t>
      </w:r>
    </w:p>
    <w:p>
      <w:pPr>
        <w:pStyle w:val="Normal"/>
        <w:numPr>
          <w:ilvl w:val="0"/>
          <w:numId w:val="2"/>
        </w:numPr>
        <w:tabs>
          <w:tab w:val="clear" w:pos="720"/>
          <w:tab w:val="left" w:pos="284" w:leader="none"/>
        </w:tabs>
        <w:spacing w:lineRule="auto" w:line="276"/>
        <w:ind w:left="720" w:hanging="0"/>
        <w:jc w:val="both"/>
        <w:rPr>
          <w:i/>
          <w:i/>
          <w:iCs/>
          <w:sz w:val="19"/>
          <w:szCs w:val="19"/>
        </w:rPr>
      </w:pPr>
      <w:r>
        <w:rPr>
          <w:rFonts w:ascii="Arial" w:hAnsi="Arial"/>
          <w:i/>
          <w:iCs/>
          <w:sz w:val="19"/>
          <w:szCs w:val="19"/>
          <w:lang w:val="ca-ES"/>
        </w:rPr>
        <w:t>Indicación de los órganos competentes para la instrucción y resolución del procedimiento.</w:t>
      </w:r>
    </w:p>
    <w:p>
      <w:pPr>
        <w:pStyle w:val="Normal"/>
        <w:numPr>
          <w:ilvl w:val="0"/>
          <w:numId w:val="2"/>
        </w:numPr>
        <w:tabs>
          <w:tab w:val="clear" w:pos="720"/>
          <w:tab w:val="left" w:pos="284" w:leader="none"/>
        </w:tabs>
        <w:spacing w:lineRule="auto" w:line="276"/>
        <w:ind w:left="720" w:hanging="0"/>
        <w:jc w:val="both"/>
        <w:rPr>
          <w:i/>
          <w:i/>
          <w:iCs/>
          <w:sz w:val="19"/>
          <w:szCs w:val="19"/>
        </w:rPr>
      </w:pPr>
      <w:r>
        <w:rPr>
          <w:rFonts w:ascii="Arial" w:hAnsi="Arial"/>
          <w:i/>
          <w:iCs/>
          <w:sz w:val="19"/>
          <w:szCs w:val="19"/>
          <w:lang w:val="ca-ES"/>
        </w:rPr>
        <w:t>Plazo de presentación de solicitudes.</w:t>
      </w:r>
    </w:p>
    <w:p>
      <w:pPr>
        <w:pStyle w:val="Normal"/>
        <w:numPr>
          <w:ilvl w:val="0"/>
          <w:numId w:val="2"/>
        </w:numPr>
        <w:tabs>
          <w:tab w:val="clear" w:pos="720"/>
          <w:tab w:val="left" w:pos="284" w:leader="none"/>
        </w:tabs>
        <w:spacing w:lineRule="auto" w:line="276"/>
        <w:ind w:left="720" w:hanging="0"/>
        <w:jc w:val="both"/>
        <w:rPr>
          <w:i/>
          <w:i/>
          <w:iCs/>
          <w:sz w:val="19"/>
          <w:szCs w:val="19"/>
        </w:rPr>
      </w:pPr>
      <w:r>
        <w:rPr>
          <w:rFonts w:ascii="Arial" w:hAnsi="Arial"/>
          <w:i/>
          <w:iCs/>
          <w:sz w:val="19"/>
          <w:szCs w:val="19"/>
          <w:lang w:val="ca-ES"/>
        </w:rPr>
        <w:t>Plazo de resolución y notificación.</w:t>
      </w:r>
    </w:p>
    <w:p>
      <w:pPr>
        <w:pStyle w:val="Normal"/>
        <w:numPr>
          <w:ilvl w:val="0"/>
          <w:numId w:val="2"/>
        </w:numPr>
        <w:tabs>
          <w:tab w:val="clear" w:pos="720"/>
          <w:tab w:val="left" w:pos="284" w:leader="none"/>
        </w:tabs>
        <w:spacing w:lineRule="auto" w:line="276"/>
        <w:ind w:left="720" w:hanging="0"/>
        <w:jc w:val="both"/>
        <w:rPr>
          <w:i/>
          <w:i/>
          <w:iCs/>
          <w:sz w:val="19"/>
          <w:szCs w:val="19"/>
        </w:rPr>
      </w:pPr>
      <w:r>
        <w:rPr>
          <w:rFonts w:ascii="Arial" w:hAnsi="Arial"/>
          <w:i/>
          <w:iCs/>
          <w:sz w:val="19"/>
          <w:szCs w:val="19"/>
          <w:lang w:val="ca-ES"/>
        </w:rPr>
        <w:t>Documentos que acompañan a la petición.</w:t>
      </w:r>
    </w:p>
    <w:p>
      <w:pPr>
        <w:pStyle w:val="Normal"/>
        <w:numPr>
          <w:ilvl w:val="0"/>
          <w:numId w:val="2"/>
        </w:numPr>
        <w:tabs>
          <w:tab w:val="clear" w:pos="720"/>
          <w:tab w:val="left" w:pos="284" w:leader="none"/>
        </w:tabs>
        <w:spacing w:lineRule="auto" w:line="276"/>
        <w:ind w:left="720" w:hanging="0"/>
        <w:jc w:val="both"/>
        <w:rPr>
          <w:i/>
          <w:i/>
          <w:iCs/>
          <w:sz w:val="19"/>
          <w:szCs w:val="19"/>
        </w:rPr>
      </w:pPr>
      <w:r>
        <w:rPr>
          <w:rFonts w:ascii="Arial" w:hAnsi="Arial"/>
          <w:i/>
          <w:iCs/>
          <w:sz w:val="19"/>
          <w:szCs w:val="19"/>
          <w:lang w:val="ca-ES"/>
        </w:rPr>
        <w:t>Posibilidad o no de reformulación de las solicitudes.</w:t>
      </w:r>
    </w:p>
    <w:p>
      <w:pPr>
        <w:pStyle w:val="Normal"/>
        <w:numPr>
          <w:ilvl w:val="0"/>
          <w:numId w:val="2"/>
        </w:numPr>
        <w:tabs>
          <w:tab w:val="clear" w:pos="720"/>
          <w:tab w:val="left" w:pos="284" w:leader="none"/>
        </w:tabs>
        <w:spacing w:lineRule="auto" w:line="276"/>
        <w:ind w:left="720" w:hanging="0"/>
        <w:jc w:val="both"/>
        <w:rPr>
          <w:i/>
          <w:i/>
          <w:iCs/>
          <w:sz w:val="19"/>
          <w:szCs w:val="19"/>
        </w:rPr>
      </w:pPr>
      <w:r>
        <w:rPr>
          <w:rFonts w:ascii="Arial" w:hAnsi="Arial"/>
          <w:i/>
          <w:iCs/>
          <w:sz w:val="19"/>
          <w:szCs w:val="19"/>
          <w:lang w:val="ca-ES"/>
        </w:rPr>
        <w:t>Indicación de si la resolución pone o no fin a la vía administrativa, y en caso contrario, órgano ante el cual se puede interponer recurso de alzada.</w:t>
      </w:r>
    </w:p>
    <w:p>
      <w:pPr>
        <w:pStyle w:val="Normal"/>
        <w:numPr>
          <w:ilvl w:val="0"/>
          <w:numId w:val="2"/>
        </w:numPr>
        <w:tabs>
          <w:tab w:val="clear" w:pos="720"/>
          <w:tab w:val="left" w:pos="284" w:leader="none"/>
        </w:tabs>
        <w:spacing w:lineRule="auto" w:line="276"/>
        <w:ind w:left="720" w:hanging="0"/>
        <w:jc w:val="both"/>
        <w:rPr>
          <w:i/>
          <w:i/>
          <w:iCs/>
          <w:sz w:val="19"/>
          <w:szCs w:val="19"/>
        </w:rPr>
      </w:pPr>
      <w:r>
        <w:rPr>
          <w:rFonts w:ascii="Arial" w:hAnsi="Arial"/>
          <w:i/>
          <w:iCs/>
          <w:sz w:val="19"/>
          <w:szCs w:val="19"/>
          <w:lang w:val="ca-ES"/>
        </w:rPr>
        <w:t>Criterios de valoración de las solicitudes.</w:t>
      </w:r>
    </w:p>
    <w:p>
      <w:pPr>
        <w:pStyle w:val="Normal"/>
        <w:numPr>
          <w:ilvl w:val="0"/>
          <w:numId w:val="2"/>
        </w:numPr>
        <w:tabs>
          <w:tab w:val="clear" w:pos="720"/>
          <w:tab w:val="left" w:pos="284" w:leader="none"/>
        </w:tabs>
        <w:spacing w:lineRule="auto" w:line="276"/>
        <w:ind w:left="720" w:hanging="0"/>
        <w:jc w:val="both"/>
        <w:rPr>
          <w:i/>
          <w:i/>
          <w:iCs/>
          <w:sz w:val="19"/>
          <w:szCs w:val="19"/>
        </w:rPr>
      </w:pPr>
      <w:r>
        <w:rPr>
          <w:rFonts w:ascii="Arial" w:hAnsi="Arial"/>
          <w:i/>
          <w:iCs/>
          <w:sz w:val="19"/>
          <w:szCs w:val="19"/>
          <w:lang w:val="ca-ES"/>
        </w:rPr>
        <w:t>Medio de notificación o publicación.</w:t>
      </w:r>
    </w:p>
    <w:p>
      <w:pPr>
        <w:pStyle w:val="Normal"/>
        <w:numPr>
          <w:ilvl w:val="0"/>
          <w:numId w:val="1"/>
        </w:numPr>
        <w:tabs>
          <w:tab w:val="clear" w:pos="720"/>
          <w:tab w:val="left" w:pos="0" w:leader="none"/>
          <w:tab w:val="left" w:pos="284" w:leader="none"/>
        </w:tabs>
        <w:spacing w:lineRule="auto" w:line="276"/>
        <w:ind w:left="1440" w:hanging="0"/>
        <w:jc w:val="both"/>
        <w:rPr>
          <w:rFonts w:ascii="Arial" w:hAnsi="Arial"/>
          <w:i/>
          <w:i/>
          <w:iCs/>
          <w:sz w:val="19"/>
          <w:szCs w:val="19"/>
          <w:lang w:val="ca-ES"/>
        </w:rPr>
      </w:pPr>
      <w:r>
        <w:rPr>
          <w:rFonts w:ascii="Arial" w:hAnsi="Arial"/>
          <w:i/>
          <w:iCs/>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i/>
          <w:i/>
          <w:iCs/>
          <w:sz w:val="19"/>
          <w:szCs w:val="19"/>
        </w:rPr>
      </w:pPr>
      <w:r>
        <w:rPr>
          <w:rFonts w:ascii="Arial" w:hAnsi="Arial"/>
          <w:b/>
          <w:i/>
          <w:iCs/>
          <w:sz w:val="19"/>
          <w:szCs w:val="19"/>
          <w:lang w:val="ca-ES"/>
        </w:rPr>
        <w:t>1.- Indicación de la disposición que establece las bases reguladoras y del Diario Oficial al que está publicada.</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b/>
          <w:b/>
          <w:i/>
          <w:i/>
          <w:iCs/>
          <w:sz w:val="19"/>
          <w:szCs w:val="19"/>
          <w:lang w:val="ca-ES"/>
        </w:rPr>
      </w:pPr>
      <w:r>
        <w:rPr>
          <w:rFonts w:ascii="Arial" w:hAnsi="Arial"/>
          <w:b/>
          <w:i/>
          <w:iCs/>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i/>
          <w:i/>
          <w:iCs/>
          <w:sz w:val="19"/>
          <w:szCs w:val="19"/>
        </w:rPr>
      </w:pPr>
      <w:r>
        <w:rPr>
          <w:rFonts w:ascii="Arial" w:hAnsi="Arial"/>
          <w:i/>
          <w:iCs/>
          <w:sz w:val="19"/>
          <w:szCs w:val="19"/>
          <w:lang w:val="ca-ES"/>
        </w:rPr>
        <w:t xml:space="preserve">Las Bases reguladoras de la presente convocatoria han sido aprobadas por </w:t>
      </w:r>
      <w:r>
        <w:rPr>
          <w:rFonts w:ascii="Arial" w:hAnsi="Arial"/>
          <w:i/>
          <w:iCs/>
          <w:color w:val="000000"/>
          <w:sz w:val="19"/>
          <w:szCs w:val="19"/>
          <w:lang w:val="ca-ES"/>
        </w:rPr>
        <w:t xml:space="preserve">Acuerdo de la Junta de Gobierno Local de fecha </w:t>
      </w:r>
      <w:r>
        <w:rPr>
          <w:rFonts w:ascii="Arial" w:hAnsi="Arial"/>
          <w:i/>
          <w:iCs/>
          <w:sz w:val="19"/>
          <w:szCs w:val="19"/>
          <w:lang w:val="ca-ES"/>
        </w:rPr>
        <w:t xml:space="preserve"> 11 de abril de 2022, y publicadas al BOP de València </w:t>
      </w:r>
      <w:r>
        <w:rPr>
          <w:rFonts w:ascii="Arial" w:hAnsi="Arial"/>
          <w:i/>
          <w:iCs/>
          <w:color w:val="FF0000"/>
          <w:sz w:val="19"/>
          <w:szCs w:val="19"/>
          <w:lang w:val="ca-ES"/>
        </w:rPr>
        <w:t xml:space="preserve"> </w:t>
      </w:r>
      <w:r>
        <w:rPr>
          <w:rFonts w:ascii="Arial" w:hAnsi="Arial"/>
          <w:i/>
          <w:iCs/>
          <w:color w:val="000000"/>
          <w:sz w:val="19"/>
          <w:szCs w:val="19"/>
          <w:lang w:val="ca-ES"/>
        </w:rPr>
        <w:t>n.º 80 de fecha 28 de abril de 2022.</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lang w:val="ca-ES"/>
        </w:rPr>
      </w:pPr>
      <w:r>
        <w:rPr>
          <w:rFonts w:ascii="Arial" w:hAnsi="Arial"/>
          <w:i/>
          <w:iCs/>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i/>
          <w:i/>
          <w:iCs/>
          <w:sz w:val="19"/>
          <w:szCs w:val="19"/>
        </w:rPr>
      </w:pPr>
      <w:r>
        <w:rPr>
          <w:rFonts w:ascii="Arial" w:hAnsi="Arial"/>
          <w:b/>
          <w:i/>
          <w:iCs/>
          <w:sz w:val="19"/>
          <w:szCs w:val="19"/>
          <w:lang w:val="ca-ES"/>
        </w:rPr>
        <w:t>2.- Crédito presupuestario, aplicación presupuestaria y cuantía máxima.</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sz w:val="19"/>
          <w:szCs w:val="19"/>
          <w:lang w:val="ca-ES"/>
        </w:rPr>
      </w:pPr>
      <w:r>
        <w:rPr>
          <w:rFonts w:ascii="Arial" w:hAnsi="Arial"/>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i/>
          <w:i/>
          <w:iCs/>
          <w:sz w:val="19"/>
          <w:szCs w:val="19"/>
        </w:rPr>
      </w:pPr>
      <w:r>
        <w:rPr>
          <w:rFonts w:ascii="Arial" w:hAnsi="Arial"/>
          <w:i/>
          <w:iCs/>
          <w:sz w:val="19"/>
          <w:szCs w:val="19"/>
          <w:lang w:val="ca-ES"/>
        </w:rPr>
        <w:t xml:space="preserve">La asignación presupuestaria para las ayudas reguladas en las presentes bases será de un importe de 55.937,24 </w:t>
      </w:r>
      <w:r>
        <w:rPr>
          <w:rFonts w:ascii="Arial" w:hAnsi="Arial"/>
          <w:b/>
          <w:i/>
          <w:iCs/>
          <w:sz w:val="19"/>
          <w:szCs w:val="19"/>
          <w:lang w:val="ca-ES"/>
        </w:rPr>
        <w:t xml:space="preserve"> </w:t>
      </w:r>
      <w:r>
        <w:rPr>
          <w:rFonts w:ascii="Arial" w:hAnsi="Arial"/>
          <w:i/>
          <w:iCs/>
          <w:sz w:val="19"/>
          <w:szCs w:val="19"/>
          <w:lang w:val="ca-ES"/>
        </w:rPr>
        <w:t xml:space="preserve">euros con cargo a la </w:t>
      </w:r>
      <w:r>
        <w:rPr>
          <w:rFonts w:ascii="Arial" w:hAnsi="Arial"/>
          <w:i/>
          <w:iCs/>
          <w:color w:val="000000"/>
          <w:sz w:val="19"/>
          <w:szCs w:val="19"/>
          <w:lang w:val="ca-ES"/>
        </w:rPr>
        <w:t>partida presupuestaria *núm 2314809</w:t>
      </w:r>
      <w:r>
        <w:rPr>
          <w:rFonts w:ascii="Arial" w:hAnsi="Arial"/>
          <w:i/>
          <w:iCs/>
          <w:sz w:val="19"/>
          <w:szCs w:val="19"/>
          <w:lang w:val="ca-ES"/>
        </w:rPr>
        <w:t>9</w:t>
      </w:r>
      <w:r>
        <w:rPr>
          <w:rFonts w:ascii="Arial" w:hAnsi="Arial"/>
          <w:i/>
          <w:iCs/>
          <w:color w:val="000000"/>
          <w:sz w:val="19"/>
          <w:szCs w:val="19"/>
          <w:lang w:val="ca-ES"/>
        </w:rPr>
        <w:t xml:space="preserve"> de los presupuestos del año 20</w:t>
      </w:r>
      <w:r>
        <w:rPr>
          <w:rFonts w:ascii="Arial" w:hAnsi="Arial"/>
          <w:i/>
          <w:iCs/>
          <w:sz w:val="19"/>
          <w:szCs w:val="19"/>
          <w:lang w:val="ca-ES"/>
        </w:rPr>
        <w:t>22</w:t>
      </w:r>
      <w:r>
        <w:rPr>
          <w:rFonts w:ascii="Arial" w:hAnsi="Arial"/>
          <w:i/>
          <w:iCs/>
          <w:color w:val="000000"/>
          <w:sz w:val="19"/>
          <w:szCs w:val="19"/>
          <w:lang w:val="ca-ES"/>
        </w:rPr>
        <w:t>, con la denominación ”Programa de emergencia social”.</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lang w:val="ca-ES"/>
        </w:rPr>
      </w:pPr>
      <w:r>
        <w:rPr>
          <w:rFonts w:ascii="Arial" w:hAnsi="Arial"/>
          <w:i/>
          <w:iCs/>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i/>
          <w:i/>
          <w:iCs/>
          <w:sz w:val="19"/>
          <w:szCs w:val="19"/>
        </w:rPr>
      </w:pPr>
      <w:r>
        <w:rPr>
          <w:rFonts w:ascii="Arial" w:hAnsi="Arial"/>
          <w:i/>
          <w:iCs/>
          <w:sz w:val="19"/>
          <w:szCs w:val="19"/>
          <w:lang w:val="ca-ES"/>
        </w:rPr>
        <w:t>La concesión de estas subvenciones será por orden de entrada en el registro del ayuntamiento hasta que se agote el crédito de la partida presupuestaria.</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lang w:val="ca-ES"/>
        </w:rPr>
      </w:pPr>
      <w:r>
        <w:rPr>
          <w:rFonts w:ascii="Arial" w:hAnsi="Arial"/>
          <w:i/>
          <w:iCs/>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i/>
          <w:i/>
          <w:iCs/>
          <w:sz w:val="19"/>
          <w:szCs w:val="19"/>
        </w:rPr>
      </w:pPr>
      <w:r>
        <w:rPr>
          <w:rFonts w:ascii="Arial" w:hAnsi="Arial"/>
          <w:i/>
          <w:iCs/>
          <w:sz w:val="19"/>
          <w:szCs w:val="19"/>
          <w:lang w:val="ca-ES"/>
        </w:rPr>
        <w:t>Sin embargo, a propuesta del órgano gestor y previo informe de crédito suficiente y adecuado, podrá autorizarse una cantidad adicional mediante la oportuna modificación de las presentes bases.</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lang w:val="ca-ES"/>
        </w:rPr>
      </w:pPr>
      <w:r>
        <w:rPr>
          <w:rFonts w:ascii="Arial" w:hAnsi="Arial"/>
          <w:i/>
          <w:iCs/>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i/>
          <w:i/>
          <w:iCs/>
          <w:sz w:val="19"/>
          <w:szCs w:val="19"/>
        </w:rPr>
      </w:pPr>
      <w:r>
        <w:rPr>
          <w:rFonts w:ascii="Arial" w:hAnsi="Arial"/>
          <w:b/>
          <w:i/>
          <w:iCs/>
          <w:sz w:val="19"/>
          <w:szCs w:val="19"/>
          <w:lang w:val="ca-ES"/>
        </w:rPr>
        <w:t>3.- Objeto y finalidad de la convocatoria.</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b/>
          <w:b/>
          <w:i/>
          <w:i/>
          <w:iCs/>
          <w:sz w:val="19"/>
          <w:szCs w:val="19"/>
          <w:lang w:val="ca-ES"/>
        </w:rPr>
      </w:pPr>
      <w:r>
        <w:rPr>
          <w:rFonts w:ascii="Arial" w:hAnsi="Arial"/>
          <w:b/>
          <w:i/>
          <w:iCs/>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i/>
          <w:i/>
          <w:iCs/>
          <w:sz w:val="19"/>
          <w:szCs w:val="19"/>
        </w:rPr>
      </w:pPr>
      <w:r>
        <w:rPr>
          <w:rFonts w:ascii="Arial" w:hAnsi="Arial"/>
          <w:i/>
          <w:iCs/>
          <w:sz w:val="19"/>
          <w:szCs w:val="19"/>
          <w:lang w:val="ca-ES"/>
        </w:rPr>
        <w:t>Las Ayudas de emergencia social son ayudas dirigidas a personas individuales o núcleos familiares con el fin de remediar una situación gravemente deteriorada, de urgente necesidad o con graves problemas específicos que afectan su autonomía personal, social y económica, que no puedan resolver con medios económicos propios, con el fin de conseguir su normal desarrollo humano y social.</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lang w:val="ca-ES"/>
        </w:rPr>
      </w:pPr>
      <w:r>
        <w:rPr>
          <w:rFonts w:ascii="Arial" w:hAnsi="Arial"/>
          <w:i/>
          <w:iCs/>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i/>
          <w:i/>
          <w:iCs/>
          <w:sz w:val="19"/>
          <w:szCs w:val="19"/>
        </w:rPr>
      </w:pPr>
      <w:r>
        <w:rPr>
          <w:rFonts w:ascii="Arial" w:hAnsi="Arial"/>
          <w:i/>
          <w:iCs/>
          <w:sz w:val="19"/>
          <w:szCs w:val="19"/>
          <w:lang w:val="ca-ES"/>
        </w:rPr>
        <w:t xml:space="preserve">Las ayudas para el desarrollo personal de personas de tercera edad (60 años o más), son ayudas dirigidas a las personas con problemas motores o sensoriales para su mantenimiento en su propio entorno social para incrementar su autonomía, favoreciendo sus relaciones y su integración en la sociedad. A tal efecto, se establecen dos modalidades: ayudas técnicas y adaptación vehículo a motor. </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lang w:val="ca-ES"/>
        </w:rPr>
      </w:pPr>
      <w:r>
        <w:rPr>
          <w:rFonts w:ascii="Arial" w:hAnsi="Arial"/>
          <w:i/>
          <w:iCs/>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i/>
          <w:i/>
          <w:iCs/>
          <w:sz w:val="19"/>
          <w:szCs w:val="19"/>
        </w:rPr>
      </w:pPr>
      <w:r>
        <w:rPr>
          <w:rFonts w:ascii="Arial" w:hAnsi="Arial"/>
          <w:b/>
          <w:i/>
          <w:iCs/>
          <w:sz w:val="19"/>
          <w:szCs w:val="19"/>
          <w:lang w:val="ca-ES"/>
        </w:rPr>
        <w:t>4.- Expresión de que la concesión se efectúa mediante un procedimiento de concurrencia competitiva.</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lang w:val="ca-ES"/>
        </w:rPr>
        <w:t>La concesión de estas subvenciones se tramitará en régimen de concurrencia competitiva.</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lang w:val="ca-ES"/>
        </w:rPr>
        <w:t>El artículo 22 de la Ley 38/2003, de 17 de noviembre, General de Subvenciones, especifica que tendrá la consideración de concurrencia competitiva el procedimiento mediante el cual la concesión de las subvenciones se realiza mediante la comparación de las solicitudes presentadas, a fin de establecer una prelación entre las mismas de acuerdo con los criterios de valoración previamente fijados en las bases reguladoras y en la convocatoria, y adjudicar, con el límite fijado en la convocatoria dentro del crédito disponible, aquellas que hayan obtenido mayor valoración en aplicación de los citados criterios.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b/>
          <w:i/>
          <w:iCs/>
          <w:sz w:val="19"/>
          <w:szCs w:val="19"/>
          <w:lang w:val="ca-ES"/>
        </w:rPr>
        <w:t>5.- Requisitos para solicitar la subvención.</w:t>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 xml:space="preserve">Será titular de las PEIs en cualquier de sus modalidades, la persona a nombre de quien se tramita y concede la prestación y en quien recae el derecho a la prestación. Tendrán la consideración de personas beneficiarias las personas que forman parte de la misma unidad de convivencia que la titular. </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color w:val="000000"/>
          <w:sz w:val="19"/>
          <w:szCs w:val="19"/>
          <w:u w:val="none"/>
          <w:lang w:val="ca-ES-valencia"/>
        </w:rPr>
        <w:t xml:space="preserve">A todos los efectos tendrán derecho a las PEIs, en las condiciones previstas en estas bases para cada una de sus modalidades, aquellas personas que reúnan los siguientes requisitos: </w:t>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a) Encontrarse en situación de grave necesidad económica y no disponer de recursos o ingresos suficientes para afrontar los gastos derivados de la situación de necesidad que tendrán que ser documentalmente acreditados.</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 xml:space="preserve"> </w:t>
      </w:r>
      <w:r>
        <w:rPr>
          <w:rFonts w:ascii="Arial" w:hAnsi="Arial"/>
          <w:i/>
          <w:iCs/>
          <w:color w:val="000000"/>
          <w:sz w:val="19"/>
          <w:szCs w:val="19"/>
          <w:lang w:val="ca-ES-valencia"/>
        </w:rPr>
        <w:t xml:space="preserve">b) Que la renta per cápita anual de los miembros de la unidad familiar o de convivencia a la cual pertenezca la persona solicitante, no exceda del 100% del Indicador Público de Renta de Efectos Múltiples (*IPREM) vigente, en cómputo anual en doce pagas. Esta cuantía será actualizada anualmente con los datos obtenidos de organismos competentes a tal efecto. </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c) Estar empadronada por un periodo mínimo de doce meses la persona solicitante y su unidad familiar, en su caso, y residir efectivamente en el municipio de Carlet.</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(Por criterio técnico profesional aprobado en Comisión de Valoración se podrá, con carácter excepcional, cuando una situación de emergencia lo requiera, prescindir del requisito de la antigüedad de 12 meses de empadronamiento, si bien, el solicitante tendrá que estar en todo caso empadronado en el municipio.)</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 xml:space="preserve">También podrán acceder a las PEIs las personas extranjeras que tengan la condición de exiliadas, refugiadas, apátridas o en situación de irregularidad, de acuerdo con la legislación vigente, con los tratados y convenios en la materia y, en su defecto, con el principio de reciprocidad. </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d) Ser mayor de edad o menor emancipado judicialmente. Podrán ser también solicitantes los mayores de 16 cuando concurra alguna de las siguientes circunstancias:</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 xml:space="preserve">• </w:t>
      </w:r>
      <w:r>
        <w:rPr>
          <w:rFonts w:ascii="Arial" w:hAnsi="Arial"/>
          <w:i/>
          <w:iCs/>
          <w:color w:val="000000"/>
          <w:sz w:val="19"/>
          <w:szCs w:val="19"/>
          <w:lang w:val="ca-ES-valencia"/>
        </w:rPr>
        <w:t xml:space="preserve">Que tengan a su cargo persones con diversidad funcional, en situación de dependencia o menores de edad. </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 xml:space="preserve">• </w:t>
      </w:r>
      <w:r>
        <w:rPr>
          <w:rFonts w:ascii="Arial" w:hAnsi="Arial"/>
          <w:i/>
          <w:iCs/>
          <w:color w:val="000000"/>
          <w:sz w:val="19"/>
          <w:szCs w:val="19"/>
          <w:lang w:val="ca-ES-valencia"/>
        </w:rPr>
        <w:t xml:space="preserve">Que sean víctimas de explotación sexual o trata, o víctima de violencia de género o intrafamiliar. </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 xml:space="preserve">• </w:t>
      </w:r>
      <w:r>
        <w:rPr>
          <w:rFonts w:ascii="Arial" w:hAnsi="Arial"/>
          <w:i/>
          <w:iCs/>
          <w:color w:val="000000"/>
          <w:sz w:val="19"/>
          <w:szCs w:val="19"/>
          <w:lang w:val="ca-ES-valencia"/>
        </w:rPr>
        <w:t xml:space="preserve">Que hayan participado en programas de preparación para la vida independiente de los menores, al menos 12 meses en los 2 últimos años anteriores a la solicitud. </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 xml:space="preserve">f) Acreditar la situación de necesidad, la cual tendrá que ser valorada por el personal técnico municipal e integrada en un proceso de intervención social, en su caso. </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 xml:space="preserve">h) Haber justificado las ayudas concedidas con anterioridad. </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y) Disponer del informe técnico favorable elaborado por el Servicio de Bienestar Social Municipal, en el cual se determine la necesidad de la acción objeto de la ayuda y se haga constar que se han agotado todos los recursos existentes encaminados a resolver la necesidad.</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 xml:space="preserve">j) No tener acceso a ayudas otras Administraciones públicas o recursos propios que cubran esta necesidad y que, junto con la ayuda solicitada, supero el concepto para el cual se pide la citada ayuda. </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 xml:space="preserve">k) Aceptar las condiciones de la intervención social a través del Plan Personal Individualizado en aquellos casos que por criterio profesional así se determine. Las contraprestaciones que podrán demandarse al solicitante y/o a su familia pueden ser de dos tipos: </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 xml:space="preserve">• </w:t>
      </w:r>
      <w:r>
        <w:rPr>
          <w:rFonts w:ascii="Arial" w:hAnsi="Arial"/>
          <w:i/>
          <w:iCs/>
          <w:color w:val="000000"/>
          <w:sz w:val="19"/>
          <w:szCs w:val="19"/>
          <w:lang w:val="ca-ES-valencia"/>
        </w:rPr>
        <w:t xml:space="preserve">Las destinadas a favorecer la inserción laboral a través del diseño de itinerarios educativos, formativos y/o laborales. </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 xml:space="preserve">• </w:t>
      </w:r>
      <w:r>
        <w:rPr>
          <w:rFonts w:ascii="Arial" w:hAnsi="Arial"/>
          <w:i/>
          <w:iCs/>
          <w:color w:val="000000"/>
          <w:sz w:val="19"/>
          <w:szCs w:val="19"/>
          <w:lang w:val="ca-ES-valencia"/>
        </w:rPr>
        <w:t xml:space="preserve">Las destinadas a favorecer la inserción social y estimular el desarrollo de habilidades personales a través del diseño de itinerarios de desarrollo personal. </w:t>
      </w:r>
    </w:p>
    <w:p>
      <w:pPr>
        <w:pStyle w:val="Normal"/>
        <w:widowControl/>
        <w:numPr>
          <w:ilvl w:val="0"/>
          <w:numId w:val="1"/>
        </w:numPr>
        <w:tabs>
          <w:tab w:val="clear" w:pos="720"/>
          <w:tab w:val="left" w:pos="0" w:leader="none"/>
        </w:tabs>
        <w:spacing w:lineRule="auto" w:line="276" w:before="240" w:after="0"/>
        <w:ind w:left="720" w:hanging="0"/>
        <w:jc w:val="both"/>
        <w:rPr>
          <w:i/>
          <w:i/>
          <w:iCs/>
          <w:sz w:val="19"/>
          <w:szCs w:val="19"/>
        </w:rPr>
      </w:pPr>
      <w:r>
        <w:rPr>
          <w:rFonts w:ascii="Arial" w:hAnsi="Arial"/>
          <w:i/>
          <w:iCs/>
          <w:color w:val="000000"/>
          <w:sz w:val="19"/>
          <w:szCs w:val="19"/>
          <w:lang w:val="ca-ES-valencia"/>
        </w:rPr>
        <w:t xml:space="preserve">• </w:t>
      </w:r>
      <w:r>
        <w:rPr>
          <w:rFonts w:ascii="Arial" w:hAnsi="Arial"/>
          <w:i/>
          <w:iCs/>
          <w:color w:val="000000"/>
          <w:sz w:val="19"/>
          <w:szCs w:val="19"/>
          <w:lang w:val="ca-ES-valencia"/>
        </w:rPr>
        <w:t>Excepcionalmente, por causas justificadas de manera objetiva en el expediente y a instancia de la Comisión de Valoración de PEIs, podrán ser personas destinatarias de las PEIs aquellas en las cuales, incluso no cumpliendo los requisitos, concurran circunstancias extraordinarias que los sitúan en un contexto de especial vulnerabilidad.</w:t>
      </w:r>
    </w:p>
    <w:p>
      <w:pPr>
        <w:pStyle w:val="Normal"/>
        <w:numPr>
          <w:ilvl w:val="0"/>
          <w:numId w:val="1"/>
        </w:numPr>
        <w:ind w:left="720" w:hanging="0"/>
        <w:jc w:val="both"/>
        <w:rPr>
          <w:rFonts w:ascii="Arial" w:hAnsi="Arial"/>
          <w:sz w:val="19"/>
          <w:szCs w:val="19"/>
        </w:rPr>
      </w:pPr>
      <w:r>
        <w:rPr>
          <w:rFonts w:ascii="Arial" w:hAnsi="Arial"/>
          <w:b/>
          <w:i/>
          <w:iCs/>
          <w:color w:val="000000"/>
          <w:sz w:val="19"/>
          <w:szCs w:val="19"/>
          <w:u w:val="single"/>
          <w:lang w:val="ca-ES-valencia"/>
        </w:rPr>
        <w:t>Requisitos de las personas beneficiarias de las PEIs</w:t>
      </w:r>
    </w:p>
    <w:p>
      <w:pPr>
        <w:pStyle w:val="Normal"/>
        <w:numPr>
          <w:ilvl w:val="0"/>
          <w:numId w:val="1"/>
        </w:numPr>
        <w:ind w:left="720" w:hanging="0"/>
        <w:jc w:val="both"/>
        <w:rPr>
          <w:rFonts w:ascii="Arial" w:hAnsi="Arial"/>
          <w:b/>
          <w:b/>
          <w:i/>
          <w:i/>
          <w:iCs/>
          <w:color w:val="000000"/>
          <w:sz w:val="19"/>
          <w:szCs w:val="19"/>
          <w:u w:val="single"/>
          <w:lang w:val="ca-ES-valencia"/>
        </w:rPr>
      </w:pPr>
      <w:r>
        <w:rPr>
          <w:rFonts w:ascii="Arial" w:hAnsi="Arial"/>
          <w:b/>
          <w:i/>
          <w:iCs/>
          <w:color w:val="000000"/>
          <w:sz w:val="19"/>
          <w:szCs w:val="19"/>
          <w:u w:val="single"/>
          <w:lang w:val="ca-ES-valencia"/>
        </w:rPr>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a) Estar empadronados/as y tener la residencia efectiva en el municipio como mínimo un año ininterrumpido e inmediatamente anterior a la fecha de la solicitud. Tendrá que estar empadronado/a en el domicilio que reside. (Por criterio técnico profesional aprobado en Comisión de Valoración se podrá, con carácter excepcional, cuando una situación de emergencia lo requiera, prescindir del requisito de la antigüedad de 12 meses de empadronamiento, si bien, el solicitante tendrá que estar en todo caso empadronado en el municipio.)</w:t>
      </w:r>
    </w:p>
    <w:p>
      <w:pPr>
        <w:pStyle w:val="Normal"/>
        <w:widowControl/>
        <w:numPr>
          <w:ilvl w:val="0"/>
          <w:numId w:val="1"/>
        </w:numPr>
        <w:ind w:left="1440" w:hanging="0"/>
        <w:jc w:val="both"/>
        <w:rPr>
          <w:rFonts w:ascii="Arial" w:hAnsi="Arial"/>
          <w:i/>
          <w:i/>
          <w:iCs/>
          <w:sz w:val="19"/>
          <w:szCs w:val="19"/>
          <w:lang w:val="ca-ES-valencia"/>
        </w:rPr>
      </w:pPr>
      <w:r>
        <w:rPr>
          <w:rFonts w:ascii="Arial" w:hAnsi="Arial"/>
          <w:i/>
          <w:iCs/>
          <w:sz w:val="19"/>
          <w:szCs w:val="19"/>
          <w:lang w:val="ca-ES-valencia"/>
        </w:rPr>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b) No disponer de ingresos suficientes para afrontar los gastos derivados de la situación de emergencia. En caso de que estén en situación de reunir los criterios para ser beneficiarios de la renta valenciana de inclusión y/o el ingreso mínimo vital estatal, tendrán que acreditar documentalmente haber realizado la solicitud de la/lo mismo/a.</w:t>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 xml:space="preserve">c) Facilitar al Equipo Técnico de Servicios Sociales la visita domiciliaria para la realización del correspondiente informe social y/o técnico. </w:t>
      </w:r>
    </w:p>
    <w:p>
      <w:pPr>
        <w:pStyle w:val="Normal"/>
        <w:widowControl/>
        <w:numPr>
          <w:ilvl w:val="0"/>
          <w:numId w:val="1"/>
        </w:numPr>
        <w:ind w:left="1440" w:hanging="0"/>
        <w:jc w:val="both"/>
        <w:rPr>
          <w:rFonts w:ascii="Arial" w:hAnsi="Arial"/>
          <w:i/>
          <w:i/>
          <w:iCs/>
          <w:sz w:val="19"/>
          <w:szCs w:val="19"/>
          <w:lang w:val="ca-ES-valencia"/>
        </w:rPr>
      </w:pPr>
      <w:r>
        <w:rPr>
          <w:rFonts w:ascii="Arial" w:hAnsi="Arial"/>
          <w:i/>
          <w:iCs/>
          <w:sz w:val="19"/>
          <w:szCs w:val="19"/>
          <w:lang w:val="ca-ES-valencia"/>
        </w:rPr>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d) Quedan exentos de encontrarse al corriente del pago de impuestos y tributos municipales.</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e) Haber justificado debidamente ayudas anteriores en su caso.</w:t>
      </w:r>
    </w:p>
    <w:p>
      <w:pPr>
        <w:pStyle w:val="Normal"/>
        <w:widowControl/>
        <w:numPr>
          <w:ilvl w:val="0"/>
          <w:numId w:val="1"/>
        </w:numPr>
        <w:ind w:left="1440" w:hanging="0"/>
        <w:jc w:val="both"/>
        <w:rPr>
          <w:rFonts w:ascii="Arial" w:hAnsi="Arial"/>
          <w:i/>
          <w:i/>
          <w:iCs/>
          <w:sz w:val="19"/>
          <w:szCs w:val="19"/>
          <w:lang w:val="ca-ES-valencia"/>
        </w:rPr>
      </w:pPr>
      <w:r>
        <w:rPr>
          <w:rFonts w:ascii="Arial" w:hAnsi="Arial"/>
          <w:i/>
          <w:iCs/>
          <w:sz w:val="19"/>
          <w:szCs w:val="19"/>
          <w:lang w:val="ca-ES-valencia"/>
        </w:rPr>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f) No disponer de bienes amueblas y/o inmuebles diferentes a los de la vivienda habitual sobre los cuales se posea un derecho de propiedad, posesión y/o usufructo o cualquier otra, que por sus características, valoración o posibilidad de explotación y/o venta, indico la existencia de medios suficientes para tener la necesidad para la cual se ha solicitado la ayuda.</w:t>
      </w:r>
    </w:p>
    <w:p>
      <w:pPr>
        <w:pStyle w:val="Normal"/>
        <w:widowControl/>
        <w:numPr>
          <w:ilvl w:val="0"/>
          <w:numId w:val="1"/>
        </w:numPr>
        <w:ind w:left="720" w:hanging="0"/>
        <w:jc w:val="both"/>
        <w:rPr>
          <w:rFonts w:ascii="Arial" w:hAnsi="Arial"/>
          <w:i/>
          <w:i/>
          <w:iCs/>
          <w:sz w:val="19"/>
          <w:szCs w:val="19"/>
          <w:lang w:val="ca-ES-valencia"/>
        </w:rPr>
      </w:pPr>
      <w:r>
        <w:rPr>
          <w:rFonts w:ascii="Arial" w:hAnsi="Arial"/>
          <w:i/>
          <w:iCs/>
          <w:sz w:val="19"/>
          <w:szCs w:val="19"/>
          <w:lang w:val="ca-ES-valencia"/>
        </w:rPr>
      </w:r>
    </w:p>
    <w:p>
      <w:pPr>
        <w:pStyle w:val="Normal"/>
        <w:widowControl/>
        <w:numPr>
          <w:ilvl w:val="0"/>
          <w:numId w:val="1"/>
        </w:numPr>
        <w:tabs>
          <w:tab w:val="clear" w:pos="720"/>
          <w:tab w:val="left" w:pos="0" w:leader="none"/>
        </w:tabs>
        <w:spacing w:lineRule="auto" w:line="276" w:before="240" w:after="0"/>
        <w:ind w:left="720" w:hanging="0"/>
        <w:jc w:val="both"/>
        <w:rPr>
          <w:i/>
          <w:i/>
          <w:iCs/>
          <w:sz w:val="19"/>
          <w:szCs w:val="19"/>
        </w:rPr>
      </w:pPr>
      <w:r>
        <w:rPr>
          <w:rFonts w:ascii="Arial" w:hAnsi="Arial"/>
          <w:i/>
          <w:iCs/>
          <w:color w:val="000000"/>
          <w:sz w:val="19"/>
          <w:szCs w:val="19"/>
          <w:lang w:val="ca-ES-valencia"/>
        </w:rPr>
        <w:t>g) Que la renta per cápita anual de los miembros de la unidad familiar y/o de convivencia no exceda el 100% del *IPREM vigente en cómputo anual con doce pagas.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b/>
          <w:i/>
          <w:iCs/>
          <w:color w:val="000000"/>
          <w:sz w:val="19"/>
          <w:szCs w:val="19"/>
          <w:u w:val="single"/>
          <w:lang w:val="ca-ES"/>
        </w:rPr>
        <w:t>Requisitos de los beneficiarios de las ayudas para la mejora de la autonomía para personas mayores</w:t>
      </w:r>
      <w:r>
        <w:rPr>
          <w:rFonts w:ascii="Arial" w:hAnsi="Arial"/>
          <w:b/>
          <w:i/>
          <w:iCs/>
          <w:color w:val="000000"/>
          <w:sz w:val="19"/>
          <w:szCs w:val="19"/>
          <w:lang w:val="ca-ES"/>
        </w:rPr>
        <w:t>:</w:t>
      </w:r>
    </w:p>
    <w:p>
      <w:pPr>
        <w:pStyle w:val="Normal"/>
        <w:widowControl/>
        <w:numPr>
          <w:ilvl w:val="0"/>
          <w:numId w:val="3"/>
        </w:numPr>
        <w:ind w:left="1440" w:hanging="360"/>
        <w:jc w:val="both"/>
        <w:rPr>
          <w:i/>
          <w:i/>
          <w:iCs/>
          <w:sz w:val="19"/>
          <w:szCs w:val="19"/>
        </w:rPr>
      </w:pPr>
      <w:r>
        <w:rPr>
          <w:rFonts w:ascii="Arial" w:hAnsi="Arial"/>
          <w:i/>
          <w:iCs/>
          <w:color w:val="000000"/>
          <w:sz w:val="19"/>
          <w:szCs w:val="19"/>
          <w:lang w:val="ca-ES-valencia"/>
        </w:rPr>
        <w:t>Ser mayor de 60 años</w:t>
      </w:r>
    </w:p>
    <w:p>
      <w:pPr>
        <w:pStyle w:val="Normal"/>
        <w:widowControl/>
        <w:numPr>
          <w:ilvl w:val="0"/>
          <w:numId w:val="3"/>
        </w:numPr>
        <w:ind w:left="1440" w:hanging="360"/>
        <w:jc w:val="both"/>
        <w:rPr>
          <w:i/>
          <w:i/>
          <w:iCs/>
          <w:sz w:val="19"/>
          <w:szCs w:val="19"/>
        </w:rPr>
      </w:pPr>
      <w:r>
        <w:rPr>
          <w:rFonts w:ascii="Arial" w:hAnsi="Arial"/>
          <w:i/>
          <w:iCs/>
          <w:color w:val="000000"/>
          <w:sz w:val="19"/>
          <w:szCs w:val="19"/>
          <w:lang w:val="ca-ES-valencia"/>
        </w:rPr>
        <w:t>Que existan deficiencias de carácter motor y/o sensorial en la persona solicitante que le impidan  o dificultan  su movilidad a través de medios formales.</w:t>
      </w:r>
    </w:p>
    <w:p>
      <w:pPr>
        <w:pStyle w:val="Normal"/>
        <w:widowControl/>
        <w:numPr>
          <w:ilvl w:val="0"/>
          <w:numId w:val="3"/>
        </w:numPr>
        <w:ind w:left="1440" w:hanging="360"/>
        <w:jc w:val="both"/>
        <w:rPr>
          <w:i/>
          <w:i/>
          <w:iCs/>
          <w:sz w:val="19"/>
          <w:szCs w:val="19"/>
        </w:rPr>
      </w:pPr>
      <w:r>
        <w:rPr>
          <w:rFonts w:ascii="Arial" w:hAnsi="Arial"/>
          <w:i/>
          <w:iCs/>
          <w:color w:val="000000"/>
          <w:sz w:val="19"/>
          <w:szCs w:val="19"/>
          <w:lang w:val="ca-ES-valencia"/>
        </w:rPr>
        <w:t xml:space="preserve">Que la solicitud </w:t>
      </w:r>
      <w:r>
        <w:rPr>
          <w:rFonts w:ascii="Arial" w:hAnsi="Arial"/>
          <w:i/>
          <w:iCs/>
          <w:sz w:val="19"/>
          <w:szCs w:val="19"/>
          <w:lang w:val="ca-ES-valencia"/>
        </w:rPr>
        <w:t>esté</w:t>
      </w:r>
      <w:r>
        <w:rPr>
          <w:rFonts w:ascii="Arial" w:hAnsi="Arial"/>
          <w:i/>
          <w:iCs/>
          <w:color w:val="000000"/>
          <w:sz w:val="19"/>
          <w:szCs w:val="19"/>
          <w:lang w:val="ca-ES-valencia"/>
        </w:rPr>
        <w:t xml:space="preserve"> referida a elementos relacionados con las necesidades de accesibilidad y comunicación, siendo excluidos los que </w:t>
      </w:r>
      <w:r>
        <w:rPr>
          <w:rFonts w:ascii="Arial" w:hAnsi="Arial"/>
          <w:i/>
          <w:iCs/>
          <w:sz w:val="19"/>
          <w:szCs w:val="19"/>
          <w:lang w:val="ca-ES-valencia"/>
        </w:rPr>
        <w:t>significan</w:t>
      </w:r>
      <w:r>
        <w:rPr>
          <w:rFonts w:ascii="Arial" w:hAnsi="Arial"/>
          <w:i/>
          <w:iCs/>
          <w:color w:val="000000"/>
          <w:sz w:val="19"/>
          <w:szCs w:val="19"/>
          <w:lang w:val="ca-ES-valencia"/>
        </w:rPr>
        <w:t xml:space="preserve"> una mejora en el hogar/edificio que no </w:t>
      </w:r>
      <w:r>
        <w:rPr>
          <w:rFonts w:ascii="Arial" w:hAnsi="Arial"/>
          <w:i/>
          <w:iCs/>
          <w:sz w:val="19"/>
          <w:szCs w:val="19"/>
          <w:lang w:val="ca-ES-valencia"/>
        </w:rPr>
        <w:t>esté</w:t>
      </w:r>
      <w:r>
        <w:rPr>
          <w:rFonts w:ascii="Arial" w:hAnsi="Arial"/>
          <w:i/>
          <w:iCs/>
          <w:color w:val="000000"/>
          <w:sz w:val="19"/>
          <w:szCs w:val="19"/>
          <w:lang w:val="ca-ES-valencia"/>
        </w:rPr>
        <w:t xml:space="preserve"> directamente relacionada con los impedimentos físicos y/o sensoriales.</w:t>
      </w:r>
    </w:p>
    <w:p>
      <w:pPr>
        <w:pStyle w:val="Normal"/>
        <w:widowControl/>
        <w:numPr>
          <w:ilvl w:val="0"/>
          <w:numId w:val="3"/>
        </w:numPr>
        <w:ind w:left="1440" w:hanging="360"/>
        <w:jc w:val="both"/>
        <w:rPr>
          <w:i/>
          <w:i/>
          <w:iCs/>
          <w:sz w:val="19"/>
          <w:szCs w:val="19"/>
        </w:rPr>
      </w:pPr>
      <w:r>
        <w:rPr>
          <w:rFonts w:ascii="Arial" w:hAnsi="Arial"/>
          <w:b w:val="false"/>
          <w:bCs w:val="false"/>
          <w:i/>
          <w:iCs/>
          <w:color w:val="000000"/>
          <w:sz w:val="19"/>
          <w:szCs w:val="19"/>
          <w:lang w:val="ca-ES-valencia"/>
        </w:rPr>
        <w:t>Idoneidad del solicitado para cubrir la necesidad planteada a la persona solicitante.</w:t>
      </w:r>
      <w:r>
        <w:rPr>
          <w:rFonts w:ascii="Arial" w:hAnsi="Arial"/>
          <w:b/>
          <w:i/>
          <w:iCs/>
          <w:color w:val="000000"/>
          <w:sz w:val="19"/>
          <w:szCs w:val="19"/>
          <w:lang w:val="ca-ES-valencia"/>
        </w:rPr>
        <w:t xml:space="preserve"> </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b/>
          <w:i/>
          <w:iCs/>
          <w:sz w:val="19"/>
          <w:szCs w:val="19"/>
          <w:lang w:val="ca-ES"/>
        </w:rPr>
        <w:t>6.- Indicación de los órganos competentes para la instrucción y resolución del procedimiento.</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b/>
          <w:i/>
          <w:iCs/>
          <w:sz w:val="19"/>
          <w:szCs w:val="19"/>
          <w:u w:val="single"/>
          <w:lang w:val="ca-ES"/>
        </w:rPr>
        <w:t>INSTRUCCIÓN</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lang w:val="ca-ES"/>
        </w:rPr>
        <w:t xml:space="preserve">Será órgano instructor del procedimiento </w:t>
      </w:r>
      <w:r>
        <w:rPr>
          <w:rFonts w:ascii="Arial" w:hAnsi="Arial"/>
          <w:b/>
          <w:i/>
          <w:iCs/>
          <w:sz w:val="19"/>
          <w:szCs w:val="19"/>
          <w:lang w:val="ca-ES"/>
        </w:rPr>
        <w:t>el personal técnico del área de Servicios Sociales del Ayuntamiento.</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lang w:val="ca-ES"/>
        </w:rPr>
        <w:t>Durante la fase de instrucción se llevarán a cabo todas las actuaciones que se consideran necesarias para la determinación, conocimiento y comprobación de los datos en virtud de las cuales se tendrá que formular la propuesta de resolución, en los términos que señala el artículo 24 de la Ley General de Subvenciones.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u w:val="none"/>
          <w:lang w:val="ca-ES"/>
        </w:rPr>
        <w:t xml:space="preserve">Se constituirá una Comisión de Valoración </w:t>
      </w:r>
      <w:r>
        <w:rPr>
          <w:rFonts w:ascii="Arial" w:hAnsi="Arial"/>
          <w:i/>
          <w:iCs/>
          <w:sz w:val="19"/>
          <w:szCs w:val="19"/>
          <w:lang w:val="ca-ES"/>
        </w:rPr>
        <w:t>encargada de la baremación de las solicitudes presentadas de acuerdo con los requisitos exigidos en la presente convocatoria. Después de la baremación, se elaborará una relación de personas solicitantes, indicando la concesión o no de la ayuda solicitada.</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sz w:val="19"/>
          <w:szCs w:val="19"/>
        </w:rPr>
      </w:pPr>
      <w:r>
        <w:rPr>
          <w:rFonts w:ascii="Arial" w:hAnsi="Arial"/>
          <w:i/>
          <w:iCs/>
          <w:sz w:val="19"/>
          <w:szCs w:val="19"/>
          <w:u w:val="none"/>
          <w:lang w:val="ca-ES"/>
        </w:rPr>
        <w:t>El órgano competente para la instrucción tendrá que evacuar de oficio cuántas actuaciones estimo necesarias para la determinación, conocimiento y comprobación de los datos en virtud de los cuales tiene que formularse la propuesta de resolución.</w:t>
      </w:r>
      <w:r>
        <w:rPr>
          <w:rFonts w:ascii="Arial" w:hAnsi="Arial"/>
          <w:i/>
          <w:iCs/>
          <w:sz w:val="19"/>
          <w:szCs w:val="19"/>
          <w:lang w:val="ca-ES"/>
        </w:rPr>
        <w:t xml:space="preserve"> A tal efecto, comprobarán el contenido de las solicitudes presentadas, pudiendo con este fin pedir cuántos datos e informas sean necesarios a otras instituciones o entidades públicas y privadas o a la propia persona solicitante, sin perjuicio de las otras actuaciones de control y revisión que sobre este tema se pudieran desarrollar con posterioridad. Los datos e informes a los cuales alude el párrafo anterior tendrán que limitarse a aquellos que resultan imprescindibles para la comprobación del cumplimiento por parte de la persona solicitante de los requisitos establecidos en las presentes bases reguladoras.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lang w:val="ca-ES"/>
        </w:rPr>
        <w:t xml:space="preserve">Una vez verificadas las solicitudes en la forma prevista en los artículos anteriores, </w:t>
      </w:r>
      <w:r>
        <w:rPr>
          <w:rFonts w:ascii="Arial" w:hAnsi="Arial"/>
          <w:i/>
          <w:iCs/>
          <w:sz w:val="19"/>
          <w:szCs w:val="19"/>
          <w:u w:val="none"/>
          <w:lang w:val="ca-ES"/>
        </w:rPr>
        <w:t>se emitirá informe por el órgano instructor correspondiente, teniendo que incluir una propuesta favorable o desfavorable, debidamente motivada.</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u w:val="none"/>
          <w:lang w:val="ca-ES"/>
        </w:rPr>
        <w:t xml:space="preserve">Este informe y el expediente completo se remitirá a la Comisión de Valoración de Ayudas de Emergencia Social y Mejora de la Autonomía para Personas Mayores </w:t>
      </w:r>
      <w:r>
        <w:rPr>
          <w:rFonts w:ascii="Arial" w:hAnsi="Arial"/>
          <w:i/>
          <w:iCs/>
          <w:sz w:val="19"/>
          <w:szCs w:val="19"/>
          <w:lang w:val="ca-ES"/>
        </w:rPr>
        <w:t>que estará integrada por los siguientes miembros: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sz w:val="19"/>
          <w:szCs w:val="19"/>
        </w:rPr>
      </w:pPr>
      <w:r>
        <w:rPr>
          <w:rFonts w:ascii="Arial" w:hAnsi="Arial"/>
          <w:i/>
          <w:iCs/>
          <w:sz w:val="19"/>
          <w:szCs w:val="19"/>
          <w:lang w:val="ca-ES"/>
        </w:rPr>
        <w:t xml:space="preserve"> </w:t>
      </w:r>
      <w:r>
        <w:rPr>
          <w:rFonts w:ascii="Arial" w:hAnsi="Arial"/>
          <w:i/>
          <w:iCs/>
          <w:sz w:val="19"/>
          <w:szCs w:val="19"/>
          <w:lang w:val="ca-ES"/>
        </w:rPr>
        <w:t>1) Presidente/a: El/la coordinador de servicios sociales,o en quienes delego en caso de ausencia o enfermedad.</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lang w:val="ca-ES"/>
        </w:rPr>
        <w:t xml:space="preserve"> </w:t>
      </w:r>
      <w:r>
        <w:rPr>
          <w:rFonts w:ascii="Arial" w:hAnsi="Arial"/>
          <w:i/>
          <w:iCs/>
          <w:sz w:val="19"/>
          <w:szCs w:val="19"/>
          <w:lang w:val="ca-ES"/>
        </w:rPr>
        <w:t>2) Secretaria: Auxiliar del departamento de servicios sociales (sin voz ni voto).</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lang w:val="ca-ES"/>
        </w:rPr>
        <w:t xml:space="preserve"> </w:t>
      </w:r>
      <w:r>
        <w:rPr>
          <w:rFonts w:ascii="Arial" w:hAnsi="Arial"/>
          <w:i/>
          <w:iCs/>
          <w:sz w:val="19"/>
          <w:szCs w:val="19"/>
          <w:lang w:val="ca-ES"/>
        </w:rPr>
        <w:t>3) Vocales: cuatro miembros del equipo técnico de servicios sociales.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u w:val="none"/>
          <w:lang w:val="ca-ES"/>
        </w:rPr>
        <w:t>A la vista del expediente tramitado por el instructor, la Comisión formulará informe de evaluación conformo con las conclusiones conseguidas, indicando el tipo de ayuda y la cuantía.</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lang w:val="ca-ES"/>
        </w:rPr>
        <w:t>Los instructores del procedimiento, a la vista del expediente y del informe de la Comisión de Valoración formularán al órgano resolutorio propuesta de resolución.</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b/>
          <w:i/>
          <w:iCs/>
          <w:sz w:val="19"/>
          <w:szCs w:val="19"/>
          <w:u w:val="single"/>
          <w:lang w:val="ca-ES"/>
        </w:rPr>
        <w:t>RESOLUCIÓN</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color w:val="000000"/>
          <w:sz w:val="19"/>
          <w:szCs w:val="19"/>
          <w:lang w:val="ca-ES"/>
        </w:rPr>
        <w:t>En este caso la competencia está delegada en el Regidor de Servicios Sociales, por el Decreto de delegación 2022-0161, al tratarse de un acto administrativo con eficacia frente a terceros en una materia relativa en su área, las solicitudes de ayudas serán resueltas mediante Decreto del Regidor de Servicios Sociales, a la vista de la propuesta del órgano instructor conforme al informe de la Comisión de Valoración.</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b/>
          <w:i/>
          <w:iCs/>
          <w:sz w:val="19"/>
          <w:szCs w:val="19"/>
          <w:lang w:val="ca-ES"/>
        </w:rPr>
        <w:t>7.- Plazo para la presentación de solicitudes.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lang w:val="ca-ES"/>
        </w:rPr>
        <w:t xml:space="preserve">Las solicitudes, según modelo normalizado y el resto de documentación exigida se presentará en el Registro de Entrada del Ayuntamiento, sin perjuicio del que dispone la Ley 39/2015, de 1 de octubre por la cual se regula el procedimiento administrativo común de las Administraciones Públicas, acompañada de la documentación específica requerida para cada tipo de ayuda. El plazo para la presentación de solicitudes </w:t>
      </w:r>
      <w:r>
        <w:rPr>
          <w:rFonts w:ascii="Arial" w:hAnsi="Arial"/>
          <w:i/>
          <w:iCs/>
          <w:sz w:val="19"/>
          <w:szCs w:val="19"/>
          <w:u w:val="single"/>
          <w:lang w:val="ca-ES"/>
        </w:rPr>
        <w:t>empezará a contar a partir del día siguiente en la publicación del extracto de la convocatoria en el BOP y finalizará el 15 de noviembre de 2022. Con carácter extraordinario podrán admitirse y tramitarse aquellas solicitudes presentadas con posterioridad a esa fecha y antes del 31 de diciembre de este año.</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lang w:val="ca-ES"/>
        </w:rPr>
        <w:t>Excepcionalmente, las prestaciones económicas individualizadas podrán tramitarse de oficio, previo informe técnico motivado de la necesidad. En este supuesto se requerirá la conformidad del destinatario para recibir la prestación.</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lang w:val="ca-ES"/>
        </w:rPr>
        <w:t>Si la solicitud presentada no reunirá los requisitos exigidos, se requerirá al interesado porque, en un plazo de diez días hábiles enmiendo la falta o acompaño los documentos preceptivos, con indicación que si así no lo hiciera se le tendrá por cejado en su petición, previa resolución que tendrá que ser dictada en los términos previstos en la Ley 39/2015, de 1 de octubre por la cual se regula el procedimiento administrativo común de las Administraciones Públicas.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b/>
          <w:i/>
          <w:iCs/>
          <w:sz w:val="19"/>
          <w:szCs w:val="19"/>
          <w:lang w:val="ca-ES"/>
        </w:rPr>
        <w:t>8.- Plazo de resolución y notificación.</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lang w:val="ca-ES"/>
        </w:rPr>
        <w:t>El plazo máximo para resolver las solicitudes y notificar la resolución será de tres</w:t>
      </w:r>
      <w:r>
        <w:rPr>
          <w:rFonts w:ascii="Arial" w:hAnsi="Arial"/>
          <w:i/>
          <w:iCs/>
          <w:sz w:val="19"/>
          <w:szCs w:val="19"/>
          <w:u w:val="single"/>
          <w:lang w:val="ca-ES"/>
        </w:rPr>
        <w:t xml:space="preserve"> meses contados desde la petición de la ayuda</w:t>
      </w:r>
      <w:r>
        <w:rPr>
          <w:rFonts w:ascii="Arial" w:hAnsi="Arial"/>
          <w:i/>
          <w:iCs/>
          <w:sz w:val="19"/>
          <w:szCs w:val="19"/>
          <w:lang w:val="ca-ES"/>
        </w:rPr>
        <w:t>. En los casos en que tenga que requerirse al interesado la enmienda de deficiencias y/o la aportación de documentos, el plazo se entenderá suspendido durante el transcurso del tiempo que medio entre la notificación del requerimiento y su efectivo cumplimiento por el interesado o, en su defecto, por el transcurso del plazo concedido.</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lang w:val="ca-ES"/>
        </w:rPr>
        <w:t>Transcurrido el plazo antes mencionado sin que se hubiera notificado resolución exprés, será aplicable el régimen del silencio administrativo contemplado en la Ley 39/2015, de 1 de octubre por la cual se regula el procedimiento administrativo común de las Administraciones Públicas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b/>
          <w:i/>
          <w:iCs/>
          <w:sz w:val="19"/>
          <w:szCs w:val="19"/>
          <w:lang w:val="ca-ES"/>
        </w:rPr>
        <w:t>9.- Documentos que tienen que acompañar a la solicitud.</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b/>
          <w:i/>
          <w:iCs/>
          <w:sz w:val="19"/>
          <w:szCs w:val="19"/>
          <w:lang w:val="ca-ES"/>
        </w:rPr>
        <w:t>A- En las ayudas de emergencia social.</w:t>
      </w:r>
    </w:p>
    <w:p>
      <w:pPr>
        <w:pStyle w:val="Normal"/>
        <w:widowControl/>
        <w:numPr>
          <w:ilvl w:val="0"/>
          <w:numId w:val="4"/>
        </w:numPr>
        <w:ind w:left="1440" w:hanging="360"/>
        <w:jc w:val="both"/>
        <w:rPr>
          <w:i/>
          <w:i/>
          <w:iCs/>
          <w:sz w:val="19"/>
          <w:szCs w:val="19"/>
        </w:rPr>
      </w:pPr>
      <w:r>
        <w:rPr>
          <w:rFonts w:ascii="Arial" w:hAnsi="Arial"/>
          <w:i/>
          <w:iCs/>
          <w:color w:val="000000"/>
          <w:sz w:val="19"/>
          <w:szCs w:val="19"/>
          <w:lang w:val="ca-ES-valencia"/>
        </w:rPr>
        <w:t>Modelo de solicitud debidamente rellenada y firmada Anexo 1.2</w:t>
      </w:r>
    </w:p>
    <w:p>
      <w:pPr>
        <w:pStyle w:val="Normal"/>
        <w:widowControl/>
        <w:numPr>
          <w:ilvl w:val="0"/>
          <w:numId w:val="4"/>
        </w:numPr>
        <w:ind w:left="1440" w:hanging="360"/>
        <w:jc w:val="both"/>
        <w:rPr>
          <w:i/>
          <w:i/>
          <w:iCs/>
          <w:sz w:val="19"/>
          <w:szCs w:val="19"/>
        </w:rPr>
      </w:pPr>
      <w:r>
        <w:rPr>
          <w:rFonts w:ascii="Arial" w:hAnsi="Arial"/>
          <w:i/>
          <w:iCs/>
          <w:color w:val="000000"/>
          <w:sz w:val="19"/>
          <w:szCs w:val="19"/>
          <w:lang w:val="ca-ES-valencia"/>
        </w:rPr>
        <w:t>Fotocopia del DNI, tarjeta de residencia o pasaporte en vigor.</w:t>
      </w:r>
    </w:p>
    <w:p>
      <w:pPr>
        <w:pStyle w:val="Normal"/>
        <w:widowControl/>
        <w:numPr>
          <w:ilvl w:val="0"/>
          <w:numId w:val="4"/>
        </w:numPr>
        <w:ind w:left="1440" w:hanging="360"/>
        <w:jc w:val="both"/>
        <w:rPr>
          <w:i/>
          <w:i/>
          <w:iCs/>
          <w:sz w:val="19"/>
          <w:szCs w:val="19"/>
        </w:rPr>
      </w:pPr>
      <w:r>
        <w:rPr>
          <w:rFonts w:ascii="Arial" w:hAnsi="Arial"/>
          <w:i/>
          <w:iCs/>
          <w:color w:val="000000"/>
          <w:sz w:val="19"/>
          <w:szCs w:val="19"/>
          <w:lang w:val="ca-ES-valencia"/>
        </w:rPr>
        <w:t>Fotocopia del Libro de Familia si existen menores en la unidad familiar.</w:t>
      </w:r>
    </w:p>
    <w:p>
      <w:pPr>
        <w:pStyle w:val="Normal"/>
        <w:widowControl/>
        <w:numPr>
          <w:ilvl w:val="0"/>
          <w:numId w:val="4"/>
        </w:numPr>
        <w:ind w:left="1440" w:hanging="360"/>
        <w:jc w:val="both"/>
        <w:rPr>
          <w:i/>
          <w:i/>
          <w:iCs/>
          <w:sz w:val="19"/>
          <w:szCs w:val="19"/>
        </w:rPr>
      </w:pPr>
      <w:r>
        <w:rPr>
          <w:rFonts w:ascii="Arial" w:hAnsi="Arial"/>
          <w:i/>
          <w:iCs/>
          <w:color w:val="000000"/>
          <w:sz w:val="19"/>
          <w:szCs w:val="19"/>
          <w:lang w:val="ca-ES-valencia"/>
        </w:rPr>
        <w:t>Fotocopia de la tarjeta de asistencia sanitaria.</w:t>
      </w:r>
    </w:p>
    <w:p>
      <w:pPr>
        <w:pStyle w:val="Normal"/>
        <w:widowControl/>
        <w:numPr>
          <w:ilvl w:val="0"/>
          <w:numId w:val="4"/>
        </w:numPr>
        <w:ind w:left="1440" w:hanging="360"/>
        <w:jc w:val="both"/>
        <w:rPr>
          <w:i/>
          <w:i/>
          <w:iCs/>
          <w:sz w:val="19"/>
          <w:szCs w:val="19"/>
        </w:rPr>
      </w:pPr>
      <w:r>
        <w:rPr>
          <w:rFonts w:ascii="Arial" w:hAnsi="Arial"/>
          <w:i/>
          <w:iCs/>
          <w:color w:val="000000"/>
          <w:sz w:val="19"/>
          <w:szCs w:val="19"/>
          <w:lang w:val="ca-ES-valencia"/>
        </w:rPr>
        <w:t>Certificado de la vida laboral actualizado, expedido por la Tesorería General de la Seguridad Social. (en el supuesto de encontrarse de alta o asimilada, se tendrá que aportar la documentación acreditativa de esta situación). Fotocopia de la última nómina o en caso de estar en situación de desocupación, certificado del *SEPE indicando situación en la cual se encuentra, tiempo de prestación e importe de la misma o certificado negativo de prestación.</w:t>
      </w:r>
    </w:p>
    <w:p>
      <w:pPr>
        <w:pStyle w:val="Normal"/>
        <w:widowControl/>
        <w:numPr>
          <w:ilvl w:val="0"/>
          <w:numId w:val="4"/>
        </w:numPr>
        <w:ind w:left="1440" w:hanging="360"/>
        <w:jc w:val="both"/>
        <w:rPr>
          <w:i/>
          <w:i/>
          <w:iCs/>
          <w:sz w:val="19"/>
          <w:szCs w:val="19"/>
        </w:rPr>
      </w:pPr>
      <w:r>
        <w:rPr>
          <w:rFonts w:ascii="Arial" w:hAnsi="Arial"/>
          <w:i/>
          <w:iCs/>
          <w:color w:val="000000"/>
          <w:sz w:val="19"/>
          <w:szCs w:val="19"/>
          <w:lang w:val="ca-ES-valencia"/>
        </w:rPr>
        <w:t>Los pensionistas, certificado de pensiones indicando tipos de pensión e importe de la misma o certificado negativo de pensión expedido por el INSS.</w:t>
      </w:r>
    </w:p>
    <w:p>
      <w:pPr>
        <w:pStyle w:val="Normal"/>
        <w:widowControl/>
        <w:numPr>
          <w:ilvl w:val="0"/>
          <w:numId w:val="4"/>
        </w:numPr>
        <w:ind w:left="1440" w:hanging="360"/>
        <w:jc w:val="both"/>
        <w:rPr>
          <w:i/>
          <w:i/>
          <w:iCs/>
          <w:sz w:val="19"/>
          <w:szCs w:val="19"/>
        </w:rPr>
      </w:pPr>
      <w:r>
        <w:rPr>
          <w:rFonts w:ascii="Arial" w:hAnsi="Arial"/>
          <w:i/>
          <w:iCs/>
          <w:color w:val="000000"/>
          <w:sz w:val="19"/>
          <w:szCs w:val="19"/>
          <w:lang w:val="ca-ES-valencia"/>
        </w:rPr>
        <w:t>En el supuesto de recibir una incapacidad temporal, se tendrá que aportar resolución, documento que justifico el ingreso por incapacidad laboral en todas sus modalidades, en su caso.</w:t>
      </w:r>
    </w:p>
    <w:p>
      <w:pPr>
        <w:pStyle w:val="Normal"/>
        <w:widowControl/>
        <w:numPr>
          <w:ilvl w:val="0"/>
          <w:numId w:val="4"/>
        </w:numPr>
        <w:ind w:left="1440" w:hanging="360"/>
        <w:jc w:val="both"/>
        <w:rPr>
          <w:i/>
          <w:i/>
          <w:iCs/>
          <w:sz w:val="19"/>
          <w:szCs w:val="19"/>
        </w:rPr>
      </w:pPr>
      <w:r>
        <w:rPr>
          <w:rFonts w:ascii="Arial" w:hAnsi="Arial"/>
          <w:i/>
          <w:iCs/>
          <w:color w:val="000000"/>
          <w:sz w:val="19"/>
          <w:szCs w:val="19"/>
          <w:lang w:val="ca-ES-valencia"/>
        </w:rPr>
        <w:t>Si se percibe Prestación Familiar por Hijo a Cargo, certificado de percepción de la prestación expedido por el INSS.</w:t>
      </w:r>
    </w:p>
    <w:p>
      <w:pPr>
        <w:pStyle w:val="Normal"/>
        <w:widowControl/>
        <w:numPr>
          <w:ilvl w:val="0"/>
          <w:numId w:val="4"/>
        </w:numPr>
        <w:ind w:left="1440" w:hanging="360"/>
        <w:jc w:val="both"/>
        <w:rPr>
          <w:i/>
          <w:i/>
          <w:iCs/>
          <w:sz w:val="19"/>
          <w:szCs w:val="19"/>
        </w:rPr>
      </w:pPr>
      <w:r>
        <w:rPr>
          <w:rFonts w:ascii="Arial" w:hAnsi="Arial"/>
          <w:i/>
          <w:iCs/>
          <w:color w:val="000000"/>
          <w:sz w:val="19"/>
          <w:szCs w:val="19"/>
          <w:lang w:val="ca-ES-valencia"/>
        </w:rPr>
        <w:t>Fotocopia de la última declaración de la renta o certificado de la Agencia Tributaria de no estar obligado a presentarla. En su defecto autorización exprés, que le será facilitada por el Ayuntamiento para obtener de oficio el Certificado de la Agencia Tributaria.</w:t>
      </w:r>
    </w:p>
    <w:p>
      <w:pPr>
        <w:pStyle w:val="Normal"/>
        <w:widowControl/>
        <w:numPr>
          <w:ilvl w:val="0"/>
          <w:numId w:val="4"/>
        </w:numPr>
        <w:ind w:left="1440" w:hanging="360"/>
        <w:jc w:val="both"/>
        <w:rPr>
          <w:i/>
          <w:i/>
          <w:iCs/>
          <w:sz w:val="19"/>
          <w:szCs w:val="19"/>
        </w:rPr>
      </w:pPr>
      <w:r>
        <w:rPr>
          <w:rFonts w:ascii="Arial" w:hAnsi="Arial"/>
          <w:i/>
          <w:iCs/>
          <w:color w:val="000000"/>
          <w:sz w:val="19"/>
          <w:szCs w:val="19"/>
          <w:lang w:val="ca-ES-valencia"/>
        </w:rPr>
        <w:t>Declaración jurada indicando situación económica actual y medios de subsistencia de que dispone (aquellas personas que no presentan nómina, prestación por desocupación o pensión).</w:t>
      </w:r>
    </w:p>
    <w:p>
      <w:pPr>
        <w:pStyle w:val="Normal"/>
        <w:widowControl/>
        <w:numPr>
          <w:ilvl w:val="0"/>
          <w:numId w:val="4"/>
        </w:numPr>
        <w:ind w:left="1440" w:hanging="360"/>
        <w:jc w:val="both"/>
        <w:rPr>
          <w:i/>
          <w:i/>
          <w:iCs/>
          <w:sz w:val="19"/>
          <w:szCs w:val="19"/>
        </w:rPr>
      </w:pPr>
      <w:r>
        <w:rPr>
          <w:rFonts w:ascii="Arial" w:hAnsi="Arial"/>
          <w:i/>
          <w:iCs/>
          <w:color w:val="000000"/>
          <w:sz w:val="19"/>
          <w:szCs w:val="19"/>
          <w:lang w:val="ca-ES-valencia"/>
        </w:rPr>
        <w:t>Certificado de bienes inmuebles para lo cual se tendrá que firmar la autorización exprés que facilitará el Ayuntamiento porque se obtenga de oficio por la Administración.</w:t>
      </w:r>
    </w:p>
    <w:p>
      <w:pPr>
        <w:pStyle w:val="Normal"/>
        <w:widowControl/>
        <w:numPr>
          <w:ilvl w:val="0"/>
          <w:numId w:val="4"/>
        </w:numPr>
        <w:ind w:left="1440" w:hanging="360"/>
        <w:jc w:val="both"/>
        <w:rPr>
          <w:i/>
          <w:i/>
          <w:iCs/>
          <w:sz w:val="19"/>
          <w:szCs w:val="19"/>
        </w:rPr>
      </w:pPr>
      <w:r>
        <w:rPr>
          <w:rFonts w:ascii="Arial" w:hAnsi="Arial"/>
          <w:i/>
          <w:iCs/>
          <w:color w:val="000000"/>
          <w:sz w:val="19"/>
          <w:szCs w:val="19"/>
          <w:lang w:val="ca-ES-valencia"/>
        </w:rPr>
        <w:t xml:space="preserve">En el supuesto de separaciones matrimoniales o divorcios, fotocopia de la sentencia o del convenio regulador, donde se establezca la pensión alimenticia y/o compensatoria. Si no se dispone de convenio regular o sentencia de separación o divorcio, se tendrá que aportar justificando de solicitud de inicio de procedimiento. </w:t>
      </w:r>
    </w:p>
    <w:p>
      <w:pPr>
        <w:pStyle w:val="Normal"/>
        <w:widowControl/>
        <w:numPr>
          <w:ilvl w:val="0"/>
          <w:numId w:val="4"/>
        </w:numPr>
        <w:ind w:left="1440" w:hanging="360"/>
        <w:jc w:val="both"/>
        <w:rPr>
          <w:i/>
          <w:i/>
          <w:iCs/>
          <w:sz w:val="19"/>
          <w:szCs w:val="19"/>
        </w:rPr>
      </w:pPr>
      <w:r>
        <w:rPr>
          <w:rFonts w:ascii="Arial" w:hAnsi="Arial"/>
          <w:i/>
          <w:iCs/>
          <w:color w:val="000000"/>
          <w:sz w:val="19"/>
          <w:szCs w:val="19"/>
          <w:lang w:val="ca-ES-valencia"/>
        </w:rPr>
        <w:t>Cuando la ayuda sea de pago directo tendrá que presentar los datos bancarios del solicitante o del representante legal (fotocopia de la primera hoja de la libreta del banco o de la caja.</w:t>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 xml:space="preserve"> </w:t>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Además de la documentación general y específica relacionada anteriormente el técnico podrá requerir aquella documentación complementaria que sea necesaria para una adecuada valoración de la situación socio-familiar.</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i/>
          <w:i/>
          <w:iCs/>
          <w:sz w:val="19"/>
          <w:szCs w:val="19"/>
        </w:rPr>
      </w:pPr>
      <w:r>
        <w:rPr>
          <w:rFonts w:ascii="Arial" w:hAnsi="Arial"/>
          <w:i/>
          <w:iCs/>
          <w:color w:val="000000"/>
          <w:sz w:val="19"/>
          <w:szCs w:val="19"/>
          <w:lang w:val="ca-ES-valencia"/>
        </w:rPr>
        <w:t>Se podrá eximir de la presentación de alguno de los documentos anteriormente enumerados en el supuesto de haberlos acreditado ante los servicios sociales municipales en los últimos tres meses, con motivo de solicitud otras ayudas de las reguladas en la presente ordenanza, debiendo el solicitante manifestar por escrito (declaración responsable) que no se han producido modificaciones en su situación socioeconómica familiar.</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b w:val="false"/>
          <w:bCs w:val="false"/>
          <w:i/>
          <w:iCs/>
          <w:color w:val="000000"/>
          <w:sz w:val="19"/>
          <w:szCs w:val="19"/>
          <w:lang w:val="ca-ES-valencia"/>
        </w:rPr>
        <w:t>En determinados supuestos, con carácter excepcional, ante la gravedad o urgencia de la situación, se puede prescindir de la presentación de la documentación exigible, previo informe motivado del trabajador/a social municipal, sin perjuicio que con posterioridad se le pudiera requerir aquella, si se considera necesario. En todo caso, se exigirá, al menos, documentación acreditativa de la identidad del beneficiario.</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b/>
          <w:i/>
          <w:iCs/>
          <w:sz w:val="19"/>
          <w:szCs w:val="19"/>
          <w:lang w:val="ca-ES"/>
        </w:rPr>
        <w:t>B- En las ayudas para la mejora de la autonomía para personas mayores:</w:t>
      </w:r>
    </w:p>
    <w:p>
      <w:pPr>
        <w:pStyle w:val="Normal"/>
        <w:widowControl/>
        <w:numPr>
          <w:ilvl w:val="0"/>
          <w:numId w:val="5"/>
        </w:numPr>
        <w:ind w:left="1440" w:hanging="360"/>
        <w:jc w:val="both"/>
        <w:rPr>
          <w:i/>
          <w:i/>
          <w:iCs/>
          <w:sz w:val="19"/>
          <w:szCs w:val="19"/>
        </w:rPr>
      </w:pPr>
      <w:r>
        <w:rPr>
          <w:rFonts w:ascii="Arial" w:hAnsi="Arial"/>
          <w:i/>
          <w:iCs/>
          <w:sz w:val="19"/>
          <w:szCs w:val="19"/>
          <w:lang w:val="ca-ES-valencia"/>
        </w:rPr>
        <w:t>Solicitud subscrita por la persona beneficiaria o por su representante, rellenada debidamente.</w:t>
      </w:r>
    </w:p>
    <w:p>
      <w:pPr>
        <w:pStyle w:val="Normal"/>
        <w:widowControl/>
        <w:numPr>
          <w:ilvl w:val="0"/>
          <w:numId w:val="5"/>
        </w:numPr>
        <w:ind w:left="1440" w:hanging="360"/>
        <w:jc w:val="both"/>
        <w:rPr>
          <w:i/>
          <w:i/>
          <w:iCs/>
          <w:sz w:val="19"/>
          <w:szCs w:val="19"/>
        </w:rPr>
      </w:pPr>
      <w:r>
        <w:rPr>
          <w:rFonts w:ascii="Arial" w:hAnsi="Arial"/>
          <w:i/>
          <w:iCs/>
          <w:sz w:val="19"/>
          <w:szCs w:val="19"/>
          <w:lang w:val="ca-ES-valencia"/>
        </w:rPr>
        <w:t>Acreditación de la identidad de la persona solicitante y de los miembros de la unidad</w:t>
      </w:r>
    </w:p>
    <w:p>
      <w:pPr>
        <w:pStyle w:val="Normal"/>
        <w:widowControl/>
        <w:numPr>
          <w:ilvl w:val="0"/>
          <w:numId w:val="1"/>
        </w:numPr>
        <w:ind w:left="720" w:hanging="0"/>
        <w:jc w:val="both"/>
        <w:rPr>
          <w:i/>
          <w:i/>
          <w:iCs/>
          <w:sz w:val="19"/>
          <w:szCs w:val="19"/>
        </w:rPr>
      </w:pPr>
      <w:r>
        <w:rPr>
          <w:rFonts w:ascii="Arial" w:hAnsi="Arial"/>
          <w:i/>
          <w:iCs/>
          <w:sz w:val="19"/>
          <w:szCs w:val="19"/>
          <w:lang w:val="ca-ES-valencia"/>
        </w:rPr>
        <w:tab/>
        <w:t>familiar o de convivencia.</w:t>
      </w:r>
    </w:p>
    <w:p>
      <w:pPr>
        <w:pStyle w:val="Normal"/>
        <w:widowControl/>
        <w:numPr>
          <w:ilvl w:val="0"/>
          <w:numId w:val="6"/>
        </w:numPr>
        <w:ind w:left="1440" w:hanging="360"/>
        <w:jc w:val="both"/>
        <w:rPr>
          <w:i/>
          <w:i/>
          <w:iCs/>
          <w:sz w:val="19"/>
          <w:szCs w:val="19"/>
        </w:rPr>
      </w:pPr>
      <w:r>
        <w:rPr>
          <w:rFonts w:ascii="Arial" w:hAnsi="Arial"/>
          <w:i/>
          <w:iCs/>
          <w:sz w:val="19"/>
          <w:szCs w:val="19"/>
          <w:lang w:val="ca-ES-valencia"/>
        </w:rPr>
        <w:t>Acreditación de la convivencia por el ayuntamiento de residencia.</w:t>
      </w:r>
    </w:p>
    <w:p>
      <w:pPr>
        <w:pStyle w:val="Normal"/>
        <w:widowControl/>
        <w:numPr>
          <w:ilvl w:val="0"/>
          <w:numId w:val="6"/>
        </w:numPr>
        <w:ind w:left="1440" w:hanging="360"/>
        <w:jc w:val="both"/>
        <w:rPr>
          <w:i/>
          <w:i/>
          <w:iCs/>
          <w:sz w:val="19"/>
          <w:szCs w:val="19"/>
        </w:rPr>
      </w:pPr>
      <w:r>
        <w:rPr>
          <w:rFonts w:ascii="Arial" w:hAnsi="Arial"/>
          <w:i/>
          <w:iCs/>
          <w:sz w:val="19"/>
          <w:szCs w:val="19"/>
          <w:lang w:val="ca-ES-valencia"/>
        </w:rPr>
        <w:t>Informe médico sobre la situación de la persona solicitante o certificado de discapacidad, en caso de que se tenga.</w:t>
      </w:r>
    </w:p>
    <w:p>
      <w:pPr>
        <w:pStyle w:val="Normal"/>
        <w:widowControl/>
        <w:numPr>
          <w:ilvl w:val="0"/>
          <w:numId w:val="6"/>
        </w:numPr>
        <w:ind w:left="1440" w:hanging="360"/>
        <w:jc w:val="both"/>
        <w:rPr>
          <w:i/>
          <w:i/>
          <w:iCs/>
          <w:sz w:val="19"/>
          <w:szCs w:val="19"/>
        </w:rPr>
      </w:pPr>
      <w:r>
        <w:rPr>
          <w:rFonts w:ascii="Arial" w:hAnsi="Arial"/>
          <w:i/>
          <w:iCs/>
          <w:sz w:val="19"/>
          <w:szCs w:val="19"/>
          <w:lang w:val="ca-ES-valencia"/>
        </w:rPr>
        <w:t>Presupuesto correspondiente a la adquisición que se tiene que hacer o a la adaptación que se pretende hacer.</w:t>
      </w:r>
    </w:p>
    <w:p>
      <w:pPr>
        <w:pStyle w:val="Normal"/>
        <w:widowControl/>
        <w:numPr>
          <w:ilvl w:val="0"/>
          <w:numId w:val="6"/>
        </w:numPr>
        <w:ind w:left="1440" w:hanging="360"/>
        <w:jc w:val="both"/>
        <w:rPr>
          <w:i/>
          <w:i/>
          <w:iCs/>
          <w:sz w:val="19"/>
          <w:szCs w:val="19"/>
        </w:rPr>
      </w:pPr>
      <w:r>
        <w:rPr>
          <w:rFonts w:ascii="Arial" w:hAnsi="Arial"/>
          <w:i/>
          <w:iCs/>
          <w:sz w:val="19"/>
          <w:szCs w:val="19"/>
          <w:lang w:val="ca-ES-valencia"/>
        </w:rPr>
        <w:t>Justificación de la titularidad de la propiedad o del uso de la vivienda y, si es el caso,</w:t>
      </w:r>
    </w:p>
    <w:p>
      <w:pPr>
        <w:pStyle w:val="Normal"/>
        <w:widowControl/>
        <w:numPr>
          <w:ilvl w:val="0"/>
          <w:numId w:val="1"/>
        </w:numPr>
        <w:ind w:left="720" w:hanging="0"/>
        <w:jc w:val="both"/>
        <w:rPr>
          <w:i/>
          <w:i/>
          <w:iCs/>
          <w:sz w:val="19"/>
          <w:szCs w:val="19"/>
        </w:rPr>
      </w:pPr>
      <w:r>
        <w:rPr>
          <w:rFonts w:ascii="Arial" w:hAnsi="Arial"/>
          <w:i/>
          <w:iCs/>
          <w:sz w:val="19"/>
          <w:szCs w:val="19"/>
          <w:lang w:val="ca-ES-valencia"/>
        </w:rPr>
        <w:tab/>
        <w:t xml:space="preserve">la autorización de la persona propietaria para hacer las reformas, en caso de ayudas </w:t>
        <w:tab/>
        <w:t>para adaptación de la vivienda.</w:t>
      </w:r>
    </w:p>
    <w:p>
      <w:pPr>
        <w:pStyle w:val="Normal"/>
        <w:widowControl/>
        <w:numPr>
          <w:ilvl w:val="0"/>
          <w:numId w:val="7"/>
        </w:numPr>
        <w:ind w:left="1440" w:hanging="360"/>
        <w:jc w:val="both"/>
        <w:rPr>
          <w:i/>
          <w:i/>
          <w:iCs/>
          <w:sz w:val="19"/>
          <w:szCs w:val="19"/>
        </w:rPr>
      </w:pPr>
      <w:r>
        <w:rPr>
          <w:rFonts w:ascii="Arial" w:hAnsi="Arial"/>
          <w:i/>
          <w:iCs/>
          <w:sz w:val="19"/>
          <w:szCs w:val="19"/>
          <w:lang w:val="ca-ES-valencia"/>
        </w:rPr>
        <w:t>Permisos municipales, si es el caso.</w:t>
      </w:r>
    </w:p>
    <w:p>
      <w:pPr>
        <w:pStyle w:val="Normal"/>
        <w:widowControl/>
        <w:numPr>
          <w:ilvl w:val="0"/>
          <w:numId w:val="7"/>
        </w:numPr>
        <w:ind w:left="1440" w:hanging="360"/>
        <w:jc w:val="both"/>
        <w:rPr>
          <w:i/>
          <w:i/>
          <w:iCs/>
          <w:sz w:val="19"/>
          <w:szCs w:val="19"/>
        </w:rPr>
      </w:pPr>
      <w:r>
        <w:rPr>
          <w:rFonts w:ascii="Arial" w:hAnsi="Arial"/>
          <w:b w:val="false"/>
          <w:bCs w:val="false"/>
          <w:i/>
          <w:iCs/>
          <w:sz w:val="19"/>
          <w:szCs w:val="19"/>
          <w:lang w:val="ca-ES-valencia"/>
        </w:rPr>
        <w:t>Toda la documentación requerida por el técnico o la técnica que tramita la ayuda y que sea necesaria para una valoración social y económica adecuada.</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b/>
          <w:i/>
          <w:iCs/>
          <w:sz w:val="19"/>
          <w:szCs w:val="19"/>
          <w:lang w:val="ca-ES"/>
        </w:rPr>
        <w:t>10.- Posibilidad, si es el caso, de reformulación de solicitudes en conformidad con aquello dispuesto en el artículo 27 LGS.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lang w:val="ca-ES"/>
        </w:rPr>
        <w:t>En conformidad con el artículo 27 de la ley 38/2003 de 17 de noviembre, General de Subvenciones, no se contempla en las bases reguladoras de la presente convocatoria la reformulación de las solicitudes.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b/>
          <w:i/>
          <w:iCs/>
          <w:sz w:val="19"/>
          <w:szCs w:val="19"/>
          <w:lang w:val="ca-ES"/>
        </w:rPr>
        <w:t>11.- Indicar si la resolución pone fin o no a la vía administrativa, y en caso contrario, órgano ante el cual se puede interponer recurso de alzada.</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lang w:val="ca-ES"/>
        </w:rPr>
        <w:t>Las resoluciones de las ayudas ponen fin a la vía administrativa, y contra ellas, en conformidad con la Ley 39/2015, de 1 de octubre por la cual se regula el procedimiento administrativo común de las Administraciones Públicas, se podrá interponer potestativamente recurso de reposición ante el órgano municipal competente en el plazo de un mes contado desde el día siguiente a su notificación, o bien directamente recurso contencioso-administrativo, en el plazo de dos meses a contar desde el día siguiente de su notificación, o de seis meses si el acto fuera presunto, en conformidad con lo dispuesto en el artículo 46 de la Ley 29/1998 de 13 de julio, Reguladora de la Jurisdicción contencioso-administrativa, sin perjuicio que pueda interponerse cualquier otro que estiman pertinente.</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b/>
          <w:i/>
          <w:iCs/>
          <w:sz w:val="19"/>
          <w:szCs w:val="19"/>
          <w:lang w:val="ca-ES"/>
        </w:rPr>
        <w:t>12.- Criterios de valoración de las solicitudes.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lang w:val="ca-ES"/>
        </w:rPr>
        <w:t>En cuanto a los criterios de valoración de las solicitudes, la concesión de estas subvenciones será por orden de entrada en el registro del ayuntamiento hasta que se agote el crédito de la partida presupuestaria.</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lang w:val="ca-ES"/>
        </w:rPr>
        <w:t>Sin embargo, a propuesta del órgano gestor y previo informe de crédito suficiente y adecuado, podrá autorizarse una cantidad adicional mediante la oportuna modificación de las presentes bases.</w:t>
      </w:r>
    </w:p>
    <w:p>
      <w:pPr>
        <w:pStyle w:val="Normal"/>
        <w:numPr>
          <w:ilvl w:val="0"/>
          <w:numId w:val="1"/>
        </w:numPr>
        <w:spacing w:lineRule="auto" w:line="276" w:before="0" w:after="140"/>
        <w:ind w:left="720" w:right="340" w:hanging="0"/>
        <w:jc w:val="both"/>
        <w:rPr>
          <w:i/>
          <w:i/>
          <w:iCs/>
          <w:sz w:val="19"/>
          <w:szCs w:val="19"/>
        </w:rPr>
      </w:pPr>
      <w:r>
        <w:rPr>
          <w:rFonts w:ascii="Arial" w:hAnsi="Arial"/>
          <w:b/>
          <w:bCs/>
          <w:i/>
          <w:iCs/>
          <w:color w:val="000000"/>
          <w:sz w:val="19"/>
          <w:szCs w:val="19"/>
          <w:lang w:val="ca-ES-valencia"/>
        </w:rPr>
        <w:t>En en cuanto a las ayudas PEIs</w:t>
      </w:r>
      <w:r>
        <w:rPr>
          <w:rFonts w:ascii="Arial" w:hAnsi="Arial"/>
          <w:i/>
          <w:iCs/>
          <w:color w:val="000000"/>
          <w:sz w:val="19"/>
          <w:szCs w:val="19"/>
          <w:lang w:val="ca-ES-valencia"/>
        </w:rPr>
        <w:t xml:space="preserve">, se valorarán teniendo en cuenta los siguientes criterios objetivos de valoración: </w:t>
      </w:r>
    </w:p>
    <w:p>
      <w:pPr>
        <w:pStyle w:val="Normal"/>
        <w:numPr>
          <w:ilvl w:val="0"/>
          <w:numId w:val="1"/>
        </w:numPr>
        <w:spacing w:lineRule="auto" w:line="276" w:before="0" w:after="140"/>
        <w:ind w:left="720" w:right="340" w:hanging="0"/>
        <w:jc w:val="both"/>
        <w:rPr>
          <w:i/>
          <w:i/>
          <w:iCs/>
          <w:sz w:val="19"/>
          <w:szCs w:val="19"/>
        </w:rPr>
      </w:pPr>
      <w:r>
        <w:rPr>
          <w:rFonts w:ascii="Arial" w:hAnsi="Arial"/>
          <w:i/>
          <w:iCs/>
          <w:color w:val="000000"/>
          <w:sz w:val="19"/>
          <w:szCs w:val="19"/>
          <w:lang w:val="ca-ES-valencia"/>
        </w:rPr>
        <w:t xml:space="preserve">a) Situación laboral (máximo 2,5 puntos) </w:t>
      </w:r>
    </w:p>
    <w:p>
      <w:pPr>
        <w:pStyle w:val="Normal"/>
        <w:numPr>
          <w:ilvl w:val="0"/>
          <w:numId w:val="1"/>
        </w:numPr>
        <w:spacing w:lineRule="auto" w:line="276" w:before="0" w:after="140"/>
        <w:ind w:left="720" w:right="340" w:hanging="0"/>
        <w:jc w:val="both"/>
        <w:rPr>
          <w:i/>
          <w:i/>
          <w:iCs/>
          <w:sz w:val="19"/>
          <w:szCs w:val="19"/>
        </w:rPr>
      </w:pPr>
      <w:r>
        <w:rPr>
          <w:rFonts w:ascii="Arial" w:hAnsi="Arial"/>
          <w:i/>
          <w:iCs/>
          <w:color w:val="000000"/>
          <w:sz w:val="19"/>
          <w:szCs w:val="19"/>
          <w:lang w:val="ca-ES-valencia"/>
        </w:rPr>
        <w:t xml:space="preserve">En este apartado se tendrá en cuenta si los ingresos principales económicos mensuales de la unidad familiar proceden únicamente de: </w:t>
      </w:r>
    </w:p>
    <w:tbl>
      <w:tblPr>
        <w:tblStyle w:val="TableNormal0"/>
        <w:tblW w:w="9579" w:type="dxa"/>
        <w:jc w:val="left"/>
        <w:tblInd w:w="66"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Look w:firstRow="1" w:noVBand="1" w:lastRow="0" w:firstColumn="1" w:lastColumn="0" w:noHBand="0" w:val="04a0"/>
      </w:tblPr>
      <w:tblGrid>
        <w:gridCol w:w="1183"/>
        <w:gridCol w:w="5165"/>
        <w:gridCol w:w="3231"/>
      </w:tblGrid>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b/>
                <w:bCs/>
                <w:i/>
                <w:iCs/>
                <w:color w:val="000000"/>
                <w:sz w:val="19"/>
                <w:szCs w:val="19"/>
                <w:lang w:val="ca-ES-valencia"/>
              </w:rPr>
              <w:t>N.º</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b/>
                <w:bCs/>
                <w:i/>
                <w:iCs/>
                <w:color w:val="000000"/>
                <w:sz w:val="19"/>
                <w:szCs w:val="19"/>
                <w:lang w:val="ca-ES-valencia"/>
              </w:rPr>
              <w:t>Situación Laboral</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b/>
                <w:bCs/>
                <w:i/>
                <w:iCs/>
                <w:color w:val="000000"/>
                <w:sz w:val="19"/>
                <w:szCs w:val="19"/>
                <w:lang w:val="ca-ES-valencia"/>
              </w:rPr>
              <w:t>Puntos</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1</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Parado sin subsidio (sin ingresos)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Parado con subsidio familiar/ *expresidiari)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3</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Prestación por desocupación (no superior al S.M.I.)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1,5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4</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Prestación por desocupación (superior al S.M.I.)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1</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5</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Pensionista de la Seguridad Social con ingresos inferiores al SMI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6</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Pensionista de la Seguridad Social con ingresos superiores al SMI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1,5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7</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Activo con ingresos inferiores al SMI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1,5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8</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Activo con ingresos superiores al SMI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0,5</w:t>
            </w:r>
          </w:p>
        </w:tc>
      </w:tr>
    </w:tbl>
    <w:p>
      <w:pPr>
        <w:pStyle w:val="Normal"/>
        <w:numPr>
          <w:ilvl w:val="0"/>
          <w:numId w:val="1"/>
        </w:numPr>
        <w:spacing w:lineRule="auto" w:line="276" w:before="0" w:after="140"/>
        <w:ind w:left="720" w:right="34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spacing w:lineRule="auto" w:line="276" w:before="0" w:after="140"/>
        <w:ind w:left="720" w:right="340" w:hanging="0"/>
        <w:jc w:val="both"/>
        <w:rPr>
          <w:i/>
          <w:i/>
          <w:iCs/>
          <w:sz w:val="19"/>
          <w:szCs w:val="19"/>
        </w:rPr>
      </w:pPr>
      <w:r>
        <w:rPr>
          <w:rFonts w:ascii="Arial" w:hAnsi="Arial"/>
          <w:i/>
          <w:iCs/>
          <w:color w:val="000000"/>
          <w:sz w:val="19"/>
          <w:szCs w:val="19"/>
          <w:lang w:val="ca-ES-valencia"/>
        </w:rPr>
        <w:t xml:space="preserve">b) Composición familiar (máximo 2,5 puntos) </w:t>
      </w:r>
    </w:p>
    <w:tbl>
      <w:tblPr>
        <w:tblStyle w:val="TableNormal0"/>
        <w:tblW w:w="9645" w:type="dxa"/>
        <w:jc w:val="left"/>
        <w:tblInd w:w="0"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Look w:firstRow="1" w:noVBand="1" w:lastRow="0" w:firstColumn="1" w:lastColumn="0" w:noHBand="0" w:val="04a0"/>
      </w:tblPr>
      <w:tblGrid>
        <w:gridCol w:w="1245"/>
        <w:gridCol w:w="5180"/>
        <w:gridCol w:w="3220"/>
      </w:tblGrid>
      <w:tr>
        <w:trPr/>
        <w:tc>
          <w:tcPr>
            <w:tcW w:w="124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b/>
                <w:bCs/>
                <w:i/>
                <w:iCs/>
                <w:color w:val="000000"/>
                <w:sz w:val="19"/>
                <w:szCs w:val="19"/>
                <w:lang w:val="ca-ES-valencia"/>
              </w:rPr>
              <w:t>N.º</w:t>
            </w:r>
          </w:p>
        </w:tc>
        <w:tc>
          <w:tcPr>
            <w:tcW w:w="518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b/>
                <w:bCs/>
                <w:i/>
                <w:iCs/>
                <w:color w:val="000000"/>
                <w:sz w:val="19"/>
                <w:szCs w:val="19"/>
                <w:lang w:val="ca-ES-valencia"/>
              </w:rPr>
              <w:t>Número de miembros</w:t>
            </w:r>
          </w:p>
        </w:tc>
        <w:tc>
          <w:tcPr>
            <w:tcW w:w="322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b/>
                <w:bCs/>
                <w:i/>
                <w:iCs/>
                <w:color w:val="000000"/>
                <w:sz w:val="19"/>
                <w:szCs w:val="19"/>
                <w:lang w:val="ca-ES-valencia"/>
              </w:rPr>
              <w:t>Puntos</w:t>
            </w:r>
          </w:p>
        </w:tc>
      </w:tr>
      <w:tr>
        <w:trPr/>
        <w:tc>
          <w:tcPr>
            <w:tcW w:w="124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1</w:t>
            </w:r>
          </w:p>
        </w:tc>
        <w:tc>
          <w:tcPr>
            <w:tcW w:w="518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De 1 a 2 miembros unidad familiar </w:t>
            </w:r>
          </w:p>
        </w:tc>
        <w:tc>
          <w:tcPr>
            <w:tcW w:w="322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1</w:t>
            </w:r>
          </w:p>
        </w:tc>
      </w:tr>
      <w:tr>
        <w:trPr/>
        <w:tc>
          <w:tcPr>
            <w:tcW w:w="124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w:t>
            </w:r>
          </w:p>
        </w:tc>
        <w:tc>
          <w:tcPr>
            <w:tcW w:w="518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De 3 a 4 miembros unidad familiar </w:t>
            </w:r>
          </w:p>
        </w:tc>
        <w:tc>
          <w:tcPr>
            <w:tcW w:w="322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1,5</w:t>
            </w:r>
          </w:p>
        </w:tc>
      </w:tr>
      <w:tr>
        <w:trPr/>
        <w:tc>
          <w:tcPr>
            <w:tcW w:w="124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3</w:t>
            </w:r>
          </w:p>
        </w:tc>
        <w:tc>
          <w:tcPr>
            <w:tcW w:w="518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Más de 5 miembros unidad familiar </w:t>
            </w:r>
          </w:p>
        </w:tc>
        <w:tc>
          <w:tcPr>
            <w:tcW w:w="322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2,5</w:t>
            </w:r>
          </w:p>
        </w:tc>
      </w:tr>
    </w:tbl>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i/>
          <w:i/>
          <w:iCs/>
          <w:sz w:val="19"/>
          <w:szCs w:val="19"/>
        </w:rPr>
      </w:pPr>
      <w:r>
        <w:rPr>
          <w:rFonts w:ascii="Arial" w:hAnsi="Arial"/>
          <w:i/>
          <w:iCs/>
          <w:color w:val="000000"/>
          <w:sz w:val="19"/>
          <w:szCs w:val="19"/>
          <w:lang w:val="ca-ES-valencia"/>
        </w:rPr>
        <w:t>c) Situación de la unidad de convivencia (máximo 2,5 puntos): Se valorará con 2,5 puntos, alguna de las siguientes situaciones (solo se puntuará una):</w:t>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tbl>
      <w:tblPr>
        <w:tblStyle w:val="TableNormal0"/>
        <w:tblW w:w="9579" w:type="dxa"/>
        <w:jc w:val="left"/>
        <w:tblInd w:w="66"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Look w:firstRow="1" w:noVBand="1" w:lastRow="0" w:firstColumn="1" w:lastColumn="0" w:noHBand="0" w:val="04a0"/>
      </w:tblPr>
      <w:tblGrid>
        <w:gridCol w:w="1183"/>
        <w:gridCol w:w="5165"/>
        <w:gridCol w:w="3231"/>
      </w:tblGrid>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b/>
                <w:bCs/>
                <w:i/>
                <w:iCs/>
                <w:color w:val="000000"/>
                <w:sz w:val="19"/>
                <w:szCs w:val="19"/>
                <w:lang w:val="ca-ES-valencia"/>
              </w:rPr>
              <w:t>N.º</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b/>
                <w:bCs/>
                <w:i/>
                <w:iCs/>
                <w:color w:val="000000"/>
                <w:sz w:val="19"/>
                <w:szCs w:val="19"/>
                <w:lang w:val="ca-ES-valencia"/>
              </w:rPr>
              <w:t>Situación unidad de convivencia</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b/>
                <w:bCs/>
                <w:i/>
                <w:iCs/>
                <w:color w:val="000000"/>
                <w:sz w:val="19"/>
                <w:szCs w:val="19"/>
                <w:lang w:val="ca-ES-valencia"/>
              </w:rPr>
              <w:t>Puntos</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1</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Familia monoparental, separada, viuda y con hijos a cargo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Familia con miembros discapacitados (con grado de minusvalidez superior al 33% pero sin pensión)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3</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Familia con miembros con problemas psicológicos/ psiquiátricos, o problemas graves de salud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4</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Menores en situación de riesgo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5</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Ascendentes a cargo sin reconocimiento de dependencia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6</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Descendentes a cargo con reconocimiento de dependencia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1</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7</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Familia numerosa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8</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Víctimas de violencia de género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9</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Cabe de las circunstancias anteriores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0</w:t>
            </w:r>
          </w:p>
        </w:tc>
      </w:tr>
    </w:tbl>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i/>
          <w:i/>
          <w:iCs/>
          <w:sz w:val="19"/>
          <w:szCs w:val="19"/>
        </w:rPr>
      </w:pPr>
      <w:r>
        <w:rPr>
          <w:rFonts w:ascii="Arial" w:hAnsi="Arial"/>
          <w:i/>
          <w:iCs/>
          <w:color w:val="000000"/>
          <w:sz w:val="19"/>
          <w:szCs w:val="19"/>
          <w:lang w:val="ca-ES-valencia"/>
        </w:rPr>
        <w:t>d) Vivienda (máximo 2,5 puntos)</w:t>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tbl>
      <w:tblPr>
        <w:tblStyle w:val="TableNormal0"/>
        <w:tblW w:w="9579" w:type="dxa"/>
        <w:jc w:val="left"/>
        <w:tblInd w:w="66"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Look w:firstRow="1" w:noVBand="1" w:lastRow="0" w:firstColumn="1" w:lastColumn="0" w:noHBand="0" w:val="04a0"/>
      </w:tblPr>
      <w:tblGrid>
        <w:gridCol w:w="1183"/>
        <w:gridCol w:w="5165"/>
        <w:gridCol w:w="3231"/>
      </w:tblGrid>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b/>
                <w:bCs/>
                <w:i/>
                <w:iCs/>
                <w:color w:val="000000"/>
                <w:sz w:val="19"/>
                <w:szCs w:val="19"/>
                <w:lang w:val="ca-ES-valencia"/>
              </w:rPr>
              <w:t>N.º</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b/>
                <w:bCs/>
                <w:i/>
                <w:iCs/>
                <w:color w:val="000000"/>
                <w:sz w:val="19"/>
                <w:szCs w:val="19"/>
                <w:lang w:val="ca-ES-valencia"/>
              </w:rPr>
              <w:t>Vivienda</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b/>
                <w:bCs/>
                <w:i/>
                <w:iCs/>
                <w:color w:val="000000"/>
                <w:sz w:val="19"/>
                <w:szCs w:val="19"/>
                <w:lang w:val="ca-ES-valencia"/>
              </w:rPr>
              <w:t>Puntos</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1</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Sin vivienda, vivienda precaria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Amortización en propiedad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3</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Vivienda alquilada de titularidad privada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4</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Vivienda alquilada de titularidad pública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0</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5</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Vivienda cedida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0</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6</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Vivienda propia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0</w:t>
            </w:r>
          </w:p>
        </w:tc>
      </w:tr>
    </w:tbl>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i/>
          <w:i/>
          <w:iCs/>
          <w:sz w:val="19"/>
          <w:szCs w:val="19"/>
        </w:rPr>
      </w:pPr>
      <w:r>
        <w:rPr>
          <w:rFonts w:ascii="Arial" w:hAnsi="Arial"/>
          <w:i/>
          <w:iCs/>
          <w:color w:val="000000"/>
          <w:sz w:val="19"/>
          <w:szCs w:val="19"/>
          <w:lang w:val="ca-ES-valencia"/>
        </w:rPr>
        <w:t>e) Circunstancias sociales y/o económicas (máximo 10 puntos)</w:t>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i/>
          <w:i/>
          <w:iCs/>
          <w:sz w:val="19"/>
          <w:szCs w:val="19"/>
        </w:rPr>
      </w:pPr>
      <w:r>
        <w:rPr>
          <w:rFonts w:ascii="Arial" w:hAnsi="Arial"/>
          <w:i/>
          <w:iCs/>
          <w:color w:val="000000"/>
          <w:sz w:val="19"/>
          <w:szCs w:val="19"/>
          <w:lang w:val="ca-ES-valencia"/>
        </w:rPr>
        <w:t xml:space="preserve">Estas circunstancias serán valoradas por la Trabajadora Social, estudiado el caso en cuestión y en función de la documentación aportada por la persona interesada. </w:t>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tbl>
      <w:tblPr>
        <w:tblStyle w:val="TableNormal0"/>
        <w:tblW w:w="9579" w:type="dxa"/>
        <w:jc w:val="left"/>
        <w:tblInd w:w="66"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Look w:firstRow="1" w:noVBand="1" w:lastRow="0" w:firstColumn="1" w:lastColumn="0" w:noHBand="0" w:val="04a0"/>
      </w:tblPr>
      <w:tblGrid>
        <w:gridCol w:w="1183"/>
        <w:gridCol w:w="5165"/>
        <w:gridCol w:w="3231"/>
      </w:tblGrid>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b/>
                <w:bCs/>
                <w:i/>
                <w:iCs/>
                <w:color w:val="000000"/>
                <w:sz w:val="19"/>
                <w:szCs w:val="19"/>
                <w:lang w:val="ca-ES-valencia"/>
              </w:rPr>
              <w:t>N.º</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Normal"/>
              <w:numPr>
                <w:ilvl w:val="0"/>
                <w:numId w:val="1"/>
              </w:numPr>
              <w:ind w:left="720" w:hanging="0"/>
              <w:jc w:val="both"/>
              <w:rPr>
                <w:i/>
                <w:i/>
                <w:iCs/>
                <w:sz w:val="19"/>
                <w:szCs w:val="19"/>
              </w:rPr>
            </w:pPr>
            <w:r>
              <w:rPr>
                <w:rFonts w:ascii="Arial" w:hAnsi="Arial"/>
                <w:b/>
                <w:bCs/>
                <w:i/>
                <w:iCs/>
                <w:color w:val="000000"/>
                <w:sz w:val="19"/>
                <w:szCs w:val="19"/>
                <w:lang w:val="ca-ES-valencia"/>
              </w:rPr>
              <w:t>Circunstancias sociales y/o económicas</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b/>
                <w:bCs/>
                <w:i/>
                <w:iCs/>
                <w:color w:val="000000"/>
                <w:sz w:val="19"/>
                <w:szCs w:val="19"/>
                <w:lang w:val="ca-ES-valencia"/>
              </w:rPr>
              <w:t>Puntos</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1</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Muy graves</w:t>
            </w:r>
          </w:p>
        </w:tc>
        <w:tc>
          <w:tcPr>
            <w:tcW w:w="3231" w:type="dxa"/>
            <w:vMerge w:val="restart"/>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Contenidodelatabla"/>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Hasta 10 puntos</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Graves</w:t>
            </w:r>
          </w:p>
        </w:tc>
        <w:tc>
          <w:tcPr>
            <w:tcW w:w="3231" w:type="dxa"/>
            <w:vMerge w:val="continue"/>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3</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Leves </w:t>
            </w:r>
          </w:p>
        </w:tc>
        <w:tc>
          <w:tcPr>
            <w:tcW w:w="3231" w:type="dxa"/>
            <w:vMerge w:val="continue"/>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4</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No se observan factores sociales significativos </w:t>
            </w:r>
          </w:p>
        </w:tc>
        <w:tc>
          <w:tcPr>
            <w:tcW w:w="3231" w:type="dxa"/>
            <w:vMerge w:val="continue"/>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tc>
      </w:tr>
    </w:tbl>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i/>
          <w:i/>
          <w:iCs/>
          <w:sz w:val="19"/>
          <w:szCs w:val="19"/>
        </w:rPr>
      </w:pPr>
      <w:r>
        <w:rPr>
          <w:rFonts w:ascii="Arial" w:hAnsi="Arial"/>
          <w:i/>
          <w:iCs/>
          <w:color w:val="000000"/>
          <w:sz w:val="19"/>
          <w:szCs w:val="19"/>
          <w:lang w:val="ca-ES-valencia"/>
        </w:rPr>
        <w:t xml:space="preserve">f) Situación económica (máximo 10 puntos). </w:t>
      </w:r>
    </w:p>
    <w:p>
      <w:pPr>
        <w:pStyle w:val="Normal"/>
        <w:numPr>
          <w:ilvl w:val="0"/>
          <w:numId w:val="1"/>
        </w:numPr>
        <w:ind w:left="720" w:hanging="0"/>
        <w:jc w:val="both"/>
        <w:rPr>
          <w:i/>
          <w:i/>
          <w:iCs/>
          <w:sz w:val="19"/>
          <w:szCs w:val="19"/>
        </w:rPr>
      </w:pPr>
      <w:r>
        <w:rPr>
          <w:rFonts w:ascii="Arial" w:hAnsi="Arial"/>
          <w:i/>
          <w:iCs/>
          <w:color w:val="000000"/>
          <w:sz w:val="19"/>
          <w:szCs w:val="19"/>
          <w:lang w:val="ca-ES-valencia"/>
        </w:rPr>
        <w:t xml:space="preserve">Se valorará la situación económica en fecha de presentación de la solicitud y en base a la documentación presentada. </w:t>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tbl>
      <w:tblPr>
        <w:tblStyle w:val="TableNormal0"/>
        <w:tblW w:w="9579" w:type="dxa"/>
        <w:jc w:val="left"/>
        <w:tblInd w:w="66"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Look w:firstRow="1" w:noVBand="1" w:lastRow="0" w:firstColumn="1" w:lastColumn="0" w:noHBand="0" w:val="04a0"/>
      </w:tblPr>
      <w:tblGrid>
        <w:gridCol w:w="1183"/>
        <w:gridCol w:w="5165"/>
        <w:gridCol w:w="3231"/>
      </w:tblGrid>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b/>
                <w:bCs/>
                <w:i/>
                <w:iCs/>
                <w:color w:val="000000"/>
                <w:sz w:val="19"/>
                <w:szCs w:val="19"/>
                <w:lang w:val="ca-ES-valencia"/>
              </w:rPr>
              <w:t>N.º</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Normal"/>
              <w:numPr>
                <w:ilvl w:val="0"/>
                <w:numId w:val="1"/>
              </w:numPr>
              <w:ind w:left="720" w:hanging="0"/>
              <w:jc w:val="both"/>
              <w:rPr>
                <w:i/>
                <w:i/>
                <w:iCs/>
                <w:sz w:val="19"/>
                <w:szCs w:val="19"/>
              </w:rPr>
            </w:pPr>
            <w:r>
              <w:rPr>
                <w:rFonts w:ascii="Arial" w:hAnsi="Arial"/>
                <w:b/>
                <w:bCs/>
                <w:i/>
                <w:iCs/>
                <w:color w:val="000000"/>
                <w:sz w:val="19"/>
                <w:szCs w:val="19"/>
                <w:lang w:val="ca-ES-valencia"/>
              </w:rPr>
              <w:t>Situación económica</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b/>
                <w:bCs/>
                <w:i/>
                <w:iCs/>
                <w:color w:val="000000"/>
                <w:sz w:val="19"/>
                <w:szCs w:val="19"/>
                <w:lang w:val="ca-ES-valencia"/>
              </w:rPr>
              <w:t>Puntos</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1</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Ingresos netos inferiores a 4.160 € de renta per cápita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10</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Ingresos netos entre 4.160,01€ y 5.160 € de renta per cápita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8</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3</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 xml:space="preserve">Ingresos netos entre 5.160,01 € y 6.948,24€ de renta per cápita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4</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Ingresos netos superiores a 6.948,25€</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0</w:t>
            </w:r>
          </w:p>
        </w:tc>
      </w:tr>
    </w:tbl>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i/>
          <w:i/>
          <w:iCs/>
          <w:sz w:val="19"/>
          <w:szCs w:val="19"/>
        </w:rPr>
      </w:pPr>
      <w:r>
        <w:rPr>
          <w:rFonts w:ascii="Arial" w:hAnsi="Arial"/>
          <w:i/>
          <w:iCs/>
          <w:color w:val="000000"/>
          <w:sz w:val="19"/>
          <w:szCs w:val="19"/>
          <w:lang w:val="ca-ES-valencia"/>
        </w:rPr>
        <w:t xml:space="preserve">La puntuación máxima que se puede obtener es de 30 puntos. Los factores que se tendrán en cuenta y el peso de cada uno es el siguiente: </w:t>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tbl>
      <w:tblPr>
        <w:tblStyle w:val="TableNormal0"/>
        <w:tblW w:w="9579" w:type="dxa"/>
        <w:jc w:val="left"/>
        <w:tblInd w:w="66"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Look w:firstRow="1" w:noVBand="1" w:lastRow="0" w:firstColumn="1" w:lastColumn="0" w:noHBand="0" w:val="04a0"/>
      </w:tblPr>
      <w:tblGrid>
        <w:gridCol w:w="3570"/>
        <w:gridCol w:w="2790"/>
        <w:gridCol w:w="3219"/>
      </w:tblGrid>
      <w:tr>
        <w:trPr/>
        <w:tc>
          <w:tcPr>
            <w:tcW w:w="357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b/>
                <w:bCs/>
                <w:i/>
                <w:iCs/>
                <w:color w:val="000000"/>
                <w:sz w:val="19"/>
                <w:szCs w:val="19"/>
                <w:lang w:val="ca-ES-valencia"/>
              </w:rPr>
              <w:t>Circunstancia</w:t>
            </w:r>
          </w:p>
        </w:tc>
        <w:tc>
          <w:tcPr>
            <w:tcW w:w="279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b/>
                <w:bCs/>
                <w:i/>
                <w:iCs/>
                <w:color w:val="000000"/>
                <w:sz w:val="19"/>
                <w:szCs w:val="19"/>
                <w:lang w:val="ca-ES-valencia"/>
              </w:rPr>
              <w:t>Puntuación máxima</w:t>
            </w:r>
          </w:p>
        </w:tc>
        <w:tc>
          <w:tcPr>
            <w:tcW w:w="3219"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b/>
                <w:bCs/>
                <w:i/>
                <w:iCs/>
                <w:color w:val="000000"/>
                <w:sz w:val="19"/>
                <w:szCs w:val="19"/>
                <w:lang w:val="ca-ES-valencia"/>
              </w:rPr>
              <w:t>%</w:t>
            </w:r>
          </w:p>
        </w:tc>
      </w:tr>
      <w:tr>
        <w:trPr/>
        <w:tc>
          <w:tcPr>
            <w:tcW w:w="357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Situación laboral</w:t>
            </w:r>
          </w:p>
        </w:tc>
        <w:tc>
          <w:tcPr>
            <w:tcW w:w="279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2,5 puntos</w:t>
            </w:r>
          </w:p>
        </w:tc>
        <w:tc>
          <w:tcPr>
            <w:tcW w:w="3219"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8,25%</w:t>
            </w:r>
          </w:p>
        </w:tc>
      </w:tr>
      <w:tr>
        <w:trPr/>
        <w:tc>
          <w:tcPr>
            <w:tcW w:w="357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Situación de la unidad de convivencia</w:t>
            </w:r>
          </w:p>
        </w:tc>
        <w:tc>
          <w:tcPr>
            <w:tcW w:w="279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2,5 puntos</w:t>
            </w:r>
          </w:p>
        </w:tc>
        <w:tc>
          <w:tcPr>
            <w:tcW w:w="3219"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8,25%</w:t>
            </w:r>
          </w:p>
        </w:tc>
      </w:tr>
      <w:tr>
        <w:trPr/>
        <w:tc>
          <w:tcPr>
            <w:tcW w:w="357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Composición familiar</w:t>
            </w:r>
          </w:p>
        </w:tc>
        <w:tc>
          <w:tcPr>
            <w:tcW w:w="279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2,5 puntos</w:t>
            </w:r>
          </w:p>
        </w:tc>
        <w:tc>
          <w:tcPr>
            <w:tcW w:w="3219"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8,25%</w:t>
            </w:r>
          </w:p>
        </w:tc>
      </w:tr>
      <w:tr>
        <w:trPr/>
        <w:tc>
          <w:tcPr>
            <w:tcW w:w="357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Vivienda</w:t>
            </w:r>
          </w:p>
        </w:tc>
        <w:tc>
          <w:tcPr>
            <w:tcW w:w="279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2,5 puntos</w:t>
            </w:r>
          </w:p>
        </w:tc>
        <w:tc>
          <w:tcPr>
            <w:tcW w:w="3219"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8,25%</w:t>
            </w:r>
          </w:p>
        </w:tc>
      </w:tr>
      <w:tr>
        <w:trPr/>
        <w:tc>
          <w:tcPr>
            <w:tcW w:w="357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Circunstancias sociales</w:t>
            </w:r>
          </w:p>
        </w:tc>
        <w:tc>
          <w:tcPr>
            <w:tcW w:w="279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10 puntos</w:t>
            </w:r>
          </w:p>
        </w:tc>
        <w:tc>
          <w:tcPr>
            <w:tcW w:w="3219"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33,50%</w:t>
            </w:r>
          </w:p>
        </w:tc>
      </w:tr>
      <w:tr>
        <w:trPr/>
        <w:tc>
          <w:tcPr>
            <w:tcW w:w="357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Situación económica</w:t>
            </w:r>
          </w:p>
        </w:tc>
        <w:tc>
          <w:tcPr>
            <w:tcW w:w="279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10 puntos</w:t>
            </w:r>
          </w:p>
        </w:tc>
        <w:tc>
          <w:tcPr>
            <w:tcW w:w="3219"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33,50%</w:t>
            </w:r>
          </w:p>
        </w:tc>
      </w:tr>
    </w:tbl>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i/>
          <w:i/>
          <w:iCs/>
          <w:sz w:val="19"/>
          <w:szCs w:val="19"/>
        </w:rPr>
      </w:pPr>
      <w:r>
        <w:rPr>
          <w:rFonts w:ascii="Arial" w:hAnsi="Arial"/>
          <w:i/>
          <w:iCs/>
          <w:color w:val="000000"/>
          <w:sz w:val="19"/>
          <w:szCs w:val="19"/>
          <w:lang w:val="ca-ES-valencia"/>
        </w:rPr>
        <w:t xml:space="preserve">La puntuación máxima que se puede obtener con este baremo es de 30 puntos. </w:t>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i/>
          <w:i/>
          <w:iCs/>
          <w:sz w:val="19"/>
          <w:szCs w:val="19"/>
        </w:rPr>
      </w:pPr>
      <w:r>
        <w:rPr>
          <w:rFonts w:ascii="Arial" w:hAnsi="Arial"/>
          <w:i/>
          <w:iCs/>
          <w:color w:val="000000"/>
          <w:sz w:val="19"/>
          <w:szCs w:val="19"/>
          <w:lang w:val="ca-ES-valencia"/>
        </w:rPr>
        <w:t xml:space="preserve">La puntuación mínima para entrar a los módulos de ayudas económicas es 15 puntos </w:t>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i/>
          <w:i/>
          <w:iCs/>
          <w:sz w:val="19"/>
          <w:szCs w:val="19"/>
        </w:rPr>
      </w:pPr>
      <w:r>
        <w:rPr>
          <w:rFonts w:ascii="Arial" w:hAnsi="Arial"/>
          <w:i/>
          <w:iCs/>
          <w:color w:val="000000"/>
          <w:sz w:val="19"/>
          <w:szCs w:val="19"/>
          <w:lang w:val="ca-ES-valencia"/>
        </w:rPr>
        <w:t xml:space="preserve">Puntuación obtenida y porcentaje de prestación económica </w:t>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tbl>
      <w:tblPr>
        <w:tblStyle w:val="TableNormal0"/>
        <w:tblW w:w="4485" w:type="dxa"/>
        <w:jc w:val="left"/>
        <w:tblInd w:w="1566"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Look w:firstRow="1" w:noVBand="1" w:lastRow="0" w:firstColumn="1" w:lastColumn="0" w:noHBand="0" w:val="04a0"/>
      </w:tblPr>
      <w:tblGrid>
        <w:gridCol w:w="2894"/>
        <w:gridCol w:w="1590"/>
      </w:tblGrid>
      <w:tr>
        <w:trPr/>
        <w:tc>
          <w:tcPr>
            <w:tcW w:w="2894"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b/>
                <w:bCs/>
                <w:i/>
                <w:iCs/>
                <w:color w:val="000000"/>
                <w:sz w:val="19"/>
                <w:szCs w:val="19"/>
                <w:lang w:val="ca-ES-valencia"/>
              </w:rPr>
              <w:t>Puntos</w:t>
            </w:r>
          </w:p>
        </w:tc>
        <w:tc>
          <w:tcPr>
            <w:tcW w:w="159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b/>
                <w:bCs/>
                <w:i/>
                <w:iCs/>
                <w:color w:val="000000"/>
                <w:sz w:val="19"/>
                <w:szCs w:val="19"/>
                <w:lang w:val="ca-ES-valencia"/>
              </w:rPr>
              <w:t>%</w:t>
            </w:r>
          </w:p>
        </w:tc>
      </w:tr>
      <w:tr>
        <w:trPr/>
        <w:tc>
          <w:tcPr>
            <w:tcW w:w="2894"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15………………………………..</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16………………………………..</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17………………………………..</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18………………………………..</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19………………………………..</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20………………………………..</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21………………………………..</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22………………………………..</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23………………………………..</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24………………………………..</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25………………………………..</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26………………………………..</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27………………………………..</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28………………………………..</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29/30…………………………….</w:t>
            </w:r>
          </w:p>
        </w:tc>
        <w:tc>
          <w:tcPr>
            <w:tcW w:w="159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44</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48</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52</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56</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60</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64</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68</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72</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76</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80</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84</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88</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92</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96</w:t>
            </w:r>
          </w:p>
          <w:p>
            <w:pPr>
              <w:pStyle w:val="Contenidodelatabla"/>
              <w:numPr>
                <w:ilvl w:val="0"/>
                <w:numId w:val="1"/>
              </w:numPr>
              <w:ind w:left="720" w:hanging="0"/>
              <w:jc w:val="both"/>
              <w:rPr>
                <w:i/>
                <w:i/>
                <w:iCs/>
                <w:sz w:val="19"/>
                <w:szCs w:val="19"/>
              </w:rPr>
            </w:pPr>
            <w:r>
              <w:rPr>
                <w:rFonts w:ascii="Arial" w:hAnsi="Arial"/>
                <w:i/>
                <w:iCs/>
                <w:color w:val="000000"/>
                <w:sz w:val="19"/>
                <w:szCs w:val="19"/>
                <w:lang w:val="ca-ES-valencia"/>
              </w:rPr>
              <w:t>100</w:t>
            </w:r>
          </w:p>
        </w:tc>
      </w:tr>
    </w:tbl>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b/>
          <w:bCs/>
          <w:i/>
          <w:iCs/>
          <w:color w:val="000000"/>
          <w:sz w:val="19"/>
          <w:szCs w:val="19"/>
          <w:lang w:val="ca-ES"/>
        </w:rPr>
        <w:t>En en cuanto a las ayudas para el desarrollo personal de personas de tercera edad, se valorara:</w:t>
      </w:r>
    </w:p>
    <w:p>
      <w:pPr>
        <w:pStyle w:val="Normal"/>
        <w:widowControl/>
        <w:numPr>
          <w:ilvl w:val="0"/>
          <w:numId w:val="1"/>
        </w:numPr>
        <w:ind w:left="720" w:hanging="0"/>
        <w:jc w:val="both"/>
        <w:rPr>
          <w:i/>
          <w:i/>
          <w:iCs/>
          <w:sz w:val="19"/>
          <w:szCs w:val="19"/>
        </w:rPr>
      </w:pPr>
      <w:r>
        <w:rPr>
          <w:rFonts w:ascii="Arial" w:hAnsi="Arial"/>
          <w:i/>
          <w:iCs/>
          <w:sz w:val="19"/>
          <w:szCs w:val="19"/>
          <w:lang w:val="ca-ES-valencia"/>
        </w:rPr>
        <w:t>Tienen que haber obstáculos objetivos, tanto por parte de la persona que no puede utilizar los sistemas normales y requiere una atención especial a causa de sus problemas motrices o sensoriales graves, como por parte del entorno, que presenta dificultades materiales que dificultan el desarrollo de las personas afectadas.</w:t>
      </w:r>
    </w:p>
    <w:p>
      <w:pPr>
        <w:pStyle w:val="Normal"/>
        <w:widowControl/>
        <w:numPr>
          <w:ilvl w:val="0"/>
          <w:numId w:val="1"/>
        </w:numPr>
        <w:ind w:left="720" w:hanging="0"/>
        <w:jc w:val="both"/>
        <w:rPr>
          <w:i/>
          <w:i/>
          <w:iCs/>
          <w:sz w:val="19"/>
          <w:szCs w:val="19"/>
        </w:rPr>
      </w:pPr>
      <w:r>
        <w:rPr>
          <w:rFonts w:ascii="Arial" w:hAnsi="Arial"/>
          <w:i/>
          <w:iCs/>
          <w:sz w:val="19"/>
          <w:szCs w:val="19"/>
          <w:lang w:val="ca-ES-valencia"/>
        </w:rPr>
        <w:t>La concesión de la ayuda tiene que tener como base el informe social de PEIs, en que se tiene que especificar:</w:t>
      </w:r>
    </w:p>
    <w:p>
      <w:pPr>
        <w:pStyle w:val="Normal"/>
        <w:widowControl/>
        <w:numPr>
          <w:ilvl w:val="0"/>
          <w:numId w:val="1"/>
        </w:numPr>
        <w:ind w:left="720" w:hanging="0"/>
        <w:jc w:val="both"/>
        <w:rPr>
          <w:i/>
          <w:i/>
          <w:iCs/>
          <w:sz w:val="19"/>
          <w:szCs w:val="19"/>
        </w:rPr>
      </w:pPr>
      <w:r>
        <w:rPr>
          <w:rFonts w:ascii="Arial" w:hAnsi="Arial"/>
          <w:i/>
          <w:iCs/>
          <w:sz w:val="19"/>
          <w:szCs w:val="19"/>
          <w:lang w:val="ca-ES-valencia"/>
        </w:rPr>
        <w:t>1. Problemática que se plantea (necesidad técnica de la ayuda).</w:t>
      </w:r>
    </w:p>
    <w:p>
      <w:pPr>
        <w:pStyle w:val="Normal"/>
        <w:widowControl/>
        <w:numPr>
          <w:ilvl w:val="0"/>
          <w:numId w:val="1"/>
        </w:numPr>
        <w:ind w:left="720" w:hanging="0"/>
        <w:jc w:val="both"/>
        <w:rPr>
          <w:i/>
          <w:i/>
          <w:iCs/>
          <w:sz w:val="19"/>
          <w:szCs w:val="19"/>
        </w:rPr>
      </w:pPr>
      <w:r>
        <w:rPr>
          <w:rFonts w:ascii="Arial" w:hAnsi="Arial"/>
          <w:i/>
          <w:iCs/>
          <w:sz w:val="19"/>
          <w:szCs w:val="19"/>
          <w:lang w:val="ca-ES-valencia"/>
        </w:rPr>
        <w:t>2. Gestiones ejecutadas para paliar el problema.</w:t>
      </w:r>
    </w:p>
    <w:p>
      <w:pPr>
        <w:pStyle w:val="Normal"/>
        <w:widowControl/>
        <w:numPr>
          <w:ilvl w:val="0"/>
          <w:numId w:val="1"/>
        </w:numPr>
        <w:ind w:left="720" w:hanging="0"/>
        <w:jc w:val="both"/>
        <w:rPr>
          <w:i/>
          <w:i/>
          <w:iCs/>
          <w:sz w:val="19"/>
          <w:szCs w:val="19"/>
        </w:rPr>
      </w:pPr>
      <w:r>
        <w:rPr>
          <w:rFonts w:ascii="Arial" w:hAnsi="Arial"/>
          <w:i/>
          <w:iCs/>
          <w:sz w:val="19"/>
          <w:szCs w:val="19"/>
          <w:lang w:val="ca-ES-valencia"/>
        </w:rPr>
        <w:t>3. Modalidad que se considera adecuada, con la especificación de los conceptos y las</w:t>
      </w:r>
    </w:p>
    <w:p>
      <w:pPr>
        <w:pStyle w:val="Normal"/>
        <w:widowControl/>
        <w:numPr>
          <w:ilvl w:val="0"/>
          <w:numId w:val="1"/>
        </w:numPr>
        <w:ind w:left="720" w:hanging="0"/>
        <w:jc w:val="both"/>
        <w:rPr>
          <w:i/>
          <w:i/>
          <w:iCs/>
          <w:sz w:val="19"/>
          <w:szCs w:val="19"/>
        </w:rPr>
      </w:pPr>
      <w:r>
        <w:rPr>
          <w:rFonts w:ascii="Arial" w:hAnsi="Arial"/>
          <w:i/>
          <w:iCs/>
          <w:sz w:val="19"/>
          <w:szCs w:val="19"/>
          <w:lang w:val="ca-ES-valencia"/>
        </w:rPr>
        <w:t>cantidades.</w:t>
      </w:r>
    </w:p>
    <w:p>
      <w:pPr>
        <w:pStyle w:val="Normal"/>
        <w:widowControl/>
        <w:numPr>
          <w:ilvl w:val="0"/>
          <w:numId w:val="1"/>
        </w:numPr>
        <w:ind w:left="720" w:hanging="0"/>
        <w:jc w:val="both"/>
        <w:rPr>
          <w:i/>
          <w:i/>
          <w:iCs/>
          <w:sz w:val="19"/>
          <w:szCs w:val="19"/>
        </w:rPr>
      </w:pPr>
      <w:r>
        <w:rPr>
          <w:rFonts w:ascii="Arial" w:hAnsi="Arial"/>
          <w:i/>
          <w:iCs/>
          <w:sz w:val="19"/>
          <w:szCs w:val="19"/>
          <w:lang w:val="ca-ES-valencia"/>
        </w:rPr>
        <w:t>4. Idoneidad del cual se ha solicitado para cubrir la necesidad que plantea el sujeto.</w:t>
      </w:r>
    </w:p>
    <w:p>
      <w:pPr>
        <w:pStyle w:val="Normal"/>
        <w:widowControl/>
        <w:numPr>
          <w:ilvl w:val="0"/>
          <w:numId w:val="1"/>
        </w:numPr>
        <w:ind w:left="720" w:hanging="0"/>
        <w:jc w:val="both"/>
        <w:rPr>
          <w:i/>
          <w:i/>
          <w:iCs/>
          <w:sz w:val="19"/>
          <w:szCs w:val="19"/>
        </w:rPr>
      </w:pPr>
      <w:r>
        <w:rPr>
          <w:rFonts w:ascii="Arial" w:hAnsi="Arial"/>
          <w:i/>
          <w:iCs/>
          <w:sz w:val="19"/>
          <w:szCs w:val="19"/>
          <w:lang w:val="ca-ES-valencia"/>
        </w:rPr>
        <w:t>5. Repercusiones positivas que la concesión de esta ocasiona a la persona interesada</w:t>
      </w:r>
    </w:p>
    <w:p>
      <w:pPr>
        <w:pStyle w:val="Normal"/>
        <w:widowControl/>
        <w:numPr>
          <w:ilvl w:val="0"/>
          <w:numId w:val="1"/>
        </w:numPr>
        <w:ind w:left="720" w:hanging="0"/>
        <w:jc w:val="both"/>
        <w:rPr>
          <w:i/>
          <w:i/>
          <w:iCs/>
          <w:sz w:val="19"/>
          <w:szCs w:val="19"/>
        </w:rPr>
      </w:pPr>
      <w:r>
        <w:rPr>
          <w:rFonts w:ascii="Arial" w:hAnsi="Arial"/>
          <w:i/>
          <w:iCs/>
          <w:sz w:val="19"/>
          <w:szCs w:val="19"/>
          <w:lang w:val="ca-ES-valencia"/>
        </w:rPr>
        <w:t>y las negativas que puede ocasionar la denegación.</w:t>
      </w:r>
    </w:p>
    <w:p>
      <w:pPr>
        <w:pStyle w:val="Normal"/>
        <w:widowControl/>
        <w:numPr>
          <w:ilvl w:val="0"/>
          <w:numId w:val="1"/>
        </w:numPr>
        <w:ind w:left="720" w:hanging="0"/>
        <w:jc w:val="both"/>
        <w:rPr>
          <w:i/>
          <w:i/>
          <w:iCs/>
          <w:sz w:val="19"/>
          <w:szCs w:val="19"/>
        </w:rPr>
      </w:pPr>
      <w:r>
        <w:rPr>
          <w:rFonts w:ascii="Arial" w:hAnsi="Arial"/>
          <w:i/>
          <w:iCs/>
          <w:sz w:val="19"/>
          <w:szCs w:val="19"/>
          <w:lang w:val="ca-ES-valencia"/>
        </w:rPr>
        <w:t>6. Tipo de pago:</w:t>
      </w:r>
    </w:p>
    <w:p>
      <w:pPr>
        <w:pStyle w:val="Normal"/>
        <w:widowControl/>
        <w:numPr>
          <w:ilvl w:val="0"/>
          <w:numId w:val="1"/>
        </w:numPr>
        <w:ind w:left="720" w:hanging="0"/>
        <w:jc w:val="both"/>
        <w:rPr>
          <w:i/>
          <w:i/>
          <w:iCs/>
          <w:sz w:val="19"/>
          <w:szCs w:val="19"/>
        </w:rPr>
      </w:pPr>
      <w:r>
        <w:rPr>
          <w:rFonts w:ascii="Arial" w:hAnsi="Arial"/>
          <w:i/>
          <w:iCs/>
          <w:sz w:val="19"/>
          <w:szCs w:val="19"/>
          <w:lang w:val="ca-ES-valencia"/>
        </w:rPr>
        <w:t>a. A quien se tiene que efectuar (perceptor).</w:t>
      </w:r>
    </w:p>
    <w:p>
      <w:pPr>
        <w:pStyle w:val="Normal"/>
        <w:widowControl/>
        <w:numPr>
          <w:ilvl w:val="0"/>
          <w:numId w:val="1"/>
        </w:numPr>
        <w:ind w:left="720" w:hanging="0"/>
        <w:jc w:val="both"/>
        <w:rPr>
          <w:i/>
          <w:i/>
          <w:iCs/>
          <w:sz w:val="19"/>
          <w:szCs w:val="19"/>
        </w:rPr>
      </w:pPr>
      <w:r>
        <w:rPr>
          <w:rFonts w:ascii="Arial" w:hAnsi="Arial"/>
          <w:i/>
          <w:iCs/>
          <w:sz w:val="19"/>
          <w:szCs w:val="19"/>
          <w:lang w:val="ca-ES-valencia"/>
        </w:rPr>
        <w:t>b. Pago único o periódico. En este segundo caso, se tiene que especificar el tiempo previsto de la ayuda.</w:t>
      </w:r>
    </w:p>
    <w:p>
      <w:pPr>
        <w:pStyle w:val="Normal"/>
        <w:widowControl/>
        <w:numPr>
          <w:ilvl w:val="0"/>
          <w:numId w:val="1"/>
        </w:numPr>
        <w:ind w:left="720" w:hanging="0"/>
        <w:jc w:val="both"/>
        <w:rPr>
          <w:i/>
          <w:i/>
          <w:iCs/>
          <w:sz w:val="19"/>
          <w:szCs w:val="19"/>
        </w:rPr>
      </w:pPr>
      <w:r>
        <w:rPr>
          <w:rFonts w:ascii="Arial" w:hAnsi="Arial"/>
          <w:i/>
          <w:iCs/>
          <w:sz w:val="19"/>
          <w:szCs w:val="19"/>
          <w:lang w:val="ca-ES-valencia"/>
        </w:rPr>
        <w:t>7.- Manera de justificación.</w:t>
      </w:r>
    </w:p>
    <w:p>
      <w:pPr>
        <w:pStyle w:val="Normal"/>
        <w:widowControl/>
        <w:numPr>
          <w:ilvl w:val="0"/>
          <w:numId w:val="1"/>
        </w:numPr>
        <w:ind w:left="720" w:hanging="0"/>
        <w:jc w:val="both"/>
        <w:rPr>
          <w:rFonts w:ascii="Arial" w:hAnsi="Arial"/>
          <w:i/>
          <w:i/>
          <w:iCs/>
          <w:color w:val="FF0000"/>
          <w:sz w:val="19"/>
          <w:szCs w:val="19"/>
          <w:lang w:val="ca-ES-valencia"/>
        </w:rPr>
      </w:pPr>
      <w:r>
        <w:rPr>
          <w:rFonts w:ascii="Arial" w:hAnsi="Arial"/>
          <w:i/>
          <w:iCs/>
          <w:color w:val="FF0000"/>
          <w:sz w:val="19"/>
          <w:szCs w:val="19"/>
          <w:lang w:val="ca-ES-valencia"/>
        </w:rPr>
      </w:r>
    </w:p>
    <w:p>
      <w:pPr>
        <w:pStyle w:val="Normal"/>
        <w:widowControl/>
        <w:numPr>
          <w:ilvl w:val="0"/>
          <w:numId w:val="1"/>
        </w:numPr>
        <w:ind w:left="720" w:hanging="0"/>
        <w:jc w:val="both"/>
        <w:rPr>
          <w:i/>
          <w:i/>
          <w:iCs/>
          <w:sz w:val="19"/>
          <w:szCs w:val="19"/>
        </w:rPr>
      </w:pPr>
      <w:r>
        <w:rPr>
          <w:rFonts w:ascii="Arial" w:hAnsi="Arial"/>
          <w:b/>
          <w:i/>
          <w:iCs/>
          <w:sz w:val="19"/>
          <w:szCs w:val="19"/>
          <w:u w:val="single"/>
          <w:lang w:val="ca-ES-valencia"/>
        </w:rPr>
        <w:t>Cuantía y valoración de los ingresos</w:t>
      </w:r>
    </w:p>
    <w:p>
      <w:pPr>
        <w:pStyle w:val="Normal"/>
        <w:widowControl/>
        <w:numPr>
          <w:ilvl w:val="0"/>
          <w:numId w:val="1"/>
        </w:numPr>
        <w:ind w:left="720" w:hanging="0"/>
        <w:jc w:val="both"/>
        <w:rPr>
          <w:rFonts w:ascii="Arial" w:hAnsi="Arial"/>
          <w:b/>
          <w:b/>
          <w:i/>
          <w:i/>
          <w:iCs/>
          <w:color w:val="FF0000"/>
          <w:sz w:val="19"/>
          <w:szCs w:val="19"/>
          <w:u w:val="single"/>
          <w:lang w:val="ca-ES-valencia"/>
        </w:rPr>
      </w:pPr>
      <w:r>
        <w:rPr>
          <w:rFonts w:ascii="Arial" w:hAnsi="Arial"/>
          <w:b/>
          <w:i/>
          <w:iCs/>
          <w:color w:val="FF0000"/>
          <w:sz w:val="19"/>
          <w:szCs w:val="19"/>
          <w:u w:val="single"/>
          <w:lang w:val="ca-ES-valencia"/>
        </w:rPr>
      </w:r>
    </w:p>
    <w:p>
      <w:pPr>
        <w:pStyle w:val="Normal"/>
        <w:widowControl/>
        <w:numPr>
          <w:ilvl w:val="0"/>
          <w:numId w:val="1"/>
        </w:numPr>
        <w:ind w:left="720" w:hanging="0"/>
        <w:jc w:val="both"/>
        <w:rPr>
          <w:i/>
          <w:i/>
          <w:iCs/>
          <w:sz w:val="19"/>
          <w:szCs w:val="19"/>
        </w:rPr>
      </w:pPr>
      <w:r>
        <w:rPr>
          <w:rFonts w:ascii="Arial" w:hAnsi="Arial"/>
          <w:i/>
          <w:iCs/>
          <w:sz w:val="19"/>
          <w:szCs w:val="19"/>
          <w:lang w:val="ca-ES-valencia"/>
        </w:rPr>
        <w:t>En cuanto a la determinación de la cuantía de concesión, será en función de los ingresos de la unidad familiar o de convivencia, del número de miembros de esta, del coste de la acción y del módulo económico estipulado en el punto 3.B.4 de las instrucciones de Consellería, transcrito a primeros de la base decimocuarta punto 2</w:t>
      </w:r>
      <w:r>
        <w:rPr>
          <w:rFonts w:ascii="Arial" w:hAnsi="Arial"/>
          <w:b/>
          <w:bCs/>
          <w:i/>
          <w:iCs/>
          <w:color w:val="000000"/>
          <w:sz w:val="19"/>
          <w:szCs w:val="19"/>
          <w:lang w:val="ca-ES-valencia"/>
        </w:rPr>
        <w:t>.</w:t>
      </w:r>
    </w:p>
    <w:p>
      <w:pPr>
        <w:pStyle w:val="Normal"/>
        <w:widowControl/>
        <w:numPr>
          <w:ilvl w:val="0"/>
          <w:numId w:val="1"/>
        </w:numPr>
        <w:ind w:left="720" w:hanging="0"/>
        <w:jc w:val="both"/>
        <w:rPr>
          <w:rFonts w:ascii="Arial" w:hAnsi="Arial"/>
          <w:b/>
          <w:b/>
          <w:bCs/>
          <w:i/>
          <w:i/>
          <w:iCs/>
          <w:color w:val="000000"/>
          <w:sz w:val="19"/>
          <w:szCs w:val="19"/>
          <w:lang w:val="ca-ES-valencia"/>
        </w:rPr>
      </w:pPr>
      <w:r>
        <w:rPr>
          <w:rFonts w:ascii="Arial" w:hAnsi="Arial"/>
          <w:b/>
          <w:bCs/>
          <w:i/>
          <w:iCs/>
          <w:color w:val="000000"/>
          <w:sz w:val="19"/>
          <w:szCs w:val="19"/>
          <w:lang w:val="ca-ES-valencia"/>
        </w:rPr>
        <w:drawing>
          <wp:anchor behindDoc="0" distT="0" distB="0" distL="0" distR="0" simplePos="0" locked="0" layoutInCell="1" allowOverlap="1" relativeHeight="2">
            <wp:simplePos x="0" y="0"/>
            <wp:positionH relativeFrom="column">
              <wp:posOffset>108585</wp:posOffset>
            </wp:positionH>
            <wp:positionV relativeFrom="paragraph">
              <wp:posOffset>153670</wp:posOffset>
            </wp:positionV>
            <wp:extent cx="5050155" cy="2325370"/>
            <wp:effectExtent l="0" t="0" r="0" b="0"/>
            <wp:wrapTopAndBottom/>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4"/>
                    <a:srcRect l="7684" t="46294" r="29482" b="5660"/>
                    <a:stretch>
                      <a:fillRect/>
                    </a:stretch>
                  </pic:blipFill>
                  <pic:spPr bwMode="auto">
                    <a:xfrm>
                      <a:off x="0" y="0"/>
                      <a:ext cx="5050155" cy="2325370"/>
                    </a:xfrm>
                    <a:prstGeom prst="rect">
                      <a:avLst/>
                    </a:prstGeom>
                  </pic:spPr>
                </pic:pic>
              </a:graphicData>
            </a:graphic>
          </wp:anchor>
        </w:drawing>
      </w:r>
    </w:p>
    <w:p>
      <w:pPr>
        <w:pStyle w:val="Normal"/>
        <w:widowControl/>
        <w:numPr>
          <w:ilvl w:val="0"/>
          <w:numId w:val="1"/>
        </w:numPr>
        <w:ind w:left="720" w:hanging="0"/>
        <w:jc w:val="both"/>
        <w:rPr>
          <w:rFonts w:ascii="Arial" w:hAnsi="Arial"/>
          <w:i/>
          <w:i/>
          <w:iCs/>
          <w:sz w:val="19"/>
          <w:szCs w:val="19"/>
          <w:lang w:val="ca-ES-valencia"/>
        </w:rPr>
      </w:pPr>
      <w:r>
        <w:rPr>
          <w:rFonts w:ascii="Arial" w:hAnsi="Arial"/>
          <w:i/>
          <w:iCs/>
          <w:sz w:val="19"/>
          <w:szCs w:val="19"/>
          <w:lang w:val="ca-ES-valencia"/>
        </w:rPr>
      </w:r>
    </w:p>
    <w:p>
      <w:pPr>
        <w:pStyle w:val="Normal"/>
        <w:widowControl/>
        <w:numPr>
          <w:ilvl w:val="0"/>
          <w:numId w:val="1"/>
        </w:numPr>
        <w:ind w:left="720" w:hanging="0"/>
        <w:jc w:val="both"/>
        <w:rPr>
          <w:i/>
          <w:i/>
          <w:iCs/>
          <w:sz w:val="19"/>
          <w:szCs w:val="19"/>
        </w:rPr>
      </w:pPr>
      <w:r>
        <w:rPr>
          <w:rFonts w:ascii="Arial" w:hAnsi="Arial"/>
          <w:i/>
          <w:iCs/>
          <w:sz w:val="19"/>
          <w:szCs w:val="19"/>
          <w:lang w:val="ca-ES-valencia"/>
        </w:rPr>
        <w:t>La cuantía máxima de la ayuda no puede ser superior al coste de la necesidad que se trata de cubrir ni superar el módulo económico establecido en estas instrucciones.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b w:val="false"/>
          <w:bCs w:val="false"/>
          <w:i/>
          <w:iCs/>
          <w:color w:val="000000"/>
          <w:sz w:val="19"/>
          <w:szCs w:val="19"/>
          <w:lang w:val="ca-ES-valencia"/>
        </w:rPr>
        <w:t>Valoración de los ingresos: una vez se hayan determinado los ingresos brutos anuales de la unidad familiar o de convivencia y el número de los miembros de esta, se aplicará la tabla del anexo Y, y dará como resultado un porcentaje determinado que se aplicará sobre el coste de la acción cuando este sea inferior al estipulado como módulo máximo, o sobre el módulo mencionado cuando el coste de la acción sea igual al módulo, o superior.</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b/>
          <w:i/>
          <w:iCs/>
          <w:sz w:val="19"/>
          <w:szCs w:val="19"/>
          <w:lang w:val="ca-ES"/>
        </w:rPr>
        <w:t>13.- Medio de notificación o publicación.</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lang w:val="ca-ES"/>
        </w:rPr>
        <w:t>La resolución del procedimiento se tendrá que notificar a los interesados de acuerdo con aquello previsto en los artículos 40 a 46 de la Ley 39/2015, de 1 de octubre, del Procedimiento Administrativo Común de las administraciones públicas.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lang w:val="ca-ES"/>
        </w:rPr>
        <w:t>El Ayuntamiento de Carlet dará publicidad de las ayudas concedidas en los términos establecidos en el artículo 18 de la Ley 38/2003, General de Subvenciones.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lang w:val="ca-ES"/>
        </w:rPr>
        <w:t>Se publicará la convocatoria de las ayudas, mediante Edicto, al Tablón de anuncios de la Corporación y al Portal de transparencia del Ayuntamiento de Carlet, además de su publicación a la Base de datos Nacional de subvenciones, y a través de esta de una extracto en el BOP de València.</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i/>
          <w:i/>
          <w:iCs/>
          <w:sz w:val="19"/>
          <w:szCs w:val="19"/>
        </w:rPr>
      </w:pPr>
      <w:r>
        <w:rPr>
          <w:rFonts w:ascii="Arial" w:hAnsi="Arial"/>
          <w:i/>
          <w:iCs/>
          <w:sz w:val="19"/>
          <w:szCs w:val="19"/>
          <w:lang w:val="ca-ES"/>
        </w:rPr>
        <w:t xml:space="preserve">De acuerdo con el expuesto, la Regidora suscribiente </w:t>
      </w:r>
      <w:r>
        <w:rPr>
          <w:rFonts w:ascii="Arial" w:hAnsi="Arial"/>
          <w:b/>
          <w:i/>
          <w:iCs/>
          <w:sz w:val="19"/>
          <w:szCs w:val="19"/>
          <w:lang w:val="ca-ES"/>
        </w:rPr>
        <w:t>PROPONE:</w:t>
      </w:r>
    </w:p>
    <w:p>
      <w:pPr>
        <w:pStyle w:val="Normal"/>
        <w:numPr>
          <w:ilvl w:val="0"/>
          <w:numId w:val="1"/>
        </w:numPr>
        <w:tabs>
          <w:tab w:val="clear" w:pos="720"/>
          <w:tab w:val="left" w:pos="0" w:leader="none"/>
          <w:tab w:val="left" w:pos="284" w:leader="none"/>
        </w:tabs>
        <w:spacing w:lineRule="auto" w:line="276"/>
        <w:ind w:left="720" w:hanging="0"/>
        <w:jc w:val="both"/>
        <w:rPr>
          <w:i/>
          <w:i/>
          <w:iCs/>
          <w:sz w:val="19"/>
          <w:szCs w:val="19"/>
        </w:rPr>
      </w:pPr>
      <w:r>
        <w:rPr>
          <w:rFonts w:ascii="Arial" w:hAnsi="Arial"/>
          <w:b/>
          <w:i/>
          <w:iCs/>
          <w:sz w:val="19"/>
          <w:szCs w:val="19"/>
          <w:lang w:val="ca-ES"/>
        </w:rPr>
        <w:t xml:space="preserve">PRIMERO.- </w:t>
      </w:r>
      <w:r>
        <w:rPr>
          <w:rFonts w:ascii="Arial" w:hAnsi="Arial"/>
          <w:i/>
          <w:iCs/>
          <w:sz w:val="19"/>
          <w:szCs w:val="19"/>
          <w:lang w:val="ca-ES"/>
        </w:rPr>
        <w:t>Que se emita informe técnico del área sobre el trámite de aprobación y convalidación de la publicación de la convocatoria de las ayudas objeto del presente expediente, así como el preceptivo informe de fiscalización del departamento de intervención de esta entidad local.</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lang w:val="ca-ES"/>
        </w:rPr>
      </w:pPr>
      <w:r>
        <w:rPr>
          <w:rFonts w:ascii="Arial" w:hAnsi="Arial"/>
          <w:i/>
          <w:iCs/>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i/>
          <w:i/>
          <w:iCs/>
          <w:sz w:val="19"/>
          <w:szCs w:val="19"/>
        </w:rPr>
      </w:pPr>
      <w:r>
        <w:rPr>
          <w:rFonts w:ascii="Arial" w:hAnsi="Arial"/>
          <w:b/>
          <w:i/>
          <w:iCs/>
          <w:sz w:val="19"/>
          <w:szCs w:val="19"/>
          <w:lang w:val="ca-ES"/>
        </w:rPr>
        <w:t xml:space="preserve">SEGUNDO.- </w:t>
      </w:r>
      <w:r>
        <w:rPr>
          <w:rFonts w:ascii="Arial" w:hAnsi="Arial"/>
          <w:i/>
          <w:iCs/>
          <w:sz w:val="19"/>
          <w:szCs w:val="19"/>
          <w:lang w:val="ca-ES"/>
        </w:rPr>
        <w:t xml:space="preserve">Que se apruebe la convocatoria de las prestaciones económicas individualizadas de emergencia social y mejora </w:t>
      </w:r>
      <w:r>
        <w:rPr>
          <w:rFonts w:eastAsia="Tahoma" w:cs="Tahoma" w:ascii="Arial" w:hAnsi="Arial"/>
          <w:i/>
          <w:iCs/>
          <w:sz w:val="19"/>
          <w:szCs w:val="19"/>
          <w:lang w:val="ca-ES"/>
        </w:rPr>
        <w:t>de la autonomía de las personas mayores</w:t>
      </w:r>
      <w:r>
        <w:rPr>
          <w:rFonts w:ascii="Arial" w:hAnsi="Arial"/>
          <w:i/>
          <w:iCs/>
          <w:sz w:val="19"/>
          <w:szCs w:val="19"/>
          <w:lang w:val="ca-ES"/>
        </w:rPr>
        <w:t>, que se tramitan y gestionan por los servicios sociales del Ayuntamiento de Carlet para el año 2022.</w:t>
      </w:r>
    </w:p>
    <w:p>
      <w:pPr>
        <w:pStyle w:val="Normal"/>
        <w:widowControl/>
        <w:tabs>
          <w:tab w:val="clear" w:pos="720"/>
          <w:tab w:val="left" w:pos="284" w:leader="none"/>
        </w:tabs>
        <w:spacing w:lineRule="auto" w:line="276"/>
        <w:ind w:left="720" w:hanging="0"/>
        <w:jc w:val="both"/>
        <w:rPr>
          <w:rFonts w:ascii="Arial" w:hAnsi="Arial"/>
          <w:i/>
          <w:i/>
          <w:iCs/>
          <w:color w:val="000000"/>
          <w:sz w:val="19"/>
          <w:szCs w:val="19"/>
          <w:lang w:val="ca-ES"/>
        </w:rPr>
      </w:pPr>
      <w:r>
        <w:rPr>
          <w:rFonts w:ascii="Arial" w:hAnsi="Arial"/>
          <w:i/>
          <w:iCs/>
          <w:color w:val="000000"/>
          <w:sz w:val="19"/>
          <w:szCs w:val="19"/>
          <w:lang w:val="ca-ES"/>
        </w:rPr>
      </w:r>
    </w:p>
    <w:p>
      <w:pPr>
        <w:pStyle w:val="LOnormal"/>
        <w:widowControl/>
        <w:shd w:val="clear" w:fill="FFFFFF"/>
        <w:ind w:left="720" w:hanging="0"/>
        <w:jc w:val="both"/>
        <w:rPr>
          <w:rFonts w:ascii="Arial" w:hAnsi="Arial"/>
          <w:sz w:val="19"/>
          <w:szCs w:val="19"/>
        </w:rPr>
      </w:pPr>
      <w:r>
        <w:rPr>
          <w:rFonts w:eastAsia="Arial" w:cs="Arial" w:ascii="Arial" w:hAnsi="Arial"/>
          <w:b/>
          <w:i/>
          <w:iCs/>
          <w:color w:val="000000"/>
          <w:sz w:val="19"/>
          <w:szCs w:val="19"/>
          <w:lang w:val="ca-ES" w:eastAsia="en-US" w:bidi="ar-SA"/>
        </w:rPr>
        <w:t xml:space="preserve">TERCERO.- </w:t>
      </w:r>
      <w:r>
        <w:rPr>
          <w:rFonts w:eastAsia="Arial" w:cs="Arial" w:ascii="Arial" w:hAnsi="Arial"/>
          <w:i/>
          <w:iCs/>
          <w:color w:val="000000"/>
          <w:sz w:val="19"/>
          <w:szCs w:val="19"/>
          <w:lang w:val="ca-ES" w:eastAsia="en-US" w:bidi="ar-SA"/>
        </w:rPr>
        <w:t xml:space="preserve">Que se autorice el gasto de un importe de 55.937,24 </w:t>
      </w:r>
      <w:r>
        <w:rPr>
          <w:rFonts w:eastAsia="Arial" w:cs="Arial" w:ascii="Arial" w:hAnsi="Arial"/>
          <w:b/>
          <w:i/>
          <w:iCs/>
          <w:sz w:val="19"/>
          <w:szCs w:val="19"/>
          <w:lang w:val="ca-ES" w:eastAsia="en-US" w:bidi="ar-SA"/>
        </w:rPr>
        <w:t xml:space="preserve"> €</w:t>
      </w:r>
      <w:r>
        <w:rPr>
          <w:rFonts w:eastAsia="Arial" w:cs="Arial" w:ascii="Arial" w:hAnsi="Arial"/>
          <w:i/>
          <w:iCs/>
          <w:color w:val="000000"/>
          <w:sz w:val="19"/>
          <w:szCs w:val="19"/>
          <w:lang w:val="ca-ES" w:eastAsia="en-US" w:bidi="ar-SA"/>
        </w:rPr>
        <w:t xml:space="preserve"> con cargo a la partida presupuestaria núm 2314809</w:t>
      </w:r>
      <w:r>
        <w:rPr>
          <w:rFonts w:eastAsia="Arial" w:cs="Arial" w:ascii="Arial" w:hAnsi="Arial"/>
          <w:i/>
          <w:iCs/>
          <w:sz w:val="19"/>
          <w:szCs w:val="19"/>
          <w:lang w:val="ca-ES" w:eastAsia="en-US" w:bidi="ar-SA"/>
        </w:rPr>
        <w:t>9</w:t>
      </w:r>
      <w:r>
        <w:rPr>
          <w:rFonts w:eastAsia="Arial" w:cs="Arial" w:ascii="Arial" w:hAnsi="Arial"/>
          <w:i/>
          <w:iCs/>
          <w:color w:val="000000"/>
          <w:sz w:val="19"/>
          <w:szCs w:val="19"/>
          <w:lang w:val="ca-ES" w:eastAsia="en-US" w:bidi="ar-SA"/>
        </w:rPr>
        <w:t xml:space="preserve"> de los presupuestos del año 202</w:t>
      </w:r>
      <w:r>
        <w:rPr>
          <w:rFonts w:eastAsia="Arial" w:cs="Arial" w:ascii="Arial" w:hAnsi="Arial"/>
          <w:i/>
          <w:iCs/>
          <w:sz w:val="19"/>
          <w:szCs w:val="19"/>
          <w:lang w:val="ca-ES" w:eastAsia="en-US" w:bidi="ar-SA"/>
        </w:rPr>
        <w:t>2</w:t>
      </w:r>
      <w:r>
        <w:rPr>
          <w:rFonts w:eastAsia="Arial" w:cs="Arial" w:ascii="Arial" w:hAnsi="Arial"/>
          <w:i/>
          <w:iCs/>
          <w:color w:val="000000"/>
          <w:sz w:val="19"/>
          <w:szCs w:val="19"/>
          <w:lang w:val="ca-ES" w:eastAsia="en-US" w:bidi="ar-SA"/>
        </w:rPr>
        <w:t>, con la denominación ”Programa de emergencia social”.</w:t>
      </w:r>
      <w:r>
        <w:rPr>
          <w:rFonts w:eastAsia="Arial" w:cs="Arial" w:ascii="Arial" w:hAnsi="Arial"/>
          <w:i/>
          <w:iCs/>
          <w:sz w:val="19"/>
          <w:szCs w:val="19"/>
          <w:lang w:val="ca-ES-valencia" w:eastAsia="en-US" w:bidi="ar-SA"/>
        </w:rPr>
        <w:t>»</w:t>
      </w:r>
    </w:p>
    <w:p>
      <w:pPr>
        <w:pStyle w:val="LOnormal"/>
        <w:widowControl/>
        <w:shd w:val="clear" w:fill="FFFFFF"/>
        <w:ind w:left="720" w:hanging="0"/>
        <w:jc w:val="both"/>
        <w:rPr>
          <w:rFonts w:ascii="Arial" w:hAnsi="Arial" w:eastAsia="Arial" w:cs="Arial"/>
          <w:i/>
          <w:i/>
          <w:iCs/>
          <w:sz w:val="19"/>
          <w:szCs w:val="19"/>
          <w:lang w:val="ca-ES-valencia" w:eastAsia="en-US" w:bidi="ar-SA"/>
        </w:rPr>
      </w:pPr>
      <w:r>
        <w:rPr>
          <w:rFonts w:eastAsia="Arial" w:cs="Arial" w:ascii="Arial" w:hAnsi="Arial"/>
          <w:i/>
          <w:iCs/>
          <w:sz w:val="19"/>
          <w:szCs w:val="19"/>
          <w:lang w:val="ca-ES-valencia" w:eastAsia="en-US" w:bidi="ar-SA"/>
        </w:rPr>
      </w:r>
    </w:p>
    <w:p>
      <w:pPr>
        <w:pStyle w:val="Normal"/>
        <w:widowControl/>
        <w:shd w:val="clear" w:fill="FFFFFF"/>
        <w:jc w:val="both"/>
        <w:rPr>
          <w:rFonts w:ascii="Arial" w:hAnsi="Arial" w:eastAsia="Arial" w:cs="Arial"/>
          <w:i/>
          <w:i/>
          <w:iCs/>
          <w:color w:val="000000"/>
          <w:position w:val="0"/>
          <w:sz w:val="19"/>
          <w:sz w:val="19"/>
          <w:szCs w:val="19"/>
          <w:vertAlign w:val="baseline"/>
          <w:lang w:val="ca-ES-valencia" w:eastAsia="en-US" w:bidi="ar-SA"/>
        </w:rPr>
      </w:pPr>
      <w:r>
        <w:rPr>
          <w:rFonts w:eastAsia="Arial" w:cs="Arial" w:ascii="Arial" w:hAnsi="Arial"/>
          <w:i/>
          <w:iCs/>
          <w:color w:val="000000"/>
          <w:position w:val="0"/>
          <w:sz w:val="19"/>
          <w:sz w:val="19"/>
          <w:szCs w:val="19"/>
          <w:vertAlign w:val="baseline"/>
          <w:lang w:val="ca-ES-valencia" w:eastAsia="en-US" w:bidi="ar-SA"/>
        </w:rPr>
      </w:r>
    </w:p>
    <w:p>
      <w:pPr>
        <w:pStyle w:val="Normal"/>
        <w:widowControl/>
        <w:shd w:val="clear" w:fill="FFFFFF"/>
        <w:ind w:left="720" w:hanging="1"/>
        <w:jc w:val="both"/>
        <w:rPr>
          <w:i/>
          <w:i/>
          <w:iCs/>
          <w:sz w:val="19"/>
          <w:szCs w:val="19"/>
        </w:rPr>
      </w:pPr>
      <w:r>
        <w:rPr>
          <w:rFonts w:eastAsia="Arial" w:cs="Arial" w:ascii="Arial" w:hAnsi="Arial"/>
          <w:i/>
          <w:iCs/>
          <w:color w:val="000000"/>
          <w:position w:val="0"/>
          <w:sz w:val="19"/>
          <w:sz w:val="19"/>
          <w:szCs w:val="19"/>
          <w:vertAlign w:val="baseline"/>
          <w:lang w:val="ca-ES-valencia" w:eastAsia="en-US" w:bidi="ar-SA"/>
        </w:rPr>
        <w:t>Atendido el informe técnico obrante al expediente, emitido por la Asesora Jurídica de Servicios Sociales de fecha 02 de mayo de 2022.</w:t>
      </w:r>
    </w:p>
    <w:p>
      <w:pPr>
        <w:pStyle w:val="LOnormal"/>
        <w:widowControl/>
        <w:shd w:val="clear" w:fill="FFFFFF"/>
        <w:ind w:left="720" w:hanging="0"/>
        <w:jc w:val="both"/>
        <w:rPr>
          <w:rFonts w:ascii="Arial" w:hAnsi="Arial" w:eastAsia="Arial" w:cs="Arial"/>
          <w:i/>
          <w:i/>
          <w:iCs/>
          <w:color w:val="000000"/>
          <w:position w:val="0"/>
          <w:sz w:val="19"/>
          <w:sz w:val="19"/>
          <w:szCs w:val="19"/>
          <w:vertAlign w:val="baseline"/>
          <w:lang w:val="ca-ES-valencia" w:eastAsia="en-US" w:bidi="ar-SA"/>
        </w:rPr>
      </w:pPr>
      <w:r>
        <w:rPr>
          <w:rFonts w:eastAsia="Arial" w:cs="Arial" w:ascii="Arial" w:hAnsi="Arial"/>
          <w:i/>
          <w:iCs/>
          <w:color w:val="000000"/>
          <w:position w:val="0"/>
          <w:sz w:val="19"/>
          <w:sz w:val="19"/>
          <w:szCs w:val="19"/>
          <w:vertAlign w:val="baseline"/>
          <w:lang w:val="ca-ES-valencia" w:eastAsia="en-US" w:bidi="ar-SA"/>
        </w:rPr>
      </w:r>
    </w:p>
    <w:p>
      <w:pPr>
        <w:pStyle w:val="Normal"/>
        <w:widowControl/>
        <w:shd w:val="clear" w:fill="FFFFFF"/>
        <w:ind w:left="720" w:hanging="1"/>
        <w:jc w:val="both"/>
        <w:rPr>
          <w:rFonts w:ascii="Arial" w:hAnsi="Arial" w:eastAsia="Arial" w:cs="Arial"/>
          <w:i/>
          <w:i/>
          <w:iCs/>
          <w:color w:val="000000"/>
          <w:position w:val="0"/>
          <w:sz w:val="19"/>
          <w:sz w:val="19"/>
          <w:szCs w:val="19"/>
          <w:vertAlign w:val="baseline"/>
          <w:lang w:val="ca-ES-valencia" w:eastAsia="en-US" w:bidi="ar-SA"/>
        </w:rPr>
      </w:pPr>
      <w:r>
        <w:rPr>
          <w:rFonts w:eastAsia="Arial" w:cs="Arial" w:ascii="Arial" w:hAnsi="Arial"/>
          <w:i/>
          <w:iCs/>
          <w:color w:val="000000"/>
          <w:position w:val="0"/>
          <w:sz w:val="19"/>
          <w:sz w:val="19"/>
          <w:szCs w:val="19"/>
          <w:vertAlign w:val="baseline"/>
          <w:lang w:val="ca-ES-valencia" w:eastAsia="en-US" w:bidi="ar-SA"/>
        </w:rPr>
      </w:r>
    </w:p>
    <w:p>
      <w:pPr>
        <w:pStyle w:val="LOnormal"/>
        <w:widowControl/>
        <w:shd w:val="clear" w:fill="FFFFFF"/>
        <w:ind w:left="720" w:hanging="0"/>
        <w:jc w:val="both"/>
        <w:rPr>
          <w:i/>
          <w:i/>
          <w:iCs/>
          <w:sz w:val="19"/>
          <w:szCs w:val="19"/>
        </w:rPr>
      </w:pPr>
      <w:r>
        <w:rPr>
          <w:rFonts w:eastAsia="Arial" w:cs="Arial" w:ascii="Arial" w:hAnsi="Arial"/>
          <w:i/>
          <w:iCs/>
          <w:color w:val="000000"/>
          <w:position w:val="0"/>
          <w:sz w:val="19"/>
          <w:sz w:val="19"/>
          <w:szCs w:val="19"/>
          <w:vertAlign w:val="baseline"/>
          <w:lang w:val="ca-ES-valencia" w:eastAsia="en-US" w:bidi="ar-SA"/>
        </w:rPr>
        <w:t xml:space="preserve">Resultando la existencia de crédito suficiente y adecuado, atendido el certificado de intervención de esta administración local. </w:t>
      </w:r>
    </w:p>
    <w:p>
      <w:pPr>
        <w:pStyle w:val="LOnormal"/>
        <w:widowControl/>
        <w:shd w:val="clear" w:fill="FFFFFF"/>
        <w:ind w:left="720" w:hanging="0"/>
        <w:jc w:val="both"/>
        <w:rPr>
          <w:rFonts w:ascii="Arial" w:hAnsi="Arial" w:eastAsia="Arial" w:cs="Arial"/>
          <w:i/>
          <w:i/>
          <w:iCs/>
          <w:color w:val="000000"/>
          <w:position w:val="0"/>
          <w:sz w:val="19"/>
          <w:sz w:val="19"/>
          <w:szCs w:val="19"/>
          <w:vertAlign w:val="baseline"/>
          <w:lang w:val="ca-ES-valencia" w:eastAsia="en-US" w:bidi="ar-SA"/>
        </w:rPr>
      </w:pPr>
      <w:r>
        <w:rPr>
          <w:rFonts w:eastAsia="Arial" w:cs="Arial" w:ascii="Arial" w:hAnsi="Arial"/>
          <w:i/>
          <w:iCs/>
          <w:color w:val="000000"/>
          <w:position w:val="0"/>
          <w:sz w:val="19"/>
          <w:sz w:val="19"/>
          <w:szCs w:val="19"/>
          <w:vertAlign w:val="baseline"/>
          <w:lang w:val="ca-ES-valencia" w:eastAsia="en-US" w:bidi="ar-SA"/>
        </w:rPr>
      </w:r>
    </w:p>
    <w:p>
      <w:pPr>
        <w:pStyle w:val="LOnormal"/>
        <w:widowControl/>
        <w:shd w:val="clear" w:fill="FFFFFF"/>
        <w:ind w:left="720" w:hanging="0"/>
        <w:jc w:val="both"/>
        <w:rPr>
          <w:rFonts w:ascii="Arial" w:hAnsi="Arial" w:eastAsia="Arial" w:cs="Arial"/>
          <w:i/>
          <w:i/>
          <w:iCs/>
          <w:color w:val="000000"/>
          <w:position w:val="0"/>
          <w:sz w:val="19"/>
          <w:sz w:val="19"/>
          <w:szCs w:val="19"/>
          <w:vertAlign w:val="baseline"/>
          <w:lang w:val="ca-ES-valencia" w:eastAsia="en-US" w:bidi="ar-SA"/>
        </w:rPr>
      </w:pPr>
      <w:r>
        <w:rPr>
          <w:rFonts w:eastAsia="Arial" w:cs="Arial" w:ascii="Arial" w:hAnsi="Arial"/>
          <w:i/>
          <w:iCs/>
          <w:color w:val="000000"/>
          <w:position w:val="0"/>
          <w:sz w:val="19"/>
          <w:sz w:val="19"/>
          <w:szCs w:val="19"/>
          <w:vertAlign w:val="baseline"/>
          <w:lang w:val="ca-ES-valencia" w:eastAsia="en-US" w:bidi="ar-SA"/>
        </w:rPr>
      </w:r>
    </w:p>
    <w:p>
      <w:pPr>
        <w:pStyle w:val="LOnormal"/>
        <w:widowControl/>
        <w:shd w:val="clear" w:fill="FFFFFF"/>
        <w:ind w:left="720" w:hanging="0"/>
        <w:jc w:val="both"/>
        <w:rPr>
          <w:i/>
          <w:i/>
          <w:iCs/>
          <w:sz w:val="19"/>
          <w:szCs w:val="19"/>
        </w:rPr>
      </w:pPr>
      <w:r>
        <w:rPr>
          <w:rFonts w:eastAsia="Arial" w:cs="Arial" w:ascii="Arial" w:hAnsi="Arial"/>
          <w:i/>
          <w:iCs/>
          <w:color w:val="000000"/>
          <w:position w:val="0"/>
          <w:sz w:val="19"/>
          <w:sz w:val="19"/>
          <w:szCs w:val="19"/>
          <w:vertAlign w:val="baseline"/>
          <w:lang w:val="ca-ES-valencia" w:eastAsia="en-US" w:bidi="ar-SA"/>
        </w:rPr>
        <w:t>Atendido el informe favorable de Fiscalización Previa por parte del departamento de intervención, de fecha 02 de mayo de 2022.</w:t>
      </w:r>
    </w:p>
    <w:p>
      <w:pPr>
        <w:pStyle w:val="LOnormal"/>
        <w:widowControl/>
        <w:shd w:val="clear" w:fill="FFFFFF"/>
        <w:ind w:left="720" w:hanging="0"/>
        <w:jc w:val="both"/>
        <w:rPr>
          <w:rFonts w:ascii="Arial" w:hAnsi="Arial" w:eastAsia="Arial" w:cs="Arial"/>
          <w:i/>
          <w:i/>
          <w:iCs/>
          <w:color w:val="000000"/>
          <w:position w:val="0"/>
          <w:sz w:val="19"/>
          <w:sz w:val="19"/>
          <w:szCs w:val="19"/>
          <w:vertAlign w:val="baseline"/>
          <w:lang w:val="ca-ES-valencia" w:eastAsia="en-US" w:bidi="ar-SA"/>
        </w:rPr>
      </w:pPr>
      <w:r>
        <w:rPr>
          <w:rFonts w:eastAsia="Arial" w:cs="Arial" w:ascii="Arial" w:hAnsi="Arial"/>
          <w:i/>
          <w:iCs/>
          <w:color w:val="000000"/>
          <w:position w:val="0"/>
          <w:sz w:val="19"/>
          <w:sz w:val="19"/>
          <w:szCs w:val="19"/>
          <w:vertAlign w:val="baseline"/>
          <w:lang w:val="ca-ES-valencia" w:eastAsia="en-US" w:bidi="ar-SA"/>
        </w:rPr>
      </w:r>
    </w:p>
    <w:p>
      <w:pPr>
        <w:pStyle w:val="LOnormal"/>
        <w:widowControl/>
        <w:shd w:val="clear" w:fill="FFFFFF"/>
        <w:ind w:left="720" w:hanging="0"/>
        <w:jc w:val="both"/>
        <w:rPr>
          <w:rFonts w:ascii="Arial" w:hAnsi="Arial" w:eastAsia="Times" w:cs="Times"/>
          <w:i/>
          <w:i/>
          <w:iCs/>
          <w:position w:val="0"/>
          <w:sz w:val="19"/>
          <w:sz w:val="19"/>
          <w:szCs w:val="19"/>
          <w:vertAlign w:val="baseline"/>
          <w:lang w:val="ca-ES-valencia" w:eastAsia="en-US" w:bidi="ar-SA"/>
        </w:rPr>
      </w:pPr>
      <w:r>
        <w:rPr>
          <w:rFonts w:eastAsia="Times" w:cs="Times" w:ascii="Arial" w:hAnsi="Arial"/>
          <w:i/>
          <w:iCs/>
          <w:position w:val="0"/>
          <w:sz w:val="19"/>
          <w:sz w:val="19"/>
          <w:szCs w:val="19"/>
          <w:vertAlign w:val="baseline"/>
          <w:lang w:val="ca-ES-valencia" w:eastAsia="en-US" w:bidi="ar-SA"/>
        </w:rPr>
      </w:r>
    </w:p>
    <w:p>
      <w:pPr>
        <w:pStyle w:val="Normal"/>
        <w:widowControl/>
        <w:shd w:val="clear" w:fill="FFFFFF"/>
        <w:ind w:left="720" w:hanging="1"/>
        <w:jc w:val="both"/>
        <w:rPr>
          <w:i/>
          <w:i/>
          <w:iCs/>
          <w:sz w:val="19"/>
          <w:szCs w:val="19"/>
        </w:rPr>
      </w:pPr>
      <w:r>
        <w:rPr>
          <w:rFonts w:eastAsia="Arial" w:cs="Arial" w:ascii="Arial" w:hAnsi="Arial"/>
          <w:i/>
          <w:iCs/>
          <w:color w:val="000000"/>
          <w:position w:val="0"/>
          <w:sz w:val="19"/>
          <w:sz w:val="19"/>
          <w:szCs w:val="19"/>
          <w:vertAlign w:val="baseline"/>
          <w:lang w:val="ca-ES-valencia" w:eastAsia="en-US" w:bidi="ar-SA"/>
        </w:rPr>
        <w:t>Considerando que</w:t>
      </w:r>
      <w:r>
        <w:rPr>
          <w:rFonts w:eastAsia="Arial" w:cs="Arial" w:ascii="Arial" w:hAnsi="Arial"/>
          <w:i/>
          <w:iCs/>
          <w:color w:val="000000"/>
          <w:sz w:val="19"/>
          <w:szCs w:val="19"/>
          <w:lang w:val="ca-ES-valencia" w:eastAsia="en-US" w:bidi="ar-SA"/>
        </w:rPr>
        <w:t xml:space="preserve"> en cuanto a la competencia para aprobar la convocatoria de estas ayudas, la competencia está delegada en el Regidor de Servicios Sociales, por el Decreto de delegación 2022-0161 de fecha 21 de enero de 2022, al tratarse de un acto administrativo con eficacia frente a terceros en una materia relativa en su área.</w:t>
      </w:r>
    </w:p>
    <w:p>
      <w:pPr>
        <w:pStyle w:val="LOnormal"/>
        <w:widowControl/>
        <w:shd w:val="clear" w:fill="FFFFFF"/>
        <w:ind w:left="720" w:hanging="0"/>
        <w:jc w:val="both"/>
        <w:rPr>
          <w:rFonts w:ascii="Arial" w:hAnsi="Arial" w:eastAsia="Arial" w:cs="Arial"/>
          <w:i/>
          <w:i/>
          <w:iCs/>
          <w:color w:val="000000"/>
          <w:sz w:val="19"/>
          <w:szCs w:val="19"/>
          <w:lang w:val="ca-ES-valencia" w:eastAsia="en-US" w:bidi="ar-SA"/>
        </w:rPr>
      </w:pPr>
      <w:r>
        <w:rPr>
          <w:rFonts w:eastAsia="Arial" w:cs="Arial" w:ascii="Arial" w:hAnsi="Arial"/>
          <w:i/>
          <w:iCs/>
          <w:color w:val="000000"/>
          <w:sz w:val="19"/>
          <w:szCs w:val="19"/>
          <w:lang w:val="ca-ES-valencia" w:eastAsia="en-US" w:bidi="ar-SA"/>
        </w:rPr>
      </w:r>
    </w:p>
    <w:p>
      <w:pPr>
        <w:pStyle w:val="Normal"/>
        <w:widowControl/>
        <w:ind w:left="720" w:hanging="1"/>
        <w:jc w:val="both"/>
        <w:rPr>
          <w:rFonts w:ascii="Arial" w:hAnsi="Arial" w:eastAsia="Arial" w:cs="Arial"/>
          <w:i/>
          <w:i/>
          <w:iCs/>
          <w:color w:val="00000A"/>
          <w:position w:val="0"/>
          <w:sz w:val="19"/>
          <w:sz w:val="19"/>
          <w:szCs w:val="19"/>
          <w:vertAlign w:val="baseline"/>
          <w:lang w:val="ca-ES-valencia" w:eastAsia="en-US" w:bidi="ar-SA"/>
        </w:rPr>
      </w:pPr>
      <w:r>
        <w:rPr>
          <w:rFonts w:eastAsia="Arial" w:cs="Arial" w:ascii="Arial" w:hAnsi="Arial"/>
          <w:i/>
          <w:iCs/>
          <w:color w:val="00000A"/>
          <w:position w:val="0"/>
          <w:sz w:val="19"/>
          <w:sz w:val="19"/>
          <w:szCs w:val="19"/>
          <w:vertAlign w:val="baseline"/>
          <w:lang w:val="ca-ES-valencia" w:eastAsia="en-US" w:bidi="ar-SA"/>
        </w:rPr>
      </w:r>
    </w:p>
    <w:p>
      <w:pPr>
        <w:pStyle w:val="Normal"/>
        <w:widowControl/>
        <w:ind w:left="720" w:hanging="1"/>
        <w:jc w:val="both"/>
        <w:rPr>
          <w:i/>
          <w:i/>
          <w:iCs/>
          <w:sz w:val="19"/>
          <w:szCs w:val="19"/>
        </w:rPr>
      </w:pPr>
      <w:r>
        <w:rPr>
          <w:rFonts w:eastAsia="Arial" w:cs="Arial" w:ascii="Arial" w:hAnsi="Arial"/>
          <w:i/>
          <w:iCs/>
          <w:color w:val="00000A"/>
          <w:position w:val="0"/>
          <w:sz w:val="19"/>
          <w:sz w:val="19"/>
          <w:szCs w:val="19"/>
          <w:vertAlign w:val="baseline"/>
          <w:lang w:val="ca-ES-valencia" w:eastAsia="en-US" w:bidi="ar-SA"/>
        </w:rPr>
        <w:t xml:space="preserve">Por todo el expuesto y en uso de las facultades conferidas por la legislación de régimen local y fundamentalmente por el decreto de delegación n.º 2022-0161 de fecha 21 de enero de 2022, </w:t>
      </w:r>
    </w:p>
    <w:p>
      <w:pPr>
        <w:pStyle w:val="LOnormal"/>
        <w:widowControl/>
        <w:ind w:left="720" w:hanging="0"/>
        <w:jc w:val="both"/>
        <w:rPr>
          <w:rFonts w:ascii="Arial" w:hAnsi="Arial" w:eastAsia="Arial" w:cs="Arial"/>
          <w:i/>
          <w:i/>
          <w:iCs/>
          <w:color w:val="00000A"/>
          <w:position w:val="0"/>
          <w:sz w:val="19"/>
          <w:sz w:val="19"/>
          <w:szCs w:val="19"/>
          <w:vertAlign w:val="baseline"/>
          <w:lang w:val="ca-ES-valencia" w:eastAsia="en-US" w:bidi="ar-SA"/>
        </w:rPr>
      </w:pPr>
      <w:r>
        <w:rPr>
          <w:rFonts w:eastAsia="Arial" w:cs="Arial" w:ascii="Arial" w:hAnsi="Arial"/>
          <w:i/>
          <w:iCs/>
          <w:color w:val="00000A"/>
          <w:position w:val="0"/>
          <w:sz w:val="19"/>
          <w:sz w:val="19"/>
          <w:szCs w:val="19"/>
          <w:vertAlign w:val="baseline"/>
          <w:lang w:val="ca-ES-valencia" w:eastAsia="en-US" w:bidi="ar-SA"/>
        </w:rPr>
      </w:r>
    </w:p>
    <w:p>
      <w:pPr>
        <w:pStyle w:val="Normal"/>
        <w:widowControl/>
        <w:ind w:left="720" w:hanging="1"/>
        <w:jc w:val="both"/>
        <w:rPr>
          <w:rFonts w:ascii="Arial" w:hAnsi="Arial" w:eastAsia="Arial" w:cs="Arial"/>
          <w:b/>
          <w:b/>
          <w:i/>
          <w:i/>
          <w:iCs/>
          <w:color w:val="00000A"/>
          <w:position w:val="0"/>
          <w:sz w:val="19"/>
          <w:sz w:val="19"/>
          <w:szCs w:val="19"/>
          <w:vertAlign w:val="baseline"/>
          <w:lang w:eastAsia="en-US" w:bidi="ar-SA"/>
        </w:rPr>
      </w:pPr>
      <w:r>
        <w:rPr>
          <w:rFonts w:eastAsia="Arial" w:cs="Arial" w:ascii="Arial" w:hAnsi="Arial"/>
          <w:b/>
          <w:i/>
          <w:iCs/>
          <w:color w:val="00000A"/>
          <w:position w:val="0"/>
          <w:sz w:val="19"/>
          <w:sz w:val="19"/>
          <w:szCs w:val="19"/>
          <w:vertAlign w:val="baseline"/>
          <w:lang w:eastAsia="en-US" w:bidi="ar-SA"/>
        </w:rPr>
      </w:r>
    </w:p>
    <w:p>
      <w:pPr>
        <w:pStyle w:val="Normal"/>
        <w:widowControl/>
        <w:ind w:left="720" w:hanging="1"/>
        <w:jc w:val="both"/>
        <w:rPr>
          <w:i/>
          <w:i/>
          <w:iCs/>
          <w:sz w:val="19"/>
          <w:szCs w:val="19"/>
        </w:rPr>
      </w:pPr>
      <w:r>
        <w:rPr>
          <w:rFonts w:eastAsia="Arial" w:cs="Arial" w:ascii="Arial" w:hAnsi="Arial"/>
          <w:b/>
          <w:i/>
          <w:iCs/>
          <w:color w:val="00000A"/>
          <w:position w:val="0"/>
          <w:sz w:val="19"/>
          <w:sz w:val="19"/>
          <w:szCs w:val="19"/>
          <w:vertAlign w:val="baseline"/>
          <w:lang w:val="ca-ES-valencia" w:eastAsia="en-US" w:bidi="ar-SA"/>
        </w:rPr>
        <w:t>RESUELVO</w:t>
      </w:r>
      <w:r>
        <w:rPr>
          <w:rFonts w:eastAsia="Arial" w:cs="Arial" w:ascii="Arial" w:hAnsi="Arial"/>
          <w:i/>
          <w:iCs/>
          <w:color w:val="00000A"/>
          <w:position w:val="0"/>
          <w:sz w:val="19"/>
          <w:sz w:val="19"/>
          <w:szCs w:val="19"/>
          <w:vertAlign w:val="baseline"/>
          <w:lang w:val="ca-ES-valencia" w:eastAsia="en-US" w:bidi="ar-SA"/>
        </w:rPr>
        <w:t>:</w:t>
      </w:r>
    </w:p>
    <w:p>
      <w:pPr>
        <w:pStyle w:val="Normal"/>
        <w:widowControl/>
        <w:ind w:left="720" w:hanging="1"/>
        <w:jc w:val="both"/>
        <w:rPr>
          <w:rFonts w:ascii="Arial" w:hAnsi="Arial" w:eastAsia="Arial" w:cs="Arial"/>
          <w:i/>
          <w:i/>
          <w:iCs/>
          <w:color w:val="00000A"/>
          <w:sz w:val="19"/>
          <w:szCs w:val="19"/>
          <w:lang w:val="ca-ES-valencia" w:eastAsia="en-US" w:bidi="ar-SA"/>
        </w:rPr>
      </w:pPr>
      <w:r>
        <w:rPr>
          <w:rFonts w:eastAsia="Arial" w:cs="Arial" w:ascii="Arial" w:hAnsi="Arial"/>
          <w:i/>
          <w:iCs/>
          <w:color w:val="00000A"/>
          <w:sz w:val="19"/>
          <w:szCs w:val="19"/>
          <w:lang w:val="ca-ES-valencia" w:eastAsia="en-US" w:bidi="ar-SA"/>
        </w:rPr>
      </w:r>
    </w:p>
    <w:p>
      <w:pPr>
        <w:pStyle w:val="Normal"/>
        <w:tabs>
          <w:tab w:val="clear" w:pos="720"/>
          <w:tab w:val="left" w:pos="284" w:leader="none"/>
        </w:tabs>
        <w:spacing w:lineRule="auto" w:line="276"/>
        <w:ind w:left="720" w:hanging="1"/>
        <w:jc w:val="both"/>
        <w:rPr>
          <w:i/>
          <w:i/>
          <w:iCs/>
          <w:sz w:val="19"/>
          <w:szCs w:val="19"/>
        </w:rPr>
      </w:pPr>
      <w:r>
        <w:rPr>
          <w:rFonts w:eastAsia="Arial" w:cs="Arial" w:ascii="Arial" w:hAnsi="Arial"/>
          <w:b/>
          <w:i/>
          <w:iCs/>
          <w:sz w:val="19"/>
          <w:szCs w:val="19"/>
          <w:lang w:val="ca-ES-valencia" w:eastAsia="en-US" w:bidi="ar-SA"/>
        </w:rPr>
        <w:t>PRIMERO.- Aprobar la convocatoria de las prestaciones económicas individualizadas de emergencia social y mejora de l´autonomía de las personas mayores</w:t>
      </w:r>
      <w:r>
        <w:rPr>
          <w:rFonts w:eastAsia="Arial" w:cs="Arial" w:ascii="Arial" w:hAnsi="Arial"/>
          <w:i/>
          <w:iCs/>
          <w:sz w:val="19"/>
          <w:szCs w:val="19"/>
          <w:lang w:val="ca-ES-valencia" w:eastAsia="en-US" w:bidi="ar-SA"/>
        </w:rPr>
        <w:t>, que se tramitan y gestionan por los servicios sociales del Ayuntamiento de Carlet para el año 2022.</w:t>
      </w:r>
    </w:p>
    <w:p>
      <w:pPr>
        <w:pStyle w:val="Normal"/>
        <w:tabs>
          <w:tab w:val="clear" w:pos="720"/>
          <w:tab w:val="left" w:pos="284" w:leader="none"/>
        </w:tabs>
        <w:spacing w:lineRule="auto" w:line="276"/>
        <w:ind w:left="720" w:hanging="1"/>
        <w:jc w:val="both"/>
        <w:rPr>
          <w:rFonts w:ascii="Arial" w:hAnsi="Arial" w:eastAsia="Arial" w:cs="Arial"/>
          <w:i/>
          <w:i/>
          <w:iCs/>
          <w:sz w:val="19"/>
          <w:szCs w:val="19"/>
          <w:lang w:val="ca-ES-valencia" w:eastAsia="en-US" w:bidi="ar-SA"/>
        </w:rPr>
      </w:pPr>
      <w:r>
        <w:rPr>
          <w:rFonts w:eastAsia="Arial" w:cs="Arial" w:ascii="Arial" w:hAnsi="Arial"/>
          <w:i/>
          <w:iCs/>
          <w:sz w:val="19"/>
          <w:szCs w:val="19"/>
          <w:lang w:val="ca-ES-valencia" w:eastAsia="en-US" w:bidi="ar-SA"/>
        </w:rPr>
      </w:r>
    </w:p>
    <w:p>
      <w:pPr>
        <w:pStyle w:val="Normal"/>
        <w:tabs>
          <w:tab w:val="clear" w:pos="720"/>
          <w:tab w:val="left" w:pos="284" w:leader="none"/>
        </w:tabs>
        <w:spacing w:lineRule="auto" w:line="276"/>
        <w:ind w:left="720" w:hanging="1"/>
        <w:jc w:val="both"/>
        <w:rPr>
          <w:i/>
          <w:i/>
          <w:iCs/>
          <w:sz w:val="19"/>
          <w:szCs w:val="19"/>
        </w:rPr>
      </w:pPr>
      <w:r>
        <w:rPr>
          <w:rFonts w:eastAsia="Arial" w:cs="Arial" w:ascii="Arial" w:hAnsi="Arial"/>
          <w:b/>
          <w:i/>
          <w:iCs/>
          <w:sz w:val="19"/>
          <w:szCs w:val="19"/>
          <w:lang w:val="ca-ES-valencia" w:eastAsia="en-US" w:bidi="ar-SA"/>
        </w:rPr>
        <w:t>SEGUNDO.-</w:t>
      </w:r>
      <w:r>
        <w:rPr>
          <w:rFonts w:eastAsia="Arial" w:cs="Arial" w:ascii="Arial" w:hAnsi="Arial"/>
          <w:i/>
          <w:iCs/>
          <w:sz w:val="19"/>
          <w:szCs w:val="19"/>
          <w:lang w:val="ca-ES-valencia" w:eastAsia="en-US" w:bidi="ar-SA"/>
        </w:rPr>
        <w:t xml:space="preserve"> </w:t>
      </w:r>
      <w:r>
        <w:rPr>
          <w:rFonts w:eastAsia="Arial" w:cs="Arial" w:ascii="Arial" w:hAnsi="Arial"/>
          <w:b/>
          <w:i/>
          <w:iCs/>
          <w:sz w:val="19"/>
          <w:szCs w:val="19"/>
          <w:lang w:val="ca-ES-valencia" w:eastAsia="en-US" w:bidi="ar-SA"/>
        </w:rPr>
        <w:t>Que se publique la convocatoria</w:t>
      </w:r>
      <w:r>
        <w:rPr>
          <w:rFonts w:eastAsia="Arial" w:cs="Arial" w:ascii="Arial" w:hAnsi="Arial"/>
          <w:i/>
          <w:iCs/>
          <w:sz w:val="19"/>
          <w:szCs w:val="19"/>
          <w:lang w:val="ca-ES-valencia" w:eastAsia="en-US" w:bidi="ar-SA"/>
        </w:rPr>
        <w:t xml:space="preserve"> de estas prestaciones económicas a la Base de datos Nacional de subvenciones, y a través de esta de una extracto en el BOP de València.</w:t>
      </w:r>
    </w:p>
    <w:p>
      <w:pPr>
        <w:pStyle w:val="Normal"/>
        <w:tabs>
          <w:tab w:val="clear" w:pos="720"/>
          <w:tab w:val="left" w:pos="284" w:leader="none"/>
        </w:tabs>
        <w:spacing w:lineRule="auto" w:line="276"/>
        <w:ind w:left="720" w:hanging="1"/>
        <w:jc w:val="both"/>
        <w:rPr>
          <w:rFonts w:ascii="Arial" w:hAnsi="Arial" w:eastAsia="Arial" w:cs="Arial"/>
          <w:i/>
          <w:i/>
          <w:iCs/>
          <w:sz w:val="19"/>
          <w:szCs w:val="19"/>
          <w:lang w:val="ca-ES-valencia" w:eastAsia="en-US" w:bidi="ar-SA"/>
        </w:rPr>
      </w:pPr>
      <w:r>
        <w:rPr>
          <w:rFonts w:eastAsia="Arial" w:cs="Arial" w:ascii="Arial" w:hAnsi="Arial"/>
          <w:i/>
          <w:iCs/>
          <w:sz w:val="19"/>
          <w:szCs w:val="19"/>
          <w:lang w:val="ca-ES-valencia" w:eastAsia="en-US" w:bidi="ar-SA"/>
        </w:rPr>
      </w:r>
    </w:p>
    <w:p>
      <w:pPr>
        <w:pStyle w:val="Normal"/>
        <w:tabs>
          <w:tab w:val="clear" w:pos="720"/>
          <w:tab w:val="left" w:pos="284" w:leader="none"/>
        </w:tabs>
        <w:spacing w:lineRule="auto" w:line="276"/>
        <w:ind w:left="720" w:hanging="1"/>
        <w:jc w:val="both"/>
        <w:rPr>
          <w:rFonts w:ascii="Arial" w:hAnsi="Arial"/>
          <w:sz w:val="19"/>
          <w:szCs w:val="19"/>
        </w:rPr>
      </w:pPr>
      <w:r>
        <w:rPr>
          <w:rFonts w:eastAsia="Arial" w:cs="Arial" w:ascii="Arial" w:hAnsi="Arial"/>
          <w:b/>
          <w:i/>
          <w:iCs/>
          <w:sz w:val="19"/>
          <w:szCs w:val="19"/>
          <w:lang w:val="ca-ES-valencia" w:eastAsia="en-US" w:bidi="ar-SA"/>
        </w:rPr>
        <w:t xml:space="preserve">TERCERO.- Que se autorice el gasto </w:t>
      </w:r>
      <w:r>
        <w:rPr>
          <w:rFonts w:eastAsia="Arial" w:cs="Arial" w:ascii="Arial" w:hAnsi="Arial"/>
          <w:i/>
          <w:iCs/>
          <w:sz w:val="19"/>
          <w:szCs w:val="19"/>
          <w:lang w:val="ca-ES-valencia" w:eastAsia="en-US" w:bidi="ar-SA"/>
        </w:rPr>
        <w:t xml:space="preserve">de un importe de </w:t>
      </w:r>
      <w:r>
        <w:rPr>
          <w:rFonts w:eastAsia="Arial" w:cs="Arial" w:ascii="Arial" w:hAnsi="Arial"/>
          <w:b/>
          <w:bCs/>
          <w:i/>
          <w:iCs/>
          <w:sz w:val="19"/>
          <w:szCs w:val="19"/>
          <w:lang w:val="ca-ES-valencia" w:eastAsia="en-US" w:bidi="ar-SA"/>
        </w:rPr>
        <w:t>55.937,24</w:t>
      </w:r>
      <w:r>
        <w:rPr>
          <w:rFonts w:eastAsia="Arial" w:cs="Arial" w:ascii="Arial" w:hAnsi="Arial"/>
          <w:i/>
          <w:iCs/>
          <w:sz w:val="19"/>
          <w:szCs w:val="19"/>
          <w:lang w:val="ca-ES-valencia" w:eastAsia="en-US" w:bidi="ar-SA"/>
        </w:rPr>
        <w:t xml:space="preserve"> </w:t>
      </w:r>
      <w:r>
        <w:rPr>
          <w:rFonts w:eastAsia="Arial" w:cs="Arial" w:ascii="Arial" w:hAnsi="Arial"/>
          <w:b/>
          <w:bCs/>
          <w:i/>
          <w:iCs/>
          <w:sz w:val="19"/>
          <w:szCs w:val="19"/>
          <w:lang w:val="ca-ES-valencia" w:eastAsia="en-US" w:bidi="ar-SA"/>
        </w:rPr>
        <w:t xml:space="preserve"> </w:t>
      </w:r>
      <w:r>
        <w:rPr>
          <w:rFonts w:eastAsia="Arial" w:cs="Arial" w:ascii="Arial" w:hAnsi="Arial"/>
          <w:b/>
          <w:i/>
          <w:iCs/>
          <w:sz w:val="19"/>
          <w:szCs w:val="19"/>
          <w:lang w:val="ca-ES-valencia" w:eastAsia="en-US" w:bidi="ar-SA"/>
        </w:rPr>
        <w:t>€</w:t>
      </w:r>
      <w:r>
        <w:rPr>
          <w:rFonts w:eastAsia="Arial" w:cs="Arial" w:ascii="Arial" w:hAnsi="Arial"/>
          <w:i/>
          <w:iCs/>
          <w:sz w:val="19"/>
          <w:szCs w:val="19"/>
          <w:lang w:val="ca-ES-valencia" w:eastAsia="en-US" w:bidi="ar-SA"/>
        </w:rPr>
        <w:t xml:space="preserve"> con cargo a la partida presupuestaria núm 23148099 de los presupuestos del año 2022, con la denominación ”Programa de emergencia social”.</w:t>
      </w:r>
    </w:p>
    <w:p>
      <w:pPr>
        <w:pStyle w:val="LOnormal"/>
        <w:tabs>
          <w:tab w:val="clear" w:pos="720"/>
          <w:tab w:val="left" w:pos="284" w:leader="none"/>
        </w:tabs>
        <w:spacing w:lineRule="auto" w:line="276"/>
        <w:ind w:left="720" w:hanging="0"/>
        <w:jc w:val="both"/>
        <w:rPr>
          <w:rFonts w:ascii="Arial" w:hAnsi="Arial" w:eastAsia="Arial" w:cs="Arial"/>
          <w:i/>
          <w:i/>
          <w:iCs/>
          <w:sz w:val="19"/>
          <w:szCs w:val="19"/>
          <w:lang w:val="ca-ES-valencia" w:eastAsia="en-US" w:bidi="ar-SA"/>
        </w:rPr>
      </w:pPr>
      <w:r>
        <w:rPr>
          <w:rFonts w:eastAsia="Arial" w:cs="Arial" w:ascii="Arial" w:hAnsi="Arial"/>
          <w:i/>
          <w:iCs/>
          <w:sz w:val="19"/>
          <w:szCs w:val="19"/>
          <w:lang w:val="ca-ES-valencia" w:eastAsia="en-US" w:bidi="ar-SA"/>
        </w:rPr>
      </w:r>
    </w:p>
    <w:p>
      <w:pPr>
        <w:pStyle w:val="Normal"/>
        <w:tabs>
          <w:tab w:val="clear" w:pos="720"/>
          <w:tab w:val="left" w:pos="284" w:leader="none"/>
        </w:tabs>
        <w:spacing w:lineRule="auto" w:line="276"/>
        <w:ind w:left="720" w:hanging="1"/>
        <w:jc w:val="both"/>
        <w:rPr>
          <w:rFonts w:ascii="Arial" w:hAnsi="Arial" w:eastAsia="Arial" w:cs="Arial"/>
          <w:i/>
          <w:i/>
          <w:iCs/>
          <w:color w:val="FF0000"/>
          <w:position w:val="0"/>
          <w:sz w:val="19"/>
          <w:sz w:val="19"/>
          <w:szCs w:val="19"/>
          <w:vertAlign w:val="baseline"/>
          <w:lang w:val="ca-ES-valencia" w:eastAsia="en-US" w:bidi="ar-SA"/>
        </w:rPr>
      </w:pPr>
      <w:r>
        <w:rPr>
          <w:rFonts w:eastAsia="Arial" w:cs="Arial" w:ascii="Arial" w:hAnsi="Arial"/>
          <w:i/>
          <w:iCs/>
          <w:color w:val="FF0000"/>
          <w:position w:val="0"/>
          <w:sz w:val="19"/>
          <w:sz w:val="19"/>
          <w:szCs w:val="19"/>
          <w:vertAlign w:val="baseline"/>
          <w:lang w:val="ca-ES-valencia" w:eastAsia="en-US" w:bidi="ar-SA"/>
        </w:rPr>
      </w:r>
    </w:p>
    <w:p>
      <w:pPr>
        <w:pStyle w:val="Normal"/>
        <w:widowControl/>
        <w:ind w:left="720" w:hanging="2"/>
        <w:jc w:val="both"/>
        <w:rPr>
          <w:rFonts w:ascii="Arial" w:hAnsi="Arial"/>
          <w:sz w:val="19"/>
          <w:szCs w:val="19"/>
        </w:rPr>
      </w:pPr>
      <w:r>
        <w:rPr>
          <w:rFonts w:eastAsia="Arial" w:cs="Arial" w:ascii="Arial" w:hAnsi="Arial"/>
          <w:i/>
          <w:iCs/>
          <w:sz w:val="19"/>
          <w:szCs w:val="19"/>
          <w:lang w:val="ca-ES-valencia" w:eastAsia="en-US" w:bidi="ar-SA"/>
        </w:rPr>
        <w:t>Así lo manda y firma el Regidor de Servicios Sociales, Bernat Nogués Soldado,</w:t>
      </w:r>
      <w:r>
        <w:rPr>
          <w:rFonts w:eastAsia="Arial" w:cs="Arial" w:ascii="Arial" w:hAnsi="Arial"/>
          <w:i/>
          <w:iCs/>
          <w:color w:val="FF0000"/>
          <w:sz w:val="19"/>
          <w:szCs w:val="19"/>
          <w:lang w:val="ca-ES-valencia" w:eastAsia="en-US" w:bidi="ar-SA"/>
        </w:rPr>
        <w:t xml:space="preserve"> </w:t>
      </w:r>
      <w:r>
        <w:rPr>
          <w:rFonts w:eastAsia="Arial" w:cs="Arial" w:ascii="Arial" w:hAnsi="Arial"/>
          <w:i/>
          <w:iCs/>
          <w:color w:val="000000"/>
          <w:sz w:val="19"/>
          <w:szCs w:val="19"/>
          <w:lang w:val="ca-ES-valencia" w:eastAsia="en-US" w:bidi="ar-SA"/>
        </w:rPr>
        <w:t>en virtud de delegación conferida por el Decreto de Alcaldía n.º 2022-0161 de fecha 21 de enero de 2022,</w:t>
      </w:r>
      <w:r>
        <w:rPr>
          <w:rFonts w:eastAsia="Arial" w:cs="Arial" w:ascii="Arial" w:hAnsi="Arial"/>
          <w:i/>
          <w:iCs/>
          <w:color w:val="FF0000"/>
          <w:sz w:val="19"/>
          <w:szCs w:val="19"/>
          <w:lang w:val="ca-ES-valencia" w:eastAsia="en-US" w:bidi="ar-SA"/>
        </w:rPr>
        <w:t xml:space="preserve"> </w:t>
      </w:r>
      <w:r>
        <w:rPr>
          <w:rFonts w:eastAsia="Arial" w:cs="Arial" w:ascii="Arial" w:hAnsi="Arial"/>
          <w:i/>
          <w:iCs/>
          <w:sz w:val="19"/>
          <w:szCs w:val="19"/>
          <w:lang w:val="ca-ES-valencia" w:eastAsia="en-US" w:bidi="ar-SA"/>
        </w:rPr>
        <w:t>de la cual cosa como secretaria</w:t>
      </w:r>
      <w:r>
        <w:rPr>
          <w:rFonts w:eastAsia="Arial" w:cs="Arial" w:ascii="Arial" w:hAnsi="Arial"/>
          <w:i/>
          <w:iCs/>
          <w:sz w:val="19"/>
          <w:szCs w:val="19"/>
          <w:shd w:fill="FDFDFD" w:val="clear"/>
          <w:lang w:val="ca-ES-valencia" w:eastAsia="en-US" w:bidi="ar-SA"/>
        </w:rPr>
        <w:t>, Yolanda Duart Rosa, doy fe a los efectos de transcribirla en el libro de resoluciones, en Carlet, a la fecha de la firma.</w:t>
      </w:r>
      <w:r>
        <w:rPr>
          <w:rFonts w:eastAsia="Times" w:cs="Times" w:ascii="Arial" w:hAnsi="Arial"/>
          <w:i/>
          <w:iCs/>
          <w:sz w:val="19"/>
          <w:szCs w:val="19"/>
          <w:lang w:val="es-ES" w:eastAsia="en-US" w:bidi="ar-SA"/>
        </w:rPr>
        <w:t>»</w:t>
      </w:r>
    </w:p>
    <w:p>
      <w:pPr>
        <w:pStyle w:val="Normal"/>
        <w:widowControl/>
        <w:ind w:left="0" w:hanging="2"/>
        <w:jc w:val="both"/>
        <w:rPr>
          <w:rFonts w:ascii="Arial" w:hAnsi="Arial" w:eastAsia="Times" w:cs="Times"/>
          <w:sz w:val="19"/>
          <w:szCs w:val="19"/>
          <w:lang w:val="ca-ES-valencia" w:eastAsia="en-US"/>
        </w:rPr>
      </w:pPr>
      <w:r>
        <w:rPr>
          <w:rFonts w:eastAsia="Times" w:cs="Times" w:ascii="Arial" w:hAnsi="Arial"/>
          <w:sz w:val="19"/>
          <w:szCs w:val="19"/>
          <w:lang w:val="ca-ES-valencia" w:eastAsia="en-US"/>
        </w:rPr>
      </w:r>
    </w:p>
    <w:p>
      <w:pPr>
        <w:pStyle w:val="Normal"/>
        <w:widowControl/>
        <w:ind w:left="0" w:hanging="2"/>
        <w:jc w:val="center"/>
        <w:rPr>
          <w:rFonts w:ascii="Arial" w:hAnsi="Arial"/>
          <w:sz w:val="19"/>
          <w:szCs w:val="19"/>
        </w:rPr>
      </w:pPr>
      <w:r>
        <w:rPr>
          <w:rFonts w:eastAsia="Times" w:cs="Times" w:ascii="Arial" w:hAnsi="Arial"/>
          <w:sz w:val="19"/>
          <w:szCs w:val="19"/>
          <w:lang w:val="es-ES" w:eastAsia="en-US" w:bidi="ar-SA"/>
        </w:rPr>
        <w:t>Carlet a la fecha de la firma</w:t>
      </w:r>
    </w:p>
    <w:p>
      <w:pPr>
        <w:pStyle w:val="Normal"/>
        <w:widowControl/>
        <w:ind w:left="0" w:hanging="2"/>
        <w:jc w:val="center"/>
        <w:rPr>
          <w:rFonts w:ascii="Arial" w:hAnsi="Arial" w:eastAsia="Times" w:cs="Times"/>
          <w:sz w:val="19"/>
          <w:szCs w:val="19"/>
          <w:lang w:val="es-ES" w:eastAsia="en-US" w:bidi="ar-SA"/>
        </w:rPr>
      </w:pPr>
      <w:r>
        <w:rPr>
          <w:rFonts w:eastAsia="Times" w:cs="Times" w:ascii="Arial" w:hAnsi="Arial"/>
          <w:sz w:val="19"/>
          <w:szCs w:val="19"/>
          <w:lang w:val="es-ES" w:eastAsia="en-US" w:bidi="ar-SA"/>
        </w:rPr>
      </w:r>
    </w:p>
    <w:p>
      <w:pPr>
        <w:pStyle w:val="Normal"/>
        <w:widowControl/>
        <w:ind w:left="0" w:hanging="2"/>
        <w:jc w:val="center"/>
        <w:rPr>
          <w:rFonts w:ascii="Arial" w:hAnsi="Arial"/>
          <w:sz w:val="19"/>
          <w:szCs w:val="19"/>
        </w:rPr>
      </w:pPr>
      <w:r>
        <w:rPr>
          <w:rFonts w:eastAsia="Times" w:cs="Times" w:ascii="Arial" w:hAnsi="Arial"/>
          <w:sz w:val="19"/>
          <w:szCs w:val="19"/>
          <w:lang w:val="es-ES" w:eastAsia="en-US" w:bidi="ar-SA"/>
        </w:rPr>
        <w:t>Dolores Inmaculada Navarro Lacuesta</w:t>
      </w:r>
    </w:p>
    <w:p>
      <w:pPr>
        <w:pStyle w:val="Normal"/>
        <w:widowControl/>
        <w:ind w:left="0" w:hanging="2"/>
        <w:jc w:val="center"/>
        <w:rPr>
          <w:rFonts w:ascii="Arial" w:hAnsi="Arial"/>
          <w:sz w:val="19"/>
          <w:szCs w:val="19"/>
        </w:rPr>
      </w:pPr>
      <w:r>
        <w:rPr>
          <w:rFonts w:eastAsia="Times" w:cs="Times" w:ascii="Arial" w:hAnsi="Arial"/>
          <w:sz w:val="19"/>
          <w:szCs w:val="19"/>
          <w:lang w:val="es-ES" w:eastAsia="en-US" w:bidi="ar-SA"/>
        </w:rPr>
        <w:t>Alcaldesa-Presidenta</w:t>
      </w:r>
    </w:p>
    <w:p>
      <w:pPr>
        <w:pStyle w:val="Normal"/>
        <w:widowControl/>
        <w:ind w:left="0" w:hanging="2"/>
        <w:jc w:val="center"/>
        <w:rPr>
          <w:rFonts w:ascii="Arial" w:hAnsi="Arial" w:eastAsia="Times" w:cs="Times"/>
          <w:sz w:val="19"/>
          <w:szCs w:val="19"/>
          <w:lang w:val="es-ES" w:eastAsia="en-US" w:bidi="ar-SA"/>
        </w:rPr>
      </w:pPr>
      <w:r>
        <w:rPr>
          <w:rFonts w:eastAsia="Times" w:cs="Times" w:ascii="Arial" w:hAnsi="Arial"/>
          <w:sz w:val="19"/>
          <w:szCs w:val="19"/>
          <w:lang w:val="es-ES" w:eastAsia="en-US" w:bidi="ar-SA"/>
        </w:rPr>
      </w:r>
    </w:p>
    <w:p>
      <w:pPr>
        <w:pStyle w:val="Normal"/>
        <w:widowControl/>
        <w:ind w:left="0" w:hanging="2"/>
        <w:jc w:val="center"/>
        <w:rPr>
          <w:rFonts w:ascii="Arial" w:hAnsi="Arial"/>
          <w:sz w:val="19"/>
          <w:szCs w:val="19"/>
        </w:rPr>
      </w:pPr>
      <w:r>
        <w:rPr>
          <w:rFonts w:eastAsia="Times" w:cs="Times" w:ascii="Arial" w:hAnsi="Arial"/>
          <w:b/>
          <w:bCs/>
          <w:sz w:val="19"/>
          <w:szCs w:val="19"/>
          <w:lang w:val="es-ES" w:eastAsia="en-US" w:bidi="ar-SA"/>
        </w:rPr>
        <w:t>Documento firmado electrónicamente - Código de verificación al margen</w:t>
      </w:r>
    </w:p>
    <w:p>
      <w:pPr>
        <w:pStyle w:val="Normal"/>
        <w:spacing w:lineRule="auto" w:line="240" w:before="0" w:after="120"/>
        <w:ind w:left="0" w:hanging="2"/>
        <w:rPr/>
      </w:pPr>
      <w:r>
        <w:rPr/>
      </w:r>
    </w:p>
    <w:sectPr>
      <w:headerReference w:type="default" r:id="rId5"/>
      <w:footerReference w:type="default" r:id="rId6"/>
      <w:type w:val="nextPage"/>
      <w:pgSz w:w="11906" w:h="16838"/>
      <w:pgMar w:left="1701" w:right="1701" w:header="709" w:top="2443" w:footer="709" w:bottom="1418" w:gutter="0"/>
      <w:pgNumType w:start="1"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Times">
    <w:altName w:val="Times New Roman"/>
    <w:charset w:val="00"/>
    <w:family w:val="roman"/>
    <w:pitch w:val="variable"/>
  </w:font>
  <w:font w:name="Georgia">
    <w:charset w:val="00"/>
    <w:family w:val="roman"/>
    <w:pitch w:val="variable"/>
  </w:font>
  <w:font w:name="Calibri">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20"/>
        <w:tab w:val="center" w:pos="5386" w:leader="none"/>
        <w:tab w:val="right" w:pos="10772" w:leader="none"/>
      </w:tabs>
      <w:spacing w:lineRule="auto" w:line="240"/>
      <w:ind w:left="0" w:hanging="2"/>
      <w:rPr>
        <w:color w:val="000000"/>
      </w:rPr>
    </w:pPr>
    <w:r>
      <w:rPr/>
      <w:drawing>
        <wp:inline distT="0" distB="0" distL="0" distR="0">
          <wp:extent cx="5394325" cy="269240"/>
          <wp:effectExtent l="0" t="0" r="0" b="0"/>
          <wp:docPr id="3"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
                  <pic:cNvPicPr>
                    <a:picLocks noChangeAspect="1" noChangeArrowheads="1"/>
                  </pic:cNvPicPr>
                </pic:nvPicPr>
                <pic:blipFill>
                  <a:blip r:embed="rId1"/>
                  <a:stretch>
                    <a:fillRect/>
                  </a:stretch>
                </pic:blipFill>
                <pic:spPr bwMode="auto">
                  <a:xfrm>
                    <a:off x="0" y="0"/>
                    <a:ext cx="5394325" cy="269240"/>
                  </a:xfrm>
                  <a:prstGeom prst="rect">
                    <a:avLst/>
                  </a:prstGeom>
                </pic:spPr>
              </pic:pic>
            </a:graphicData>
          </a:graphic>
        </wp:inline>
      </w:drawing>
    </w:r>
    <w:r>
      <w:rPr>
        <w:color w:val="000000"/>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ind w:left="0" w:hanging="2"/>
      <w:rPr>
        <w:rFonts w:ascii="Times" w:hAnsi="Times" w:eastAsia="Times" w:cs="Times"/>
      </w:rPr>
    </w:pPr>
    <w:r>
      <w:rPr/>
      <w:drawing>
        <wp:inline distT="0" distB="0" distL="0" distR="0">
          <wp:extent cx="450215" cy="704850"/>
          <wp:effectExtent l="0" t="0" r="0" b="0"/>
          <wp:docPr id="2"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descr=""/>
                  <pic:cNvPicPr>
                    <a:picLocks noChangeAspect="1" noChangeArrowheads="1"/>
                  </pic:cNvPicPr>
                </pic:nvPicPr>
                <pic:blipFill>
                  <a:blip r:embed="rId1"/>
                  <a:stretch>
                    <a:fillRect/>
                  </a:stretch>
                </pic:blipFill>
                <pic:spPr bwMode="auto">
                  <a:xfrm>
                    <a:off x="0" y="0"/>
                    <a:ext cx="450215" cy="704850"/>
                  </a:xfrm>
                  <a:prstGeom prst="rect">
                    <a:avLst/>
                  </a:prstGeom>
                </pic:spPr>
              </pic:pic>
            </a:graphicData>
          </a:graphic>
        </wp:inline>
      </w:drawing>
    </w:r>
  </w:p>
  <w:p>
    <w:pPr>
      <w:pStyle w:val="Normal"/>
      <w:tabs>
        <w:tab w:val="clear" w:pos="720"/>
        <w:tab w:val="center" w:pos="4818" w:leader="none"/>
        <w:tab w:val="right" w:pos="9637" w:leader="none"/>
      </w:tabs>
      <w:spacing w:lineRule="auto" w:line="240"/>
      <w:ind w:left="0" w:hanging="2"/>
      <w:rPr>
        <w:color w:val="000000"/>
        <w:sz w:val="28"/>
        <w:szCs w:val="28"/>
      </w:rPr>
    </w:pPr>
    <w:r>
      <w:rPr>
        <w:color w:val="000000"/>
      </w:rPr>
      <w:t xml:space="preserve"> </w:t>
    </w:r>
  </w:p>
  <w:p>
    <w:pPr>
      <w:pStyle w:val="Normal"/>
      <w:pBdr>
        <w:bottom w:val="single" w:sz="4" w:space="5" w:color="000000"/>
      </w:pBdr>
      <w:tabs>
        <w:tab w:val="clear" w:pos="720"/>
        <w:tab w:val="right" w:pos="9637" w:leader="none"/>
      </w:tabs>
      <w:spacing w:lineRule="auto" w:line="240"/>
      <w:ind w:left="1" w:hanging="3"/>
      <w:jc w:val="center"/>
      <w:rPr>
        <w:color w:val="000000"/>
      </w:rPr>
    </w:pPr>
    <w:r>
      <w:rPr>
        <w:b/>
        <w:color w:val="000000"/>
        <w:sz w:val="28"/>
        <w:szCs w:val="28"/>
      </w:rPr>
      <w:t>Ayuntamiento de Carlet</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lowerLetter"/>
      <w:suff w:val="nothing"/>
      <w:lvlText w:val="%1)"/>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1"/>
      <w:numFmt w:val="bullet"/>
      <w:lvlText w:val=""/>
      <w:lvlJc w:val="left"/>
      <w:pPr>
        <w:tabs>
          <w:tab w:val="num" w:pos="720"/>
        </w:tabs>
        <w:ind w:left="720" w:hanging="360"/>
      </w:pPr>
      <w:rPr>
        <w:rFonts w:ascii="Symbol" w:hAnsi="Symbol" w:cs="Symbol" w:hint="default"/>
        <w:sz w:val="19"/>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
    <w:lvl w:ilvl="0">
      <w:start w:val="1"/>
      <w:numFmt w:val="bullet"/>
      <w:lvlText w:val=""/>
      <w:lvlJc w:val="left"/>
      <w:pPr>
        <w:tabs>
          <w:tab w:val="num" w:pos="720"/>
        </w:tabs>
        <w:ind w:left="720" w:hanging="360"/>
      </w:pPr>
      <w:rPr>
        <w:rFonts w:ascii="Symbol" w:hAnsi="Symbol" w:cs="Symbol" w:hint="default"/>
        <w:sz w:val="19"/>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5">
    <w:lvl w:ilvl="0">
      <w:start w:val="1"/>
      <w:numFmt w:val="bullet"/>
      <w:lvlText w:val=""/>
      <w:lvlJc w:val="left"/>
      <w:pPr>
        <w:tabs>
          <w:tab w:val="num" w:pos="720"/>
        </w:tabs>
        <w:ind w:left="720" w:hanging="360"/>
      </w:pPr>
      <w:rPr>
        <w:rFonts w:ascii="Symbol" w:hAnsi="Symbol" w:cs="Symbol" w:hint="default"/>
        <w:sz w:val="19"/>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6">
    <w:lvl w:ilvl="0">
      <w:start w:val="1"/>
      <w:numFmt w:val="bullet"/>
      <w:lvlText w:val=""/>
      <w:lvlJc w:val="left"/>
      <w:pPr>
        <w:tabs>
          <w:tab w:val="num" w:pos="720"/>
        </w:tabs>
        <w:ind w:left="720" w:hanging="360"/>
      </w:pPr>
      <w:rPr>
        <w:rFonts w:ascii="Symbol" w:hAnsi="Symbol" w:cs="Symbol" w:hint="default"/>
        <w:sz w:val="19"/>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7">
    <w:lvl w:ilvl="0">
      <w:start w:val="1"/>
      <w:numFmt w:val="bullet"/>
      <w:lvlText w:val=""/>
      <w:lvlJc w:val="left"/>
      <w:pPr>
        <w:tabs>
          <w:tab w:val="num" w:pos="720"/>
        </w:tabs>
        <w:ind w:left="720" w:hanging="360"/>
      </w:pPr>
      <w:rPr>
        <w:rFonts w:ascii="Symbol" w:hAnsi="Symbol" w:cs="Symbol" w:hint="default"/>
        <w:sz w:val="19"/>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8">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1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_tradnl"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tLeast" w:line="1"/>
      <w:ind w:left="-1" w:hanging="1"/>
      <w:jc w:val="left"/>
      <w:textAlignment w:val="top"/>
      <w:outlineLvl w:val="0"/>
    </w:pPr>
    <w:rPr>
      <w:rFonts w:ascii="Times New Roman" w:hAnsi="Times New Roman" w:eastAsia="Times New Roman" w:cs="Times New Roman"/>
      <w:color w:val="auto"/>
      <w:kern w:val="0"/>
      <w:sz w:val="20"/>
      <w:szCs w:val="20"/>
      <w:lang w:val="es-ES" w:eastAsia="en-US" w:bidi="ar-SA"/>
    </w:rPr>
  </w:style>
  <w:style w:type="paragraph" w:styleId="Ttulo1">
    <w:name w:val="Heading 1"/>
    <w:basedOn w:val="Normal"/>
    <w:next w:val="Normal"/>
    <w:uiPriority w:val="9"/>
    <w:qFormat/>
    <w:pPr>
      <w:keepNext w:val="true"/>
      <w:keepLines/>
      <w:spacing w:before="480" w:after="120"/>
    </w:pPr>
    <w:rPr>
      <w:b/>
      <w:sz w:val="48"/>
      <w:szCs w:val="48"/>
    </w:rPr>
  </w:style>
  <w:style w:type="paragraph" w:styleId="Ttulo2">
    <w:name w:val="Heading 2"/>
    <w:basedOn w:val="Normal"/>
    <w:next w:val="Normal"/>
    <w:uiPriority w:val="9"/>
    <w:semiHidden/>
    <w:unhideWhenUsed/>
    <w:qFormat/>
    <w:pPr>
      <w:keepNext w:val="true"/>
      <w:keepLines/>
      <w:spacing w:before="360" w:after="80"/>
      <w:outlineLvl w:val="1"/>
    </w:pPr>
    <w:rPr>
      <w:b/>
      <w:sz w:val="36"/>
      <w:szCs w:val="36"/>
    </w:rPr>
  </w:style>
  <w:style w:type="paragraph" w:styleId="Ttulo3">
    <w:name w:val="Heading 3"/>
    <w:basedOn w:val="Normal"/>
    <w:next w:val="Normal"/>
    <w:uiPriority w:val="9"/>
    <w:semiHidden/>
    <w:unhideWhenUsed/>
    <w:qFormat/>
    <w:pPr>
      <w:keepNext w:val="true"/>
      <w:keepLines/>
      <w:spacing w:before="280" w:after="80"/>
      <w:outlineLvl w:val="2"/>
    </w:pPr>
    <w:rPr>
      <w:b/>
      <w:sz w:val="28"/>
      <w:szCs w:val="28"/>
    </w:rPr>
  </w:style>
  <w:style w:type="paragraph" w:styleId="Ttulo4">
    <w:name w:val="Heading 4"/>
    <w:basedOn w:val="Normal"/>
    <w:next w:val="Normal"/>
    <w:uiPriority w:val="9"/>
    <w:semiHidden/>
    <w:unhideWhenUsed/>
    <w:qFormat/>
    <w:pPr>
      <w:keepNext w:val="true"/>
      <w:keepLines/>
      <w:spacing w:before="240" w:after="40"/>
      <w:outlineLvl w:val="3"/>
    </w:pPr>
    <w:rPr>
      <w:b/>
      <w:sz w:val="24"/>
      <w:szCs w:val="24"/>
    </w:rPr>
  </w:style>
  <w:style w:type="paragraph" w:styleId="Ttulo5">
    <w:name w:val="Heading 5"/>
    <w:basedOn w:val="Normal"/>
    <w:next w:val="Normal"/>
    <w:uiPriority w:val="9"/>
    <w:semiHidden/>
    <w:unhideWhenUsed/>
    <w:qFormat/>
    <w:pPr>
      <w:keepNext w:val="true"/>
      <w:keepLines/>
      <w:spacing w:before="220" w:after="40"/>
      <w:outlineLvl w:val="4"/>
    </w:pPr>
    <w:rPr>
      <w:b/>
      <w:sz w:val="22"/>
      <w:szCs w:val="22"/>
    </w:rPr>
  </w:style>
  <w:style w:type="paragraph" w:styleId="Ttulo6">
    <w:name w:val="Heading 6"/>
    <w:basedOn w:val="Normal"/>
    <w:next w:val="Normal"/>
    <w:uiPriority w:val="9"/>
    <w:semiHidden/>
    <w:unhideWhenUsed/>
    <w:qFormat/>
    <w:pPr>
      <w:keepNext w:val="true"/>
      <w:keepLines/>
      <w:spacing w:before="200" w:after="40"/>
      <w:outlineLvl w:val="5"/>
    </w:pPr>
    <w:rPr>
      <w:b/>
    </w:rPr>
  </w:style>
  <w:style w:type="character" w:styleId="DefaultParagraphFont" w:default="1">
    <w:name w:val="Default Paragraph Font"/>
    <w:uiPriority w:val="1"/>
    <w:semiHidden/>
    <w:unhideWhenUsed/>
    <w:qFormat/>
    <w:rPr/>
  </w:style>
  <w:style w:type="character" w:styleId="EnlladInternet">
    <w:name w:val="Enllaç d'Internet"/>
    <w:qFormat/>
    <w:rPr>
      <w:color w:val="0000FF"/>
      <w:w w:val="100"/>
      <w:position w:val="0"/>
      <w:sz w:val="20"/>
      <w:sz w:val="20"/>
      <w:u w:val="single"/>
      <w:effect w:val="none"/>
      <w:vertAlign w:val="baseline"/>
      <w:em w:val="none"/>
    </w:rPr>
  </w:style>
  <w:style w:type="character" w:styleId="ListLabel1">
    <w:name w:val="ListLabel 1"/>
    <w:qFormat/>
    <w:rPr>
      <w:rFonts w:eastAsia="Noto Sans Symbols" w:cs="Noto Sans Symbols"/>
      <w:sz w:val="22"/>
      <w:u w:val="none"/>
    </w:rPr>
  </w:style>
  <w:style w:type="character" w:styleId="ListLabel2">
    <w:name w:val="ListLabel 2"/>
    <w:qFormat/>
    <w:rPr>
      <w:rFonts w:eastAsia="Noto Sans Symbols" w:cs="Noto Sans Symbols"/>
      <w:u w:val="none"/>
    </w:rPr>
  </w:style>
  <w:style w:type="character" w:styleId="ListLabel3">
    <w:name w:val="ListLabel 3"/>
    <w:qFormat/>
    <w:rPr>
      <w:rFonts w:eastAsia="Noto Sans Symbols" w:cs="Noto Sans Symbols"/>
      <w:u w:val="none"/>
    </w:rPr>
  </w:style>
  <w:style w:type="character" w:styleId="ListLabel4">
    <w:name w:val="ListLabel 4"/>
    <w:qFormat/>
    <w:rPr>
      <w:rFonts w:eastAsia="Noto Sans Symbols" w:cs="Noto Sans Symbols"/>
      <w:u w:val="none"/>
    </w:rPr>
  </w:style>
  <w:style w:type="character" w:styleId="ListLabel5">
    <w:name w:val="ListLabel 5"/>
    <w:qFormat/>
    <w:rPr>
      <w:rFonts w:eastAsia="Noto Sans Symbols" w:cs="Noto Sans Symbols"/>
      <w:u w:val="none"/>
    </w:rPr>
  </w:style>
  <w:style w:type="character" w:styleId="ListLabel6">
    <w:name w:val="ListLabel 6"/>
    <w:qFormat/>
    <w:rPr>
      <w:rFonts w:eastAsia="Noto Sans Symbols" w:cs="Noto Sans Symbols"/>
      <w:u w:val="none"/>
    </w:rPr>
  </w:style>
  <w:style w:type="character" w:styleId="ListLabel7">
    <w:name w:val="ListLabel 7"/>
    <w:qFormat/>
    <w:rPr>
      <w:rFonts w:eastAsia="Noto Sans Symbols" w:cs="Noto Sans Symbols"/>
      <w:u w:val="none"/>
    </w:rPr>
  </w:style>
  <w:style w:type="character" w:styleId="ListLabel8">
    <w:name w:val="ListLabel 8"/>
    <w:qFormat/>
    <w:rPr>
      <w:rFonts w:eastAsia="Noto Sans Symbols" w:cs="Noto Sans Symbols"/>
      <w:u w:val="none"/>
    </w:rPr>
  </w:style>
  <w:style w:type="character" w:styleId="ListLabel9">
    <w:name w:val="ListLabel 9"/>
    <w:qFormat/>
    <w:rPr>
      <w:rFonts w:eastAsia="Noto Sans Symbols" w:cs="Noto Sans Symbols"/>
      <w:u w:val="none"/>
    </w:rPr>
  </w:style>
  <w:style w:type="character" w:styleId="ListLabel10">
    <w:name w:val="ListLabel 10"/>
    <w:qFormat/>
    <w:rPr>
      <w:rFonts w:ascii="Arial" w:hAnsi="Arial"/>
      <w:sz w:val="22"/>
      <w:u w:val="none"/>
    </w:rPr>
  </w:style>
  <w:style w:type="character" w:styleId="ListLabel11">
    <w:name w:val="ListLabel 11"/>
    <w:qFormat/>
    <w:rPr>
      <w:u w:val="none"/>
    </w:rPr>
  </w:style>
  <w:style w:type="character" w:styleId="ListLabel12">
    <w:name w:val="ListLabel 12"/>
    <w:qFormat/>
    <w:rPr>
      <w:u w:val="none"/>
    </w:rPr>
  </w:style>
  <w:style w:type="character" w:styleId="ListLabel13">
    <w:name w:val="ListLabel 13"/>
    <w:qFormat/>
    <w:rPr>
      <w:u w:val="none"/>
    </w:rPr>
  </w:style>
  <w:style w:type="character" w:styleId="ListLabel14">
    <w:name w:val="ListLabel 14"/>
    <w:qFormat/>
    <w:rPr>
      <w:u w:val="none"/>
    </w:rPr>
  </w:style>
  <w:style w:type="character" w:styleId="ListLabel15">
    <w:name w:val="ListLabel 15"/>
    <w:qFormat/>
    <w:rPr>
      <w:u w:val="none"/>
    </w:rPr>
  </w:style>
  <w:style w:type="character" w:styleId="ListLabel16">
    <w:name w:val="ListLabel 16"/>
    <w:qFormat/>
    <w:rPr>
      <w:u w:val="none"/>
    </w:rPr>
  </w:style>
  <w:style w:type="character" w:styleId="ListLabel17">
    <w:name w:val="ListLabel 17"/>
    <w:qFormat/>
    <w:rPr>
      <w:u w:val="none"/>
    </w:rPr>
  </w:style>
  <w:style w:type="character" w:styleId="ListLabel18">
    <w:name w:val="ListLabel 18"/>
    <w:qFormat/>
    <w:rPr>
      <w:u w:val="none"/>
    </w:rPr>
  </w:style>
  <w:style w:type="character" w:styleId="ListLabel19">
    <w:name w:val="ListLabel 19"/>
    <w:qFormat/>
    <w:rPr>
      <w:rFonts w:eastAsia="Noto Sans Symbols" w:cs="Noto Sans Symbols"/>
      <w:sz w:val="22"/>
      <w:u w:val="none"/>
    </w:rPr>
  </w:style>
  <w:style w:type="character" w:styleId="ListLabel20">
    <w:name w:val="ListLabel 20"/>
    <w:qFormat/>
    <w:rPr>
      <w:rFonts w:eastAsia="Noto Sans Symbols" w:cs="Noto Sans Symbols"/>
      <w:u w:val="none"/>
    </w:rPr>
  </w:style>
  <w:style w:type="character" w:styleId="ListLabel21">
    <w:name w:val="ListLabel 21"/>
    <w:qFormat/>
    <w:rPr>
      <w:rFonts w:eastAsia="Noto Sans Symbols" w:cs="Noto Sans Symbols"/>
      <w:u w:val="none"/>
    </w:rPr>
  </w:style>
  <w:style w:type="character" w:styleId="ListLabel22">
    <w:name w:val="ListLabel 22"/>
    <w:qFormat/>
    <w:rPr>
      <w:rFonts w:eastAsia="Noto Sans Symbols" w:cs="Noto Sans Symbols"/>
      <w:u w:val="none"/>
    </w:rPr>
  </w:style>
  <w:style w:type="character" w:styleId="ListLabel23">
    <w:name w:val="ListLabel 23"/>
    <w:qFormat/>
    <w:rPr>
      <w:rFonts w:eastAsia="Noto Sans Symbols" w:cs="Noto Sans Symbols"/>
      <w:u w:val="none"/>
    </w:rPr>
  </w:style>
  <w:style w:type="character" w:styleId="ListLabel24">
    <w:name w:val="ListLabel 24"/>
    <w:qFormat/>
    <w:rPr>
      <w:rFonts w:eastAsia="Noto Sans Symbols" w:cs="Noto Sans Symbols"/>
      <w:u w:val="none"/>
    </w:rPr>
  </w:style>
  <w:style w:type="character" w:styleId="ListLabel25">
    <w:name w:val="ListLabel 25"/>
    <w:qFormat/>
    <w:rPr>
      <w:rFonts w:eastAsia="Noto Sans Symbols" w:cs="Noto Sans Symbols"/>
      <w:u w:val="none"/>
    </w:rPr>
  </w:style>
  <w:style w:type="character" w:styleId="ListLabel26">
    <w:name w:val="ListLabel 26"/>
    <w:qFormat/>
    <w:rPr>
      <w:rFonts w:eastAsia="Noto Sans Symbols" w:cs="Noto Sans Symbols"/>
      <w:u w:val="none"/>
    </w:rPr>
  </w:style>
  <w:style w:type="character" w:styleId="ListLabel27">
    <w:name w:val="ListLabel 27"/>
    <w:qFormat/>
    <w:rPr>
      <w:rFonts w:eastAsia="Noto Sans Symbols" w:cs="Noto Sans Symbols"/>
      <w:u w:val="none"/>
    </w:rPr>
  </w:style>
  <w:style w:type="character" w:styleId="ListLabel28">
    <w:name w:val="ListLabel 28"/>
    <w:qFormat/>
    <w:rPr>
      <w:rFonts w:ascii="Arial" w:hAnsi="Arial"/>
      <w:sz w:val="22"/>
      <w:u w:val="none"/>
    </w:rPr>
  </w:style>
  <w:style w:type="character" w:styleId="ListLabel29">
    <w:name w:val="ListLabel 29"/>
    <w:qFormat/>
    <w:rPr>
      <w:u w:val="none"/>
    </w:rPr>
  </w:style>
  <w:style w:type="character" w:styleId="ListLabel30">
    <w:name w:val="ListLabel 30"/>
    <w:qFormat/>
    <w:rPr>
      <w:u w:val="none"/>
    </w:rPr>
  </w:style>
  <w:style w:type="character" w:styleId="ListLabel31">
    <w:name w:val="ListLabel 31"/>
    <w:qFormat/>
    <w:rPr>
      <w:u w:val="none"/>
    </w:rPr>
  </w:style>
  <w:style w:type="character" w:styleId="ListLabel32">
    <w:name w:val="ListLabel 32"/>
    <w:qFormat/>
    <w:rPr>
      <w:u w:val="none"/>
    </w:rPr>
  </w:style>
  <w:style w:type="character" w:styleId="ListLabel33">
    <w:name w:val="ListLabel 33"/>
    <w:qFormat/>
    <w:rPr>
      <w:u w:val="none"/>
    </w:rPr>
  </w:style>
  <w:style w:type="character" w:styleId="ListLabel34">
    <w:name w:val="ListLabel 34"/>
    <w:qFormat/>
    <w:rPr>
      <w:u w:val="none"/>
    </w:rPr>
  </w:style>
  <w:style w:type="character" w:styleId="ListLabel35">
    <w:name w:val="ListLabel 35"/>
    <w:qFormat/>
    <w:rPr>
      <w:u w:val="none"/>
    </w:rPr>
  </w:style>
  <w:style w:type="character" w:styleId="ListLabel36">
    <w:name w:val="ListLabel 36"/>
    <w:qFormat/>
    <w:rPr>
      <w:u w:val="none"/>
    </w:rPr>
  </w:style>
  <w:style w:type="character" w:styleId="ListLabel37">
    <w:name w:val="ListLabel 37"/>
    <w:qFormat/>
    <w:rPr>
      <w:rFonts w:ascii="Arial" w:hAnsi="Arial" w:eastAsia="Arial" w:cs="Arial"/>
      <w:i/>
      <w:sz w:val="22"/>
      <w:szCs w:val="22"/>
      <w:u w:val="single"/>
    </w:rPr>
  </w:style>
  <w:style w:type="character" w:styleId="ListLabel38">
    <w:name w:val="ListLabel 38"/>
    <w:qFormat/>
    <w:rPr>
      <w:rFonts w:ascii="Arial" w:hAnsi="Arial" w:eastAsia="Arial" w:cs="Arial"/>
      <w:i/>
      <w:color w:val="1155CC"/>
      <w:sz w:val="22"/>
      <w:szCs w:val="22"/>
      <w:u w:val="single"/>
    </w:rPr>
  </w:style>
  <w:style w:type="character" w:styleId="ListLabel39">
    <w:name w:val="ListLabel 39"/>
    <w:qFormat/>
    <w:rPr>
      <w:rFonts w:cs="Noto Sans Symbols"/>
      <w:sz w:val="22"/>
      <w:u w:val="none"/>
    </w:rPr>
  </w:style>
  <w:style w:type="character" w:styleId="ListLabel40">
    <w:name w:val="ListLabel 40"/>
    <w:qFormat/>
    <w:rPr>
      <w:rFonts w:cs="Noto Sans Symbols"/>
      <w:u w:val="none"/>
    </w:rPr>
  </w:style>
  <w:style w:type="character" w:styleId="ListLabel41">
    <w:name w:val="ListLabel 41"/>
    <w:qFormat/>
    <w:rPr>
      <w:rFonts w:cs="Noto Sans Symbols"/>
      <w:u w:val="none"/>
    </w:rPr>
  </w:style>
  <w:style w:type="character" w:styleId="ListLabel42">
    <w:name w:val="ListLabel 42"/>
    <w:qFormat/>
    <w:rPr>
      <w:rFonts w:cs="Noto Sans Symbols"/>
      <w:u w:val="none"/>
    </w:rPr>
  </w:style>
  <w:style w:type="character" w:styleId="ListLabel43">
    <w:name w:val="ListLabel 43"/>
    <w:qFormat/>
    <w:rPr>
      <w:rFonts w:cs="Noto Sans Symbols"/>
      <w:u w:val="none"/>
    </w:rPr>
  </w:style>
  <w:style w:type="character" w:styleId="ListLabel44">
    <w:name w:val="ListLabel 44"/>
    <w:qFormat/>
    <w:rPr>
      <w:rFonts w:cs="Noto Sans Symbols"/>
      <w:u w:val="none"/>
    </w:rPr>
  </w:style>
  <w:style w:type="character" w:styleId="ListLabel45">
    <w:name w:val="ListLabel 45"/>
    <w:qFormat/>
    <w:rPr>
      <w:rFonts w:cs="Noto Sans Symbols"/>
      <w:u w:val="none"/>
    </w:rPr>
  </w:style>
  <w:style w:type="character" w:styleId="ListLabel46">
    <w:name w:val="ListLabel 46"/>
    <w:qFormat/>
    <w:rPr>
      <w:rFonts w:cs="Noto Sans Symbols"/>
      <w:u w:val="none"/>
    </w:rPr>
  </w:style>
  <w:style w:type="character" w:styleId="ListLabel47">
    <w:name w:val="ListLabel 47"/>
    <w:qFormat/>
    <w:rPr>
      <w:rFonts w:cs="Noto Sans Symbols"/>
      <w:u w:val="none"/>
    </w:rPr>
  </w:style>
  <w:style w:type="character" w:styleId="ListLabel48">
    <w:name w:val="ListLabel 48"/>
    <w:qFormat/>
    <w:rPr>
      <w:rFonts w:ascii="Arial" w:hAnsi="Arial"/>
      <w:sz w:val="22"/>
      <w:u w:val="none"/>
    </w:rPr>
  </w:style>
  <w:style w:type="character" w:styleId="ListLabel49">
    <w:name w:val="ListLabel 49"/>
    <w:qFormat/>
    <w:rPr>
      <w:u w:val="none"/>
    </w:rPr>
  </w:style>
  <w:style w:type="character" w:styleId="ListLabel50">
    <w:name w:val="ListLabel 50"/>
    <w:qFormat/>
    <w:rPr>
      <w:u w:val="none"/>
    </w:rPr>
  </w:style>
  <w:style w:type="character" w:styleId="ListLabel51">
    <w:name w:val="ListLabel 51"/>
    <w:qFormat/>
    <w:rPr>
      <w:u w:val="none"/>
    </w:rPr>
  </w:style>
  <w:style w:type="character" w:styleId="ListLabel52">
    <w:name w:val="ListLabel 52"/>
    <w:qFormat/>
    <w:rPr>
      <w:u w:val="none"/>
    </w:rPr>
  </w:style>
  <w:style w:type="character" w:styleId="ListLabel53">
    <w:name w:val="ListLabel 53"/>
    <w:qFormat/>
    <w:rPr>
      <w:u w:val="none"/>
    </w:rPr>
  </w:style>
  <w:style w:type="character" w:styleId="ListLabel54">
    <w:name w:val="ListLabel 54"/>
    <w:qFormat/>
    <w:rPr>
      <w:u w:val="none"/>
    </w:rPr>
  </w:style>
  <w:style w:type="character" w:styleId="ListLabel55">
    <w:name w:val="ListLabel 55"/>
    <w:qFormat/>
    <w:rPr>
      <w:u w:val="none"/>
    </w:rPr>
  </w:style>
  <w:style w:type="character" w:styleId="ListLabel56">
    <w:name w:val="ListLabel 56"/>
    <w:qFormat/>
    <w:rPr>
      <w:u w:val="none"/>
    </w:rPr>
  </w:style>
  <w:style w:type="character" w:styleId="ListLabel57">
    <w:name w:val="ListLabel 57"/>
    <w:qFormat/>
    <w:rPr>
      <w:rFonts w:cs="Noto Sans Symbols"/>
      <w:sz w:val="22"/>
      <w:u w:val="none"/>
    </w:rPr>
  </w:style>
  <w:style w:type="character" w:styleId="ListLabel58">
    <w:name w:val="ListLabel 58"/>
    <w:qFormat/>
    <w:rPr>
      <w:rFonts w:cs="Noto Sans Symbols"/>
      <w:u w:val="none"/>
    </w:rPr>
  </w:style>
  <w:style w:type="character" w:styleId="ListLabel59">
    <w:name w:val="ListLabel 59"/>
    <w:qFormat/>
    <w:rPr>
      <w:rFonts w:cs="Noto Sans Symbols"/>
      <w:u w:val="none"/>
    </w:rPr>
  </w:style>
  <w:style w:type="character" w:styleId="ListLabel60">
    <w:name w:val="ListLabel 60"/>
    <w:qFormat/>
    <w:rPr>
      <w:rFonts w:cs="Noto Sans Symbols"/>
      <w:u w:val="none"/>
    </w:rPr>
  </w:style>
  <w:style w:type="character" w:styleId="ListLabel61">
    <w:name w:val="ListLabel 61"/>
    <w:qFormat/>
    <w:rPr>
      <w:rFonts w:cs="Noto Sans Symbols"/>
      <w:u w:val="none"/>
    </w:rPr>
  </w:style>
  <w:style w:type="character" w:styleId="ListLabel62">
    <w:name w:val="ListLabel 62"/>
    <w:qFormat/>
    <w:rPr>
      <w:rFonts w:cs="Noto Sans Symbols"/>
      <w:u w:val="none"/>
    </w:rPr>
  </w:style>
  <w:style w:type="character" w:styleId="ListLabel63">
    <w:name w:val="ListLabel 63"/>
    <w:qFormat/>
    <w:rPr>
      <w:rFonts w:cs="Noto Sans Symbols"/>
      <w:u w:val="none"/>
    </w:rPr>
  </w:style>
  <w:style w:type="character" w:styleId="ListLabel64">
    <w:name w:val="ListLabel 64"/>
    <w:qFormat/>
    <w:rPr>
      <w:rFonts w:cs="Noto Sans Symbols"/>
      <w:u w:val="none"/>
    </w:rPr>
  </w:style>
  <w:style w:type="character" w:styleId="ListLabel65">
    <w:name w:val="ListLabel 65"/>
    <w:qFormat/>
    <w:rPr>
      <w:rFonts w:cs="Noto Sans Symbols"/>
      <w:u w:val="none"/>
    </w:rPr>
  </w:style>
  <w:style w:type="character" w:styleId="ListLabel66">
    <w:name w:val="ListLabel 66"/>
    <w:qFormat/>
    <w:rPr>
      <w:rFonts w:ascii="Arial" w:hAnsi="Arial"/>
      <w:sz w:val="22"/>
      <w:u w:val="none"/>
    </w:rPr>
  </w:style>
  <w:style w:type="character" w:styleId="ListLabel67">
    <w:name w:val="ListLabel 67"/>
    <w:qFormat/>
    <w:rPr>
      <w:u w:val="none"/>
    </w:rPr>
  </w:style>
  <w:style w:type="character" w:styleId="ListLabel68">
    <w:name w:val="ListLabel 68"/>
    <w:qFormat/>
    <w:rPr>
      <w:u w:val="none"/>
    </w:rPr>
  </w:style>
  <w:style w:type="character" w:styleId="ListLabel69">
    <w:name w:val="ListLabel 69"/>
    <w:qFormat/>
    <w:rPr>
      <w:u w:val="none"/>
    </w:rPr>
  </w:style>
  <w:style w:type="character" w:styleId="ListLabel70">
    <w:name w:val="ListLabel 70"/>
    <w:qFormat/>
    <w:rPr>
      <w:u w:val="none"/>
    </w:rPr>
  </w:style>
  <w:style w:type="character" w:styleId="ListLabel71">
    <w:name w:val="ListLabel 71"/>
    <w:qFormat/>
    <w:rPr>
      <w:u w:val="none"/>
    </w:rPr>
  </w:style>
  <w:style w:type="character" w:styleId="ListLabel72">
    <w:name w:val="ListLabel 72"/>
    <w:qFormat/>
    <w:rPr>
      <w:u w:val="none"/>
    </w:rPr>
  </w:style>
  <w:style w:type="character" w:styleId="ListLabel73">
    <w:name w:val="ListLabel 73"/>
    <w:qFormat/>
    <w:rPr>
      <w:u w:val="none"/>
    </w:rPr>
  </w:style>
  <w:style w:type="character" w:styleId="ListLabel74">
    <w:name w:val="ListLabel 74"/>
    <w:qFormat/>
    <w:rPr>
      <w:u w:val="none"/>
    </w:rPr>
  </w:style>
  <w:style w:type="character" w:styleId="ListLabel75">
    <w:name w:val="ListLabel 75"/>
    <w:qFormat/>
    <w:rPr>
      <w:rFonts w:ascii="Arial" w:hAnsi="Arial" w:eastAsia="Arial" w:cs="Arial"/>
      <w:i/>
      <w:sz w:val="22"/>
      <w:szCs w:val="22"/>
      <w:u w:val="single"/>
      <w:lang w:val="ca-ES-valencia" w:eastAsia="en-US"/>
    </w:rPr>
  </w:style>
  <w:style w:type="character" w:styleId="EnlacedeInternet">
    <w:name w:val="Enlace de Internet"/>
    <w:rPr>
      <w:color w:val="000080"/>
      <w:u w:val="single"/>
      <w:lang w:val="zxx" w:eastAsia="zxx" w:bidi="zxx"/>
    </w:rPr>
  </w:style>
  <w:style w:type="character" w:styleId="ListLabel76">
    <w:name w:val="ListLabel 76"/>
    <w:qFormat/>
    <w:rPr>
      <w:rFonts w:ascii="Arial" w:hAnsi="Arial" w:eastAsia="Arial" w:cs="Arial"/>
      <w:i/>
      <w:color w:val="1155CC"/>
      <w:sz w:val="22"/>
      <w:szCs w:val="22"/>
      <w:u w:val="single"/>
      <w:lang w:val="ca-ES-valencia" w:eastAsia="en-US"/>
    </w:rPr>
  </w:style>
  <w:style w:type="character" w:styleId="ListLabel155">
    <w:name w:val="ListLabel 155"/>
    <w:qFormat/>
    <w:rPr>
      <w:lang w:val="ca-ES"/>
    </w:rPr>
  </w:style>
  <w:style w:type="character" w:styleId="ListLabel156">
    <w:name w:val="ListLabel 156"/>
    <w:qFormat/>
    <w:rPr>
      <w:lang w:val="ca-ES"/>
    </w:rPr>
  </w:style>
  <w:style w:type="character" w:styleId="Smbolosdenumeracin">
    <w:name w:val="Símbolos de numeración"/>
    <w:qFormat/>
    <w:rPr/>
  </w:style>
  <w:style w:type="character" w:styleId="Vietas">
    <w:name w:val="Viñetas"/>
    <w:qFormat/>
    <w:rPr>
      <w:rFonts w:ascii="OpenSymbol" w:hAnsi="OpenSymbol" w:eastAsia="OpenSymbol" w:cs="OpenSymbol"/>
    </w:rPr>
  </w:style>
  <w:style w:type="character" w:styleId="ListLabel157">
    <w:name w:val="ListLabel 157"/>
    <w:qFormat/>
    <w:rPr>
      <w:rFonts w:ascii="Arial" w:hAnsi="Arial" w:cs="OpenSymbol"/>
    </w:rPr>
  </w:style>
  <w:style w:type="character" w:styleId="ListLabel158">
    <w:name w:val="ListLabel 158"/>
    <w:qFormat/>
    <w:rPr>
      <w:rFonts w:cs="Noto Sans Symbols"/>
      <w:u w:val="none"/>
    </w:rPr>
  </w:style>
  <w:style w:type="character" w:styleId="ListLabel159">
    <w:name w:val="ListLabel 159"/>
    <w:qFormat/>
    <w:rPr>
      <w:rFonts w:cs="Noto Sans Symbols"/>
      <w:u w:val="none"/>
    </w:rPr>
  </w:style>
  <w:style w:type="character" w:styleId="ListLabel160">
    <w:name w:val="ListLabel 160"/>
    <w:qFormat/>
    <w:rPr>
      <w:rFonts w:cs="Noto Sans Symbols"/>
      <w:u w:val="none"/>
    </w:rPr>
  </w:style>
  <w:style w:type="character" w:styleId="ListLabel161">
    <w:name w:val="ListLabel 161"/>
    <w:qFormat/>
    <w:rPr>
      <w:rFonts w:cs="Noto Sans Symbols"/>
      <w:u w:val="none"/>
    </w:rPr>
  </w:style>
  <w:style w:type="character" w:styleId="ListLabel162">
    <w:name w:val="ListLabel 162"/>
    <w:qFormat/>
    <w:rPr>
      <w:rFonts w:cs="Noto Sans Symbols"/>
      <w:u w:val="none"/>
    </w:rPr>
  </w:style>
  <w:style w:type="character" w:styleId="ListLabel163">
    <w:name w:val="ListLabel 163"/>
    <w:qFormat/>
    <w:rPr>
      <w:rFonts w:cs="Noto Sans Symbols"/>
      <w:u w:val="none"/>
    </w:rPr>
  </w:style>
  <w:style w:type="character" w:styleId="ListLabel164">
    <w:name w:val="ListLabel 164"/>
    <w:qFormat/>
    <w:rPr>
      <w:rFonts w:cs="Noto Sans Symbols"/>
      <w:u w:val="none"/>
    </w:rPr>
  </w:style>
  <w:style w:type="character" w:styleId="ListLabel165">
    <w:name w:val="ListLabel 165"/>
    <w:qFormat/>
    <w:rPr>
      <w:rFonts w:cs="Noto Sans Symbols"/>
      <w:u w:val="none"/>
    </w:rPr>
  </w:style>
  <w:style w:type="character" w:styleId="ListLabel166">
    <w:name w:val="ListLabel 166"/>
    <w:qFormat/>
    <w:rPr>
      <w:rFonts w:ascii="Arial" w:hAnsi="Arial" w:cs="OpenSymbol"/>
    </w:rPr>
  </w:style>
  <w:style w:type="character" w:styleId="ListLabel167">
    <w:name w:val="ListLabel 167"/>
    <w:qFormat/>
    <w:rPr>
      <w:u w:val="none"/>
    </w:rPr>
  </w:style>
  <w:style w:type="character" w:styleId="ListLabel168">
    <w:name w:val="ListLabel 168"/>
    <w:qFormat/>
    <w:rPr>
      <w:u w:val="none"/>
    </w:rPr>
  </w:style>
  <w:style w:type="character" w:styleId="ListLabel169">
    <w:name w:val="ListLabel 169"/>
    <w:qFormat/>
    <w:rPr>
      <w:u w:val="none"/>
    </w:rPr>
  </w:style>
  <w:style w:type="character" w:styleId="ListLabel170">
    <w:name w:val="ListLabel 170"/>
    <w:qFormat/>
    <w:rPr>
      <w:u w:val="none"/>
    </w:rPr>
  </w:style>
  <w:style w:type="character" w:styleId="ListLabel171">
    <w:name w:val="ListLabel 171"/>
    <w:qFormat/>
    <w:rPr>
      <w:u w:val="none"/>
    </w:rPr>
  </w:style>
  <w:style w:type="character" w:styleId="ListLabel172">
    <w:name w:val="ListLabel 172"/>
    <w:qFormat/>
    <w:rPr>
      <w:u w:val="none"/>
    </w:rPr>
  </w:style>
  <w:style w:type="character" w:styleId="ListLabel173">
    <w:name w:val="ListLabel 173"/>
    <w:qFormat/>
    <w:rPr>
      <w:u w:val="none"/>
    </w:rPr>
  </w:style>
  <w:style w:type="character" w:styleId="ListLabel174">
    <w:name w:val="ListLabel 174"/>
    <w:qFormat/>
    <w:rPr>
      <w:u w:val="none"/>
    </w:rPr>
  </w:style>
  <w:style w:type="character" w:styleId="ListLabel175">
    <w:name w:val="ListLabel 175"/>
    <w:qFormat/>
    <w:rPr>
      <w:rFonts w:cs="Noto Sans Symbols"/>
      <w:u w:val="none"/>
    </w:rPr>
  </w:style>
  <w:style w:type="character" w:styleId="ListLabel176">
    <w:name w:val="ListLabel 176"/>
    <w:qFormat/>
    <w:rPr>
      <w:rFonts w:cs="Noto Sans Symbols"/>
      <w:u w:val="none"/>
    </w:rPr>
  </w:style>
  <w:style w:type="character" w:styleId="ListLabel177">
    <w:name w:val="ListLabel 177"/>
    <w:qFormat/>
    <w:rPr>
      <w:rFonts w:cs="Noto Sans Symbols"/>
      <w:u w:val="none"/>
    </w:rPr>
  </w:style>
  <w:style w:type="character" w:styleId="ListLabel178">
    <w:name w:val="ListLabel 178"/>
    <w:qFormat/>
    <w:rPr>
      <w:rFonts w:cs="Noto Sans Symbols"/>
      <w:u w:val="none"/>
    </w:rPr>
  </w:style>
  <w:style w:type="character" w:styleId="ListLabel179">
    <w:name w:val="ListLabel 179"/>
    <w:qFormat/>
    <w:rPr>
      <w:rFonts w:cs="Noto Sans Symbols"/>
      <w:u w:val="none"/>
    </w:rPr>
  </w:style>
  <w:style w:type="character" w:styleId="ListLabel180">
    <w:name w:val="ListLabel 180"/>
    <w:qFormat/>
    <w:rPr>
      <w:rFonts w:cs="Noto Sans Symbols"/>
      <w:u w:val="none"/>
    </w:rPr>
  </w:style>
  <w:style w:type="character" w:styleId="ListLabel181">
    <w:name w:val="ListLabel 181"/>
    <w:qFormat/>
    <w:rPr>
      <w:rFonts w:cs="Noto Sans Symbols"/>
      <w:u w:val="none"/>
    </w:rPr>
  </w:style>
  <w:style w:type="character" w:styleId="ListLabel182">
    <w:name w:val="ListLabel 182"/>
    <w:qFormat/>
    <w:rPr>
      <w:rFonts w:cs="Noto Sans Symbols"/>
      <w:u w:val="none"/>
    </w:rPr>
  </w:style>
  <w:style w:type="character" w:styleId="ListLabel183">
    <w:name w:val="ListLabel 183"/>
    <w:qFormat/>
    <w:rPr>
      <w:sz w:val="22"/>
      <w:u w:val="none"/>
    </w:rPr>
  </w:style>
  <w:style w:type="character" w:styleId="ListLabel184">
    <w:name w:val="ListLabel 184"/>
    <w:qFormat/>
    <w:rPr>
      <w:u w:val="none"/>
    </w:rPr>
  </w:style>
  <w:style w:type="character" w:styleId="ListLabel185">
    <w:name w:val="ListLabel 185"/>
    <w:qFormat/>
    <w:rPr>
      <w:u w:val="none"/>
    </w:rPr>
  </w:style>
  <w:style w:type="character" w:styleId="ListLabel186">
    <w:name w:val="ListLabel 186"/>
    <w:qFormat/>
    <w:rPr>
      <w:u w:val="none"/>
    </w:rPr>
  </w:style>
  <w:style w:type="character" w:styleId="ListLabel187">
    <w:name w:val="ListLabel 187"/>
    <w:qFormat/>
    <w:rPr>
      <w:u w:val="none"/>
    </w:rPr>
  </w:style>
  <w:style w:type="character" w:styleId="ListLabel188">
    <w:name w:val="ListLabel 188"/>
    <w:qFormat/>
    <w:rPr>
      <w:u w:val="none"/>
    </w:rPr>
  </w:style>
  <w:style w:type="character" w:styleId="ListLabel189">
    <w:name w:val="ListLabel 189"/>
    <w:qFormat/>
    <w:rPr>
      <w:u w:val="none"/>
    </w:rPr>
  </w:style>
  <w:style w:type="character" w:styleId="ListLabel190">
    <w:name w:val="ListLabel 190"/>
    <w:qFormat/>
    <w:rPr>
      <w:u w:val="none"/>
    </w:rPr>
  </w:style>
  <w:style w:type="character" w:styleId="ListLabel191">
    <w:name w:val="ListLabel 191"/>
    <w:qFormat/>
    <w:rPr>
      <w:u w:val="none"/>
    </w:rPr>
  </w:style>
  <w:style w:type="character" w:styleId="ListLabel192">
    <w:name w:val="ListLabel 192"/>
    <w:qFormat/>
    <w:rPr>
      <w:rFonts w:ascii="Arial" w:hAnsi="Arial" w:eastAsia="Arial" w:cs="Arial"/>
      <w:i/>
      <w:color w:val="000000"/>
      <w:sz w:val="22"/>
      <w:szCs w:val="22"/>
      <w:lang w:val="ca-ES" w:eastAsia="en-US"/>
    </w:rPr>
  </w:style>
  <w:style w:type="character" w:styleId="ListLabel193">
    <w:name w:val="ListLabel 193"/>
    <w:qFormat/>
    <w:rPr>
      <w:rFonts w:ascii="Arial" w:hAnsi="Arial" w:eastAsia="Arial" w:cs="Arial"/>
      <w:i/>
      <w:sz w:val="22"/>
      <w:szCs w:val="22"/>
      <w:lang w:val="ca-ES" w:eastAsia="en-US"/>
    </w:rPr>
  </w:style>
  <w:style w:type="character" w:styleId="ListLabel194">
    <w:name w:val="ListLabel 194"/>
    <w:qFormat/>
    <w:rPr>
      <w:rFonts w:cs="OpenSymbol"/>
    </w:rPr>
  </w:style>
  <w:style w:type="character" w:styleId="ListLabel195">
    <w:name w:val="ListLabel 195"/>
    <w:qFormat/>
    <w:rPr>
      <w:rFonts w:cs="OpenSymbol"/>
    </w:rPr>
  </w:style>
  <w:style w:type="character" w:styleId="ListLabel196">
    <w:name w:val="ListLabel 196"/>
    <w:qFormat/>
    <w:rPr>
      <w:rFonts w:cs="OpenSymbol"/>
    </w:rPr>
  </w:style>
  <w:style w:type="character" w:styleId="ListLabel197">
    <w:name w:val="ListLabel 197"/>
    <w:qFormat/>
    <w:rPr>
      <w:rFonts w:cs="OpenSymbol"/>
    </w:rPr>
  </w:style>
  <w:style w:type="character" w:styleId="ListLabel198">
    <w:name w:val="ListLabel 198"/>
    <w:qFormat/>
    <w:rPr>
      <w:rFonts w:cs="OpenSymbol"/>
    </w:rPr>
  </w:style>
  <w:style w:type="character" w:styleId="ListLabel199">
    <w:name w:val="ListLabel 199"/>
    <w:qFormat/>
    <w:rPr>
      <w:rFonts w:cs="OpenSymbol"/>
    </w:rPr>
  </w:style>
  <w:style w:type="character" w:styleId="ListLabel200">
    <w:name w:val="ListLabel 200"/>
    <w:qFormat/>
    <w:rPr>
      <w:rFonts w:cs="OpenSymbol"/>
    </w:rPr>
  </w:style>
  <w:style w:type="character" w:styleId="ListLabel201">
    <w:name w:val="ListLabel 201"/>
    <w:qFormat/>
    <w:rPr>
      <w:rFonts w:cs="OpenSymbol"/>
    </w:rPr>
  </w:style>
  <w:style w:type="character" w:styleId="ListLabel202">
    <w:name w:val="ListLabel 202"/>
    <w:qFormat/>
    <w:rPr>
      <w:rFonts w:cs="OpenSymbol"/>
    </w:rPr>
  </w:style>
  <w:style w:type="character" w:styleId="ListLabel2863">
    <w:name w:val="ListLabel 2863"/>
    <w:qFormat/>
    <w:rPr>
      <w:rFonts w:ascii="Arial" w:hAnsi="Arial" w:eastAsia="Arial" w:cs="Arial"/>
      <w:i/>
      <w:iCs/>
      <w:sz w:val="20"/>
      <w:szCs w:val="20"/>
      <w:lang w:val="ca-ES" w:eastAsia="en-US" w:bidi="ar-SA"/>
    </w:rPr>
  </w:style>
  <w:style w:type="character" w:styleId="ListLabel2864">
    <w:name w:val="ListLabel 2864"/>
    <w:qFormat/>
    <w:rPr>
      <w:rFonts w:ascii="Arial" w:hAnsi="Arial" w:eastAsia="Arial" w:cs="Arial"/>
      <w:i/>
      <w:iCs/>
      <w:sz w:val="20"/>
      <w:szCs w:val="20"/>
      <w:lang w:val="ca-ES" w:eastAsia="en-US" w:bidi="ar-SA"/>
    </w:rPr>
  </w:style>
  <w:style w:type="character" w:styleId="ListLabel2818">
    <w:name w:val="ListLabel 2818"/>
    <w:qFormat/>
    <w:rPr>
      <w:rFonts w:cs="OpenSymbol"/>
      <w:sz w:val="20"/>
    </w:rPr>
  </w:style>
  <w:style w:type="character" w:styleId="ListLabel2819">
    <w:name w:val="ListLabel 2819"/>
    <w:qFormat/>
    <w:rPr>
      <w:rFonts w:cs="OpenSymbol"/>
    </w:rPr>
  </w:style>
  <w:style w:type="character" w:styleId="ListLabel2820">
    <w:name w:val="ListLabel 2820"/>
    <w:qFormat/>
    <w:rPr>
      <w:rFonts w:cs="OpenSymbol"/>
    </w:rPr>
  </w:style>
  <w:style w:type="character" w:styleId="ListLabel2821">
    <w:name w:val="ListLabel 2821"/>
    <w:qFormat/>
    <w:rPr>
      <w:rFonts w:cs="OpenSymbol"/>
    </w:rPr>
  </w:style>
  <w:style w:type="character" w:styleId="ListLabel2822">
    <w:name w:val="ListLabel 2822"/>
    <w:qFormat/>
    <w:rPr>
      <w:rFonts w:cs="OpenSymbol"/>
    </w:rPr>
  </w:style>
  <w:style w:type="character" w:styleId="ListLabel2823">
    <w:name w:val="ListLabel 2823"/>
    <w:qFormat/>
    <w:rPr>
      <w:rFonts w:cs="OpenSymbol"/>
    </w:rPr>
  </w:style>
  <w:style w:type="character" w:styleId="ListLabel2824">
    <w:name w:val="ListLabel 2824"/>
    <w:qFormat/>
    <w:rPr>
      <w:rFonts w:cs="OpenSymbol"/>
    </w:rPr>
  </w:style>
  <w:style w:type="character" w:styleId="ListLabel2825">
    <w:name w:val="ListLabel 2825"/>
    <w:qFormat/>
    <w:rPr>
      <w:rFonts w:cs="OpenSymbol"/>
    </w:rPr>
  </w:style>
  <w:style w:type="character" w:styleId="ListLabel2826">
    <w:name w:val="ListLabel 2826"/>
    <w:qFormat/>
    <w:rPr>
      <w:rFonts w:cs="OpenSymbol"/>
    </w:rPr>
  </w:style>
  <w:style w:type="character" w:styleId="ListLabel2827">
    <w:name w:val="ListLabel 2827"/>
    <w:qFormat/>
    <w:rPr>
      <w:rFonts w:cs="OpenSymbol"/>
      <w:sz w:val="20"/>
    </w:rPr>
  </w:style>
  <w:style w:type="character" w:styleId="ListLabel2828">
    <w:name w:val="ListLabel 2828"/>
    <w:qFormat/>
    <w:rPr>
      <w:rFonts w:cs="OpenSymbol"/>
    </w:rPr>
  </w:style>
  <w:style w:type="character" w:styleId="ListLabel2829">
    <w:name w:val="ListLabel 2829"/>
    <w:qFormat/>
    <w:rPr>
      <w:rFonts w:cs="OpenSymbol"/>
    </w:rPr>
  </w:style>
  <w:style w:type="character" w:styleId="ListLabel2830">
    <w:name w:val="ListLabel 2830"/>
    <w:qFormat/>
    <w:rPr>
      <w:rFonts w:cs="OpenSymbol"/>
    </w:rPr>
  </w:style>
  <w:style w:type="character" w:styleId="ListLabel2831">
    <w:name w:val="ListLabel 2831"/>
    <w:qFormat/>
    <w:rPr>
      <w:rFonts w:cs="OpenSymbol"/>
    </w:rPr>
  </w:style>
  <w:style w:type="character" w:styleId="ListLabel2832">
    <w:name w:val="ListLabel 2832"/>
    <w:qFormat/>
    <w:rPr>
      <w:rFonts w:cs="OpenSymbol"/>
    </w:rPr>
  </w:style>
  <w:style w:type="character" w:styleId="ListLabel2833">
    <w:name w:val="ListLabel 2833"/>
    <w:qFormat/>
    <w:rPr>
      <w:rFonts w:cs="OpenSymbol"/>
    </w:rPr>
  </w:style>
  <w:style w:type="character" w:styleId="ListLabel2834">
    <w:name w:val="ListLabel 2834"/>
    <w:qFormat/>
    <w:rPr>
      <w:rFonts w:cs="OpenSymbol"/>
    </w:rPr>
  </w:style>
  <w:style w:type="character" w:styleId="ListLabel2835">
    <w:name w:val="ListLabel 2835"/>
    <w:qFormat/>
    <w:rPr>
      <w:rFonts w:cs="OpenSymbol"/>
    </w:rPr>
  </w:style>
  <w:style w:type="character" w:styleId="ListLabel2836">
    <w:name w:val="ListLabel 2836"/>
    <w:qFormat/>
    <w:rPr>
      <w:rFonts w:cs="OpenSymbol"/>
      <w:sz w:val="20"/>
    </w:rPr>
  </w:style>
  <w:style w:type="character" w:styleId="ListLabel2837">
    <w:name w:val="ListLabel 2837"/>
    <w:qFormat/>
    <w:rPr>
      <w:rFonts w:cs="OpenSymbol"/>
    </w:rPr>
  </w:style>
  <w:style w:type="character" w:styleId="ListLabel2838">
    <w:name w:val="ListLabel 2838"/>
    <w:qFormat/>
    <w:rPr>
      <w:rFonts w:cs="OpenSymbol"/>
    </w:rPr>
  </w:style>
  <w:style w:type="character" w:styleId="ListLabel2839">
    <w:name w:val="ListLabel 2839"/>
    <w:qFormat/>
    <w:rPr>
      <w:rFonts w:cs="OpenSymbol"/>
    </w:rPr>
  </w:style>
  <w:style w:type="character" w:styleId="ListLabel2840">
    <w:name w:val="ListLabel 2840"/>
    <w:qFormat/>
    <w:rPr>
      <w:rFonts w:cs="OpenSymbol"/>
    </w:rPr>
  </w:style>
  <w:style w:type="character" w:styleId="ListLabel2841">
    <w:name w:val="ListLabel 2841"/>
    <w:qFormat/>
    <w:rPr>
      <w:rFonts w:cs="OpenSymbol"/>
    </w:rPr>
  </w:style>
  <w:style w:type="character" w:styleId="ListLabel2842">
    <w:name w:val="ListLabel 2842"/>
    <w:qFormat/>
    <w:rPr>
      <w:rFonts w:cs="OpenSymbol"/>
    </w:rPr>
  </w:style>
  <w:style w:type="character" w:styleId="ListLabel2843">
    <w:name w:val="ListLabel 2843"/>
    <w:qFormat/>
    <w:rPr>
      <w:rFonts w:cs="OpenSymbol"/>
    </w:rPr>
  </w:style>
  <w:style w:type="character" w:styleId="ListLabel2844">
    <w:name w:val="ListLabel 2844"/>
    <w:qFormat/>
    <w:rPr>
      <w:rFonts w:cs="OpenSymbol"/>
    </w:rPr>
  </w:style>
  <w:style w:type="character" w:styleId="ListLabel2845">
    <w:name w:val="ListLabel 2845"/>
    <w:qFormat/>
    <w:rPr>
      <w:rFonts w:cs="OpenSymbol"/>
      <w:sz w:val="20"/>
    </w:rPr>
  </w:style>
  <w:style w:type="character" w:styleId="ListLabel2846">
    <w:name w:val="ListLabel 2846"/>
    <w:qFormat/>
    <w:rPr>
      <w:rFonts w:cs="OpenSymbol"/>
    </w:rPr>
  </w:style>
  <w:style w:type="character" w:styleId="ListLabel2847">
    <w:name w:val="ListLabel 2847"/>
    <w:qFormat/>
    <w:rPr>
      <w:rFonts w:cs="OpenSymbol"/>
    </w:rPr>
  </w:style>
  <w:style w:type="character" w:styleId="ListLabel2848">
    <w:name w:val="ListLabel 2848"/>
    <w:qFormat/>
    <w:rPr>
      <w:rFonts w:cs="OpenSymbol"/>
    </w:rPr>
  </w:style>
  <w:style w:type="character" w:styleId="ListLabel2849">
    <w:name w:val="ListLabel 2849"/>
    <w:qFormat/>
    <w:rPr>
      <w:rFonts w:cs="OpenSymbol"/>
    </w:rPr>
  </w:style>
  <w:style w:type="character" w:styleId="ListLabel2850">
    <w:name w:val="ListLabel 2850"/>
    <w:qFormat/>
    <w:rPr>
      <w:rFonts w:cs="OpenSymbol"/>
    </w:rPr>
  </w:style>
  <w:style w:type="character" w:styleId="ListLabel2851">
    <w:name w:val="ListLabel 2851"/>
    <w:qFormat/>
    <w:rPr>
      <w:rFonts w:cs="OpenSymbol"/>
    </w:rPr>
  </w:style>
  <w:style w:type="character" w:styleId="ListLabel2852">
    <w:name w:val="ListLabel 2852"/>
    <w:qFormat/>
    <w:rPr>
      <w:rFonts w:cs="OpenSymbol"/>
    </w:rPr>
  </w:style>
  <w:style w:type="character" w:styleId="ListLabel2853">
    <w:name w:val="ListLabel 2853"/>
    <w:qFormat/>
    <w:rPr>
      <w:rFonts w:cs="OpenSymbol"/>
    </w:rPr>
  </w:style>
  <w:style w:type="character" w:styleId="ListLabel2854">
    <w:name w:val="ListLabel 2854"/>
    <w:qFormat/>
    <w:rPr>
      <w:rFonts w:cs="OpenSymbol"/>
      <w:sz w:val="20"/>
    </w:rPr>
  </w:style>
  <w:style w:type="character" w:styleId="ListLabel2855">
    <w:name w:val="ListLabel 2855"/>
    <w:qFormat/>
    <w:rPr>
      <w:rFonts w:cs="OpenSymbol"/>
    </w:rPr>
  </w:style>
  <w:style w:type="character" w:styleId="ListLabel2856">
    <w:name w:val="ListLabel 2856"/>
    <w:qFormat/>
    <w:rPr>
      <w:rFonts w:cs="OpenSymbol"/>
    </w:rPr>
  </w:style>
  <w:style w:type="character" w:styleId="ListLabel2857">
    <w:name w:val="ListLabel 2857"/>
    <w:qFormat/>
    <w:rPr>
      <w:rFonts w:cs="OpenSymbol"/>
    </w:rPr>
  </w:style>
  <w:style w:type="character" w:styleId="ListLabel2858">
    <w:name w:val="ListLabel 2858"/>
    <w:qFormat/>
    <w:rPr>
      <w:rFonts w:cs="OpenSymbol"/>
    </w:rPr>
  </w:style>
  <w:style w:type="character" w:styleId="ListLabel2859">
    <w:name w:val="ListLabel 2859"/>
    <w:qFormat/>
    <w:rPr>
      <w:rFonts w:cs="OpenSymbol"/>
    </w:rPr>
  </w:style>
  <w:style w:type="character" w:styleId="ListLabel2860">
    <w:name w:val="ListLabel 2860"/>
    <w:qFormat/>
    <w:rPr>
      <w:rFonts w:cs="OpenSymbol"/>
    </w:rPr>
  </w:style>
  <w:style w:type="character" w:styleId="ListLabel2861">
    <w:name w:val="ListLabel 2861"/>
    <w:qFormat/>
    <w:rPr>
      <w:rFonts w:cs="OpenSymbol"/>
    </w:rPr>
  </w:style>
  <w:style w:type="character" w:styleId="ListLabel2862">
    <w:name w:val="ListLabel 2862"/>
    <w:qFormat/>
    <w:rPr>
      <w:rFonts w:cs="OpenSymbol"/>
    </w:rPr>
  </w:style>
  <w:style w:type="character" w:styleId="ListLabel2865">
    <w:name w:val="ListLabel 2865"/>
    <w:qFormat/>
    <w:rPr>
      <w:rFonts w:cs="OpenSymbol"/>
      <w:sz w:val="19"/>
    </w:rPr>
  </w:style>
  <w:style w:type="character" w:styleId="ListLabel2866">
    <w:name w:val="ListLabel 2866"/>
    <w:qFormat/>
    <w:rPr>
      <w:rFonts w:cs="OpenSymbol"/>
    </w:rPr>
  </w:style>
  <w:style w:type="character" w:styleId="ListLabel2867">
    <w:name w:val="ListLabel 2867"/>
    <w:qFormat/>
    <w:rPr>
      <w:rFonts w:cs="OpenSymbol"/>
    </w:rPr>
  </w:style>
  <w:style w:type="character" w:styleId="ListLabel2868">
    <w:name w:val="ListLabel 2868"/>
    <w:qFormat/>
    <w:rPr>
      <w:rFonts w:cs="OpenSymbol"/>
    </w:rPr>
  </w:style>
  <w:style w:type="character" w:styleId="ListLabel2869">
    <w:name w:val="ListLabel 2869"/>
    <w:qFormat/>
    <w:rPr>
      <w:rFonts w:cs="OpenSymbol"/>
    </w:rPr>
  </w:style>
  <w:style w:type="character" w:styleId="ListLabel2870">
    <w:name w:val="ListLabel 2870"/>
    <w:qFormat/>
    <w:rPr>
      <w:rFonts w:cs="OpenSymbol"/>
    </w:rPr>
  </w:style>
  <w:style w:type="character" w:styleId="ListLabel2871">
    <w:name w:val="ListLabel 2871"/>
    <w:qFormat/>
    <w:rPr>
      <w:rFonts w:cs="OpenSymbol"/>
    </w:rPr>
  </w:style>
  <w:style w:type="character" w:styleId="ListLabel2872">
    <w:name w:val="ListLabel 2872"/>
    <w:qFormat/>
    <w:rPr>
      <w:rFonts w:cs="OpenSymbol"/>
    </w:rPr>
  </w:style>
  <w:style w:type="character" w:styleId="ListLabel2873">
    <w:name w:val="ListLabel 2873"/>
    <w:qFormat/>
    <w:rPr>
      <w:rFonts w:cs="OpenSymbol"/>
    </w:rPr>
  </w:style>
  <w:style w:type="character" w:styleId="ListLabel2874">
    <w:name w:val="ListLabel 2874"/>
    <w:qFormat/>
    <w:rPr>
      <w:rFonts w:cs="OpenSymbol"/>
      <w:sz w:val="19"/>
    </w:rPr>
  </w:style>
  <w:style w:type="character" w:styleId="ListLabel2875">
    <w:name w:val="ListLabel 2875"/>
    <w:qFormat/>
    <w:rPr>
      <w:rFonts w:cs="OpenSymbol"/>
    </w:rPr>
  </w:style>
  <w:style w:type="character" w:styleId="ListLabel2876">
    <w:name w:val="ListLabel 2876"/>
    <w:qFormat/>
    <w:rPr>
      <w:rFonts w:cs="OpenSymbol"/>
    </w:rPr>
  </w:style>
  <w:style w:type="character" w:styleId="ListLabel2877">
    <w:name w:val="ListLabel 2877"/>
    <w:qFormat/>
    <w:rPr>
      <w:rFonts w:cs="OpenSymbol"/>
    </w:rPr>
  </w:style>
  <w:style w:type="character" w:styleId="ListLabel2878">
    <w:name w:val="ListLabel 2878"/>
    <w:qFormat/>
    <w:rPr>
      <w:rFonts w:cs="OpenSymbol"/>
    </w:rPr>
  </w:style>
  <w:style w:type="character" w:styleId="ListLabel2879">
    <w:name w:val="ListLabel 2879"/>
    <w:qFormat/>
    <w:rPr>
      <w:rFonts w:cs="OpenSymbol"/>
    </w:rPr>
  </w:style>
  <w:style w:type="character" w:styleId="ListLabel2880">
    <w:name w:val="ListLabel 2880"/>
    <w:qFormat/>
    <w:rPr>
      <w:rFonts w:cs="OpenSymbol"/>
    </w:rPr>
  </w:style>
  <w:style w:type="character" w:styleId="ListLabel2881">
    <w:name w:val="ListLabel 2881"/>
    <w:qFormat/>
    <w:rPr>
      <w:rFonts w:cs="OpenSymbol"/>
    </w:rPr>
  </w:style>
  <w:style w:type="character" w:styleId="ListLabel2882">
    <w:name w:val="ListLabel 2882"/>
    <w:qFormat/>
    <w:rPr>
      <w:rFonts w:cs="OpenSymbol"/>
    </w:rPr>
  </w:style>
  <w:style w:type="character" w:styleId="ListLabel2883">
    <w:name w:val="ListLabel 2883"/>
    <w:qFormat/>
    <w:rPr>
      <w:rFonts w:cs="OpenSymbol"/>
      <w:sz w:val="19"/>
    </w:rPr>
  </w:style>
  <w:style w:type="character" w:styleId="ListLabel2884">
    <w:name w:val="ListLabel 2884"/>
    <w:qFormat/>
    <w:rPr>
      <w:rFonts w:cs="OpenSymbol"/>
    </w:rPr>
  </w:style>
  <w:style w:type="character" w:styleId="ListLabel2885">
    <w:name w:val="ListLabel 2885"/>
    <w:qFormat/>
    <w:rPr>
      <w:rFonts w:cs="OpenSymbol"/>
    </w:rPr>
  </w:style>
  <w:style w:type="character" w:styleId="ListLabel2886">
    <w:name w:val="ListLabel 2886"/>
    <w:qFormat/>
    <w:rPr>
      <w:rFonts w:cs="OpenSymbol"/>
    </w:rPr>
  </w:style>
  <w:style w:type="character" w:styleId="ListLabel2887">
    <w:name w:val="ListLabel 2887"/>
    <w:qFormat/>
    <w:rPr>
      <w:rFonts w:cs="OpenSymbol"/>
    </w:rPr>
  </w:style>
  <w:style w:type="character" w:styleId="ListLabel2888">
    <w:name w:val="ListLabel 2888"/>
    <w:qFormat/>
    <w:rPr>
      <w:rFonts w:cs="OpenSymbol"/>
    </w:rPr>
  </w:style>
  <w:style w:type="character" w:styleId="ListLabel2889">
    <w:name w:val="ListLabel 2889"/>
    <w:qFormat/>
    <w:rPr>
      <w:rFonts w:cs="OpenSymbol"/>
    </w:rPr>
  </w:style>
  <w:style w:type="character" w:styleId="ListLabel2890">
    <w:name w:val="ListLabel 2890"/>
    <w:qFormat/>
    <w:rPr>
      <w:rFonts w:cs="OpenSymbol"/>
    </w:rPr>
  </w:style>
  <w:style w:type="character" w:styleId="ListLabel2891">
    <w:name w:val="ListLabel 2891"/>
    <w:qFormat/>
    <w:rPr>
      <w:rFonts w:cs="OpenSymbol"/>
    </w:rPr>
  </w:style>
  <w:style w:type="character" w:styleId="ListLabel2892">
    <w:name w:val="ListLabel 2892"/>
    <w:qFormat/>
    <w:rPr>
      <w:rFonts w:cs="OpenSymbol"/>
      <w:sz w:val="19"/>
    </w:rPr>
  </w:style>
  <w:style w:type="character" w:styleId="ListLabel2893">
    <w:name w:val="ListLabel 2893"/>
    <w:qFormat/>
    <w:rPr>
      <w:rFonts w:cs="OpenSymbol"/>
    </w:rPr>
  </w:style>
  <w:style w:type="character" w:styleId="ListLabel2894">
    <w:name w:val="ListLabel 2894"/>
    <w:qFormat/>
    <w:rPr>
      <w:rFonts w:cs="OpenSymbol"/>
    </w:rPr>
  </w:style>
  <w:style w:type="character" w:styleId="ListLabel2895">
    <w:name w:val="ListLabel 2895"/>
    <w:qFormat/>
    <w:rPr>
      <w:rFonts w:cs="OpenSymbol"/>
    </w:rPr>
  </w:style>
  <w:style w:type="character" w:styleId="ListLabel2896">
    <w:name w:val="ListLabel 2896"/>
    <w:qFormat/>
    <w:rPr>
      <w:rFonts w:cs="OpenSymbol"/>
    </w:rPr>
  </w:style>
  <w:style w:type="character" w:styleId="ListLabel2897">
    <w:name w:val="ListLabel 2897"/>
    <w:qFormat/>
    <w:rPr>
      <w:rFonts w:cs="OpenSymbol"/>
    </w:rPr>
  </w:style>
  <w:style w:type="character" w:styleId="ListLabel2898">
    <w:name w:val="ListLabel 2898"/>
    <w:qFormat/>
    <w:rPr>
      <w:rFonts w:cs="OpenSymbol"/>
    </w:rPr>
  </w:style>
  <w:style w:type="character" w:styleId="ListLabel2899">
    <w:name w:val="ListLabel 2899"/>
    <w:qFormat/>
    <w:rPr>
      <w:rFonts w:cs="OpenSymbol"/>
    </w:rPr>
  </w:style>
  <w:style w:type="character" w:styleId="ListLabel2900">
    <w:name w:val="ListLabel 2900"/>
    <w:qFormat/>
    <w:rPr>
      <w:rFonts w:cs="OpenSymbol"/>
    </w:rPr>
  </w:style>
  <w:style w:type="character" w:styleId="ListLabel2901">
    <w:name w:val="ListLabel 2901"/>
    <w:qFormat/>
    <w:rPr>
      <w:rFonts w:cs="OpenSymbol"/>
      <w:sz w:val="19"/>
    </w:rPr>
  </w:style>
  <w:style w:type="character" w:styleId="ListLabel2902">
    <w:name w:val="ListLabel 2902"/>
    <w:qFormat/>
    <w:rPr>
      <w:rFonts w:cs="OpenSymbol"/>
    </w:rPr>
  </w:style>
  <w:style w:type="character" w:styleId="ListLabel2903">
    <w:name w:val="ListLabel 2903"/>
    <w:qFormat/>
    <w:rPr>
      <w:rFonts w:cs="OpenSymbol"/>
    </w:rPr>
  </w:style>
  <w:style w:type="character" w:styleId="ListLabel2904">
    <w:name w:val="ListLabel 2904"/>
    <w:qFormat/>
    <w:rPr>
      <w:rFonts w:cs="OpenSymbol"/>
    </w:rPr>
  </w:style>
  <w:style w:type="character" w:styleId="ListLabel2905">
    <w:name w:val="ListLabel 2905"/>
    <w:qFormat/>
    <w:rPr>
      <w:rFonts w:cs="OpenSymbol"/>
    </w:rPr>
  </w:style>
  <w:style w:type="character" w:styleId="ListLabel2906">
    <w:name w:val="ListLabel 2906"/>
    <w:qFormat/>
    <w:rPr>
      <w:rFonts w:cs="OpenSymbol"/>
    </w:rPr>
  </w:style>
  <w:style w:type="character" w:styleId="ListLabel2907">
    <w:name w:val="ListLabel 2907"/>
    <w:qFormat/>
    <w:rPr>
      <w:rFonts w:cs="OpenSymbol"/>
    </w:rPr>
  </w:style>
  <w:style w:type="character" w:styleId="ListLabel2908">
    <w:name w:val="ListLabel 2908"/>
    <w:qFormat/>
    <w:rPr>
      <w:rFonts w:cs="OpenSymbol"/>
    </w:rPr>
  </w:style>
  <w:style w:type="character" w:styleId="ListLabel2909">
    <w:name w:val="ListLabel 2909"/>
    <w:qFormat/>
    <w:rPr>
      <w:rFonts w:cs="OpenSymbol"/>
    </w:rPr>
  </w:style>
  <w:style w:type="character" w:styleId="ListLabel2910">
    <w:name w:val="ListLabel 2910"/>
    <w:qFormat/>
    <w:rPr>
      <w:rFonts w:ascii="Arial" w:hAnsi="Arial" w:eastAsia="Arial" w:cs="Arial"/>
      <w:i/>
      <w:iCs/>
      <w:sz w:val="19"/>
      <w:szCs w:val="19"/>
      <w:lang w:val="ca-ES" w:eastAsia="en-US" w:bidi="ar-SA"/>
    </w:rPr>
  </w:style>
  <w:style w:type="character" w:styleId="ListLabel2911">
    <w:name w:val="ListLabel 2911"/>
    <w:qFormat/>
    <w:rPr>
      <w:rFonts w:ascii="Arial" w:hAnsi="Arial" w:eastAsia="Arial" w:cs="Arial"/>
      <w:i/>
      <w:iCs/>
      <w:sz w:val="19"/>
      <w:szCs w:val="19"/>
      <w:lang w:val="ca-ES" w:eastAsia="en-US" w:bidi="ar-SA"/>
    </w:rPr>
  </w:style>
  <w:style w:type="character" w:styleId="ListLabel2912">
    <w:name w:val="ListLabel 2912"/>
    <w:qFormat/>
    <w:rPr>
      <w:rFonts w:cs="OpenSymbol"/>
      <w:sz w:val="19"/>
    </w:rPr>
  </w:style>
  <w:style w:type="character" w:styleId="ListLabel2913">
    <w:name w:val="ListLabel 2913"/>
    <w:qFormat/>
    <w:rPr>
      <w:rFonts w:cs="OpenSymbol"/>
    </w:rPr>
  </w:style>
  <w:style w:type="character" w:styleId="ListLabel2914">
    <w:name w:val="ListLabel 2914"/>
    <w:qFormat/>
    <w:rPr>
      <w:rFonts w:cs="OpenSymbol"/>
    </w:rPr>
  </w:style>
  <w:style w:type="character" w:styleId="ListLabel2915">
    <w:name w:val="ListLabel 2915"/>
    <w:qFormat/>
    <w:rPr>
      <w:rFonts w:cs="OpenSymbol"/>
    </w:rPr>
  </w:style>
  <w:style w:type="character" w:styleId="ListLabel2916">
    <w:name w:val="ListLabel 2916"/>
    <w:qFormat/>
    <w:rPr>
      <w:rFonts w:cs="OpenSymbol"/>
    </w:rPr>
  </w:style>
  <w:style w:type="character" w:styleId="ListLabel2917">
    <w:name w:val="ListLabel 2917"/>
    <w:qFormat/>
    <w:rPr>
      <w:rFonts w:cs="OpenSymbol"/>
    </w:rPr>
  </w:style>
  <w:style w:type="character" w:styleId="ListLabel2918">
    <w:name w:val="ListLabel 2918"/>
    <w:qFormat/>
    <w:rPr>
      <w:rFonts w:cs="OpenSymbol"/>
    </w:rPr>
  </w:style>
  <w:style w:type="character" w:styleId="ListLabel2919">
    <w:name w:val="ListLabel 2919"/>
    <w:qFormat/>
    <w:rPr>
      <w:rFonts w:cs="OpenSymbol"/>
    </w:rPr>
  </w:style>
  <w:style w:type="character" w:styleId="ListLabel2920">
    <w:name w:val="ListLabel 2920"/>
    <w:qFormat/>
    <w:rPr>
      <w:rFonts w:cs="OpenSymbol"/>
    </w:rPr>
  </w:style>
  <w:style w:type="character" w:styleId="ListLabel2921">
    <w:name w:val="ListLabel 2921"/>
    <w:qFormat/>
    <w:rPr>
      <w:rFonts w:cs="OpenSymbol"/>
      <w:sz w:val="19"/>
    </w:rPr>
  </w:style>
  <w:style w:type="character" w:styleId="ListLabel2922">
    <w:name w:val="ListLabel 2922"/>
    <w:qFormat/>
    <w:rPr>
      <w:rFonts w:cs="OpenSymbol"/>
    </w:rPr>
  </w:style>
  <w:style w:type="character" w:styleId="ListLabel2923">
    <w:name w:val="ListLabel 2923"/>
    <w:qFormat/>
    <w:rPr>
      <w:rFonts w:cs="OpenSymbol"/>
    </w:rPr>
  </w:style>
  <w:style w:type="character" w:styleId="ListLabel2924">
    <w:name w:val="ListLabel 2924"/>
    <w:qFormat/>
    <w:rPr>
      <w:rFonts w:cs="OpenSymbol"/>
    </w:rPr>
  </w:style>
  <w:style w:type="character" w:styleId="ListLabel2925">
    <w:name w:val="ListLabel 2925"/>
    <w:qFormat/>
    <w:rPr>
      <w:rFonts w:cs="OpenSymbol"/>
    </w:rPr>
  </w:style>
  <w:style w:type="character" w:styleId="ListLabel2926">
    <w:name w:val="ListLabel 2926"/>
    <w:qFormat/>
    <w:rPr>
      <w:rFonts w:cs="OpenSymbol"/>
    </w:rPr>
  </w:style>
  <w:style w:type="character" w:styleId="ListLabel2927">
    <w:name w:val="ListLabel 2927"/>
    <w:qFormat/>
    <w:rPr>
      <w:rFonts w:cs="OpenSymbol"/>
    </w:rPr>
  </w:style>
  <w:style w:type="character" w:styleId="ListLabel2928">
    <w:name w:val="ListLabel 2928"/>
    <w:qFormat/>
    <w:rPr>
      <w:rFonts w:cs="OpenSymbol"/>
    </w:rPr>
  </w:style>
  <w:style w:type="character" w:styleId="ListLabel2929">
    <w:name w:val="ListLabel 2929"/>
    <w:qFormat/>
    <w:rPr>
      <w:rFonts w:cs="OpenSymbol"/>
    </w:rPr>
  </w:style>
  <w:style w:type="character" w:styleId="ListLabel2930">
    <w:name w:val="ListLabel 2930"/>
    <w:qFormat/>
    <w:rPr>
      <w:rFonts w:cs="OpenSymbol"/>
      <w:sz w:val="19"/>
    </w:rPr>
  </w:style>
  <w:style w:type="character" w:styleId="ListLabel2931">
    <w:name w:val="ListLabel 2931"/>
    <w:qFormat/>
    <w:rPr>
      <w:rFonts w:cs="OpenSymbol"/>
    </w:rPr>
  </w:style>
  <w:style w:type="character" w:styleId="ListLabel2932">
    <w:name w:val="ListLabel 2932"/>
    <w:qFormat/>
    <w:rPr>
      <w:rFonts w:cs="OpenSymbol"/>
    </w:rPr>
  </w:style>
  <w:style w:type="character" w:styleId="ListLabel2933">
    <w:name w:val="ListLabel 2933"/>
    <w:qFormat/>
    <w:rPr>
      <w:rFonts w:cs="OpenSymbol"/>
    </w:rPr>
  </w:style>
  <w:style w:type="character" w:styleId="ListLabel2934">
    <w:name w:val="ListLabel 2934"/>
    <w:qFormat/>
    <w:rPr>
      <w:rFonts w:cs="OpenSymbol"/>
    </w:rPr>
  </w:style>
  <w:style w:type="character" w:styleId="ListLabel2935">
    <w:name w:val="ListLabel 2935"/>
    <w:qFormat/>
    <w:rPr>
      <w:rFonts w:cs="OpenSymbol"/>
    </w:rPr>
  </w:style>
  <w:style w:type="character" w:styleId="ListLabel2936">
    <w:name w:val="ListLabel 2936"/>
    <w:qFormat/>
    <w:rPr>
      <w:rFonts w:cs="OpenSymbol"/>
    </w:rPr>
  </w:style>
  <w:style w:type="character" w:styleId="ListLabel2937">
    <w:name w:val="ListLabel 2937"/>
    <w:qFormat/>
    <w:rPr>
      <w:rFonts w:cs="OpenSymbol"/>
    </w:rPr>
  </w:style>
  <w:style w:type="character" w:styleId="ListLabel2938">
    <w:name w:val="ListLabel 2938"/>
    <w:qFormat/>
    <w:rPr>
      <w:rFonts w:cs="OpenSymbol"/>
    </w:rPr>
  </w:style>
  <w:style w:type="character" w:styleId="ListLabel2939">
    <w:name w:val="ListLabel 2939"/>
    <w:qFormat/>
    <w:rPr>
      <w:rFonts w:cs="OpenSymbol"/>
      <w:sz w:val="19"/>
    </w:rPr>
  </w:style>
  <w:style w:type="character" w:styleId="ListLabel2940">
    <w:name w:val="ListLabel 2940"/>
    <w:qFormat/>
    <w:rPr>
      <w:rFonts w:cs="OpenSymbol"/>
    </w:rPr>
  </w:style>
  <w:style w:type="character" w:styleId="ListLabel2941">
    <w:name w:val="ListLabel 2941"/>
    <w:qFormat/>
    <w:rPr>
      <w:rFonts w:cs="OpenSymbol"/>
    </w:rPr>
  </w:style>
  <w:style w:type="character" w:styleId="ListLabel2942">
    <w:name w:val="ListLabel 2942"/>
    <w:qFormat/>
    <w:rPr>
      <w:rFonts w:cs="OpenSymbol"/>
    </w:rPr>
  </w:style>
  <w:style w:type="character" w:styleId="ListLabel2943">
    <w:name w:val="ListLabel 2943"/>
    <w:qFormat/>
    <w:rPr>
      <w:rFonts w:cs="OpenSymbol"/>
    </w:rPr>
  </w:style>
  <w:style w:type="character" w:styleId="ListLabel2944">
    <w:name w:val="ListLabel 2944"/>
    <w:qFormat/>
    <w:rPr>
      <w:rFonts w:cs="OpenSymbol"/>
    </w:rPr>
  </w:style>
  <w:style w:type="character" w:styleId="ListLabel2945">
    <w:name w:val="ListLabel 2945"/>
    <w:qFormat/>
    <w:rPr>
      <w:rFonts w:cs="OpenSymbol"/>
    </w:rPr>
  </w:style>
  <w:style w:type="character" w:styleId="ListLabel2946">
    <w:name w:val="ListLabel 2946"/>
    <w:qFormat/>
    <w:rPr>
      <w:rFonts w:cs="OpenSymbol"/>
    </w:rPr>
  </w:style>
  <w:style w:type="character" w:styleId="ListLabel2947">
    <w:name w:val="ListLabel 2947"/>
    <w:qFormat/>
    <w:rPr>
      <w:rFonts w:cs="OpenSymbol"/>
    </w:rPr>
  </w:style>
  <w:style w:type="character" w:styleId="ListLabel2948">
    <w:name w:val="ListLabel 2948"/>
    <w:qFormat/>
    <w:rPr>
      <w:rFonts w:cs="OpenSymbol"/>
      <w:sz w:val="19"/>
    </w:rPr>
  </w:style>
  <w:style w:type="character" w:styleId="ListLabel2949">
    <w:name w:val="ListLabel 2949"/>
    <w:qFormat/>
    <w:rPr>
      <w:rFonts w:cs="OpenSymbol"/>
    </w:rPr>
  </w:style>
  <w:style w:type="character" w:styleId="ListLabel2950">
    <w:name w:val="ListLabel 2950"/>
    <w:qFormat/>
    <w:rPr>
      <w:rFonts w:cs="OpenSymbol"/>
    </w:rPr>
  </w:style>
  <w:style w:type="character" w:styleId="ListLabel2951">
    <w:name w:val="ListLabel 2951"/>
    <w:qFormat/>
    <w:rPr>
      <w:rFonts w:cs="OpenSymbol"/>
    </w:rPr>
  </w:style>
  <w:style w:type="character" w:styleId="ListLabel2952">
    <w:name w:val="ListLabel 2952"/>
    <w:qFormat/>
    <w:rPr>
      <w:rFonts w:cs="OpenSymbol"/>
    </w:rPr>
  </w:style>
  <w:style w:type="character" w:styleId="ListLabel2953">
    <w:name w:val="ListLabel 2953"/>
    <w:qFormat/>
    <w:rPr>
      <w:rFonts w:cs="OpenSymbol"/>
    </w:rPr>
  </w:style>
  <w:style w:type="character" w:styleId="ListLabel2954">
    <w:name w:val="ListLabel 2954"/>
    <w:qFormat/>
    <w:rPr>
      <w:rFonts w:cs="OpenSymbol"/>
    </w:rPr>
  </w:style>
  <w:style w:type="character" w:styleId="ListLabel2955">
    <w:name w:val="ListLabel 2955"/>
    <w:qFormat/>
    <w:rPr>
      <w:rFonts w:cs="OpenSymbol"/>
    </w:rPr>
  </w:style>
  <w:style w:type="character" w:styleId="ListLabel2956">
    <w:name w:val="ListLabel 2956"/>
    <w:qFormat/>
    <w:rPr>
      <w:rFonts w:cs="OpenSymbol"/>
    </w:rPr>
  </w:style>
  <w:style w:type="character" w:styleId="ListLabel2957">
    <w:name w:val="ListLabel 2957"/>
    <w:qFormat/>
    <w:rPr>
      <w:rFonts w:ascii="Arial" w:hAnsi="Arial" w:eastAsia="Arial" w:cs="Arial"/>
      <w:i/>
      <w:iCs/>
      <w:sz w:val="19"/>
      <w:szCs w:val="19"/>
      <w:lang w:val="ca-ES" w:eastAsia="en-US" w:bidi="ar-SA"/>
    </w:rPr>
  </w:style>
  <w:style w:type="character" w:styleId="ListLabel2958">
    <w:name w:val="ListLabel 2958"/>
    <w:qFormat/>
    <w:rPr>
      <w:rFonts w:ascii="Arial" w:hAnsi="Arial" w:eastAsia="Arial" w:cs="Arial"/>
      <w:i/>
      <w:iCs/>
      <w:sz w:val="19"/>
      <w:szCs w:val="19"/>
      <w:lang w:val="ca-ES" w:eastAsia="en-US" w:bidi="ar-SA"/>
    </w:rPr>
  </w:style>
  <w:style w:type="character" w:styleId="ListLabel2959">
    <w:name w:val="ListLabel 2959"/>
    <w:qFormat/>
    <w:rPr>
      <w:rFonts w:cs="OpenSymbol"/>
      <w:sz w:val="19"/>
    </w:rPr>
  </w:style>
  <w:style w:type="character" w:styleId="ListLabel2960">
    <w:name w:val="ListLabel 2960"/>
    <w:qFormat/>
    <w:rPr>
      <w:rFonts w:cs="OpenSymbol"/>
    </w:rPr>
  </w:style>
  <w:style w:type="character" w:styleId="ListLabel2961">
    <w:name w:val="ListLabel 2961"/>
    <w:qFormat/>
    <w:rPr>
      <w:rFonts w:cs="OpenSymbol"/>
    </w:rPr>
  </w:style>
  <w:style w:type="character" w:styleId="ListLabel2962">
    <w:name w:val="ListLabel 2962"/>
    <w:qFormat/>
    <w:rPr>
      <w:rFonts w:cs="OpenSymbol"/>
    </w:rPr>
  </w:style>
  <w:style w:type="character" w:styleId="ListLabel2963">
    <w:name w:val="ListLabel 2963"/>
    <w:qFormat/>
    <w:rPr>
      <w:rFonts w:cs="OpenSymbol"/>
    </w:rPr>
  </w:style>
  <w:style w:type="character" w:styleId="ListLabel2964">
    <w:name w:val="ListLabel 2964"/>
    <w:qFormat/>
    <w:rPr>
      <w:rFonts w:cs="OpenSymbol"/>
    </w:rPr>
  </w:style>
  <w:style w:type="character" w:styleId="ListLabel2965">
    <w:name w:val="ListLabel 2965"/>
    <w:qFormat/>
    <w:rPr>
      <w:rFonts w:cs="OpenSymbol"/>
    </w:rPr>
  </w:style>
  <w:style w:type="character" w:styleId="ListLabel2966">
    <w:name w:val="ListLabel 2966"/>
    <w:qFormat/>
    <w:rPr>
      <w:rFonts w:cs="OpenSymbol"/>
    </w:rPr>
  </w:style>
  <w:style w:type="character" w:styleId="ListLabel2967">
    <w:name w:val="ListLabel 2967"/>
    <w:qFormat/>
    <w:rPr>
      <w:rFonts w:cs="OpenSymbol"/>
    </w:rPr>
  </w:style>
  <w:style w:type="character" w:styleId="ListLabel2968">
    <w:name w:val="ListLabel 2968"/>
    <w:qFormat/>
    <w:rPr>
      <w:rFonts w:cs="OpenSymbol"/>
      <w:sz w:val="19"/>
    </w:rPr>
  </w:style>
  <w:style w:type="character" w:styleId="ListLabel2969">
    <w:name w:val="ListLabel 2969"/>
    <w:qFormat/>
    <w:rPr>
      <w:rFonts w:cs="OpenSymbol"/>
    </w:rPr>
  </w:style>
  <w:style w:type="character" w:styleId="ListLabel2970">
    <w:name w:val="ListLabel 2970"/>
    <w:qFormat/>
    <w:rPr>
      <w:rFonts w:cs="OpenSymbol"/>
    </w:rPr>
  </w:style>
  <w:style w:type="character" w:styleId="ListLabel2971">
    <w:name w:val="ListLabel 2971"/>
    <w:qFormat/>
    <w:rPr>
      <w:rFonts w:cs="OpenSymbol"/>
    </w:rPr>
  </w:style>
  <w:style w:type="character" w:styleId="ListLabel2972">
    <w:name w:val="ListLabel 2972"/>
    <w:qFormat/>
    <w:rPr>
      <w:rFonts w:cs="OpenSymbol"/>
    </w:rPr>
  </w:style>
  <w:style w:type="character" w:styleId="ListLabel2973">
    <w:name w:val="ListLabel 2973"/>
    <w:qFormat/>
    <w:rPr>
      <w:rFonts w:cs="OpenSymbol"/>
    </w:rPr>
  </w:style>
  <w:style w:type="character" w:styleId="ListLabel2974">
    <w:name w:val="ListLabel 2974"/>
    <w:qFormat/>
    <w:rPr>
      <w:rFonts w:cs="OpenSymbol"/>
    </w:rPr>
  </w:style>
  <w:style w:type="character" w:styleId="ListLabel2975">
    <w:name w:val="ListLabel 2975"/>
    <w:qFormat/>
    <w:rPr>
      <w:rFonts w:cs="OpenSymbol"/>
    </w:rPr>
  </w:style>
  <w:style w:type="character" w:styleId="ListLabel2976">
    <w:name w:val="ListLabel 2976"/>
    <w:qFormat/>
    <w:rPr>
      <w:rFonts w:cs="OpenSymbol"/>
    </w:rPr>
  </w:style>
  <w:style w:type="character" w:styleId="ListLabel2977">
    <w:name w:val="ListLabel 2977"/>
    <w:qFormat/>
    <w:rPr>
      <w:rFonts w:cs="OpenSymbol"/>
      <w:sz w:val="19"/>
    </w:rPr>
  </w:style>
  <w:style w:type="character" w:styleId="ListLabel2978">
    <w:name w:val="ListLabel 2978"/>
    <w:qFormat/>
    <w:rPr>
      <w:rFonts w:cs="OpenSymbol"/>
    </w:rPr>
  </w:style>
  <w:style w:type="character" w:styleId="ListLabel2979">
    <w:name w:val="ListLabel 2979"/>
    <w:qFormat/>
    <w:rPr>
      <w:rFonts w:cs="OpenSymbol"/>
    </w:rPr>
  </w:style>
  <w:style w:type="character" w:styleId="ListLabel2980">
    <w:name w:val="ListLabel 2980"/>
    <w:qFormat/>
    <w:rPr>
      <w:rFonts w:cs="OpenSymbol"/>
    </w:rPr>
  </w:style>
  <w:style w:type="character" w:styleId="ListLabel2981">
    <w:name w:val="ListLabel 2981"/>
    <w:qFormat/>
    <w:rPr>
      <w:rFonts w:cs="OpenSymbol"/>
    </w:rPr>
  </w:style>
  <w:style w:type="character" w:styleId="ListLabel2982">
    <w:name w:val="ListLabel 2982"/>
    <w:qFormat/>
    <w:rPr>
      <w:rFonts w:cs="OpenSymbol"/>
    </w:rPr>
  </w:style>
  <w:style w:type="character" w:styleId="ListLabel2983">
    <w:name w:val="ListLabel 2983"/>
    <w:qFormat/>
    <w:rPr>
      <w:rFonts w:cs="OpenSymbol"/>
    </w:rPr>
  </w:style>
  <w:style w:type="character" w:styleId="ListLabel2984">
    <w:name w:val="ListLabel 2984"/>
    <w:qFormat/>
    <w:rPr>
      <w:rFonts w:cs="OpenSymbol"/>
    </w:rPr>
  </w:style>
  <w:style w:type="character" w:styleId="ListLabel2985">
    <w:name w:val="ListLabel 2985"/>
    <w:qFormat/>
    <w:rPr>
      <w:rFonts w:cs="OpenSymbol"/>
    </w:rPr>
  </w:style>
  <w:style w:type="character" w:styleId="ListLabel2986">
    <w:name w:val="ListLabel 2986"/>
    <w:qFormat/>
    <w:rPr>
      <w:rFonts w:cs="OpenSymbol"/>
      <w:sz w:val="19"/>
    </w:rPr>
  </w:style>
  <w:style w:type="character" w:styleId="ListLabel2987">
    <w:name w:val="ListLabel 2987"/>
    <w:qFormat/>
    <w:rPr>
      <w:rFonts w:cs="OpenSymbol"/>
    </w:rPr>
  </w:style>
  <w:style w:type="character" w:styleId="ListLabel2988">
    <w:name w:val="ListLabel 2988"/>
    <w:qFormat/>
    <w:rPr>
      <w:rFonts w:cs="OpenSymbol"/>
    </w:rPr>
  </w:style>
  <w:style w:type="character" w:styleId="ListLabel2989">
    <w:name w:val="ListLabel 2989"/>
    <w:qFormat/>
    <w:rPr>
      <w:rFonts w:cs="OpenSymbol"/>
    </w:rPr>
  </w:style>
  <w:style w:type="character" w:styleId="ListLabel2990">
    <w:name w:val="ListLabel 2990"/>
    <w:qFormat/>
    <w:rPr>
      <w:rFonts w:cs="OpenSymbol"/>
    </w:rPr>
  </w:style>
  <w:style w:type="character" w:styleId="ListLabel2991">
    <w:name w:val="ListLabel 2991"/>
    <w:qFormat/>
    <w:rPr>
      <w:rFonts w:cs="OpenSymbol"/>
    </w:rPr>
  </w:style>
  <w:style w:type="character" w:styleId="ListLabel2992">
    <w:name w:val="ListLabel 2992"/>
    <w:qFormat/>
    <w:rPr>
      <w:rFonts w:cs="OpenSymbol"/>
    </w:rPr>
  </w:style>
  <w:style w:type="character" w:styleId="ListLabel2993">
    <w:name w:val="ListLabel 2993"/>
    <w:qFormat/>
    <w:rPr>
      <w:rFonts w:cs="OpenSymbol"/>
    </w:rPr>
  </w:style>
  <w:style w:type="character" w:styleId="ListLabel2994">
    <w:name w:val="ListLabel 2994"/>
    <w:qFormat/>
    <w:rPr>
      <w:rFonts w:cs="OpenSymbol"/>
    </w:rPr>
  </w:style>
  <w:style w:type="character" w:styleId="ListLabel2995">
    <w:name w:val="ListLabel 2995"/>
    <w:qFormat/>
    <w:rPr>
      <w:rFonts w:cs="OpenSymbol"/>
      <w:sz w:val="19"/>
    </w:rPr>
  </w:style>
  <w:style w:type="character" w:styleId="ListLabel2996">
    <w:name w:val="ListLabel 2996"/>
    <w:qFormat/>
    <w:rPr>
      <w:rFonts w:cs="OpenSymbol"/>
    </w:rPr>
  </w:style>
  <w:style w:type="character" w:styleId="ListLabel2997">
    <w:name w:val="ListLabel 2997"/>
    <w:qFormat/>
    <w:rPr>
      <w:rFonts w:cs="OpenSymbol"/>
    </w:rPr>
  </w:style>
  <w:style w:type="character" w:styleId="ListLabel2998">
    <w:name w:val="ListLabel 2998"/>
    <w:qFormat/>
    <w:rPr>
      <w:rFonts w:cs="OpenSymbol"/>
    </w:rPr>
  </w:style>
  <w:style w:type="character" w:styleId="ListLabel2999">
    <w:name w:val="ListLabel 2999"/>
    <w:qFormat/>
    <w:rPr>
      <w:rFonts w:cs="OpenSymbol"/>
    </w:rPr>
  </w:style>
  <w:style w:type="character" w:styleId="ListLabel3000">
    <w:name w:val="ListLabel 3000"/>
    <w:qFormat/>
    <w:rPr>
      <w:rFonts w:cs="OpenSymbol"/>
    </w:rPr>
  </w:style>
  <w:style w:type="character" w:styleId="ListLabel3001">
    <w:name w:val="ListLabel 3001"/>
    <w:qFormat/>
    <w:rPr>
      <w:rFonts w:cs="OpenSymbol"/>
    </w:rPr>
  </w:style>
  <w:style w:type="character" w:styleId="ListLabel3002">
    <w:name w:val="ListLabel 3002"/>
    <w:qFormat/>
    <w:rPr>
      <w:rFonts w:cs="OpenSymbol"/>
    </w:rPr>
  </w:style>
  <w:style w:type="character" w:styleId="ListLabel3003">
    <w:name w:val="ListLabel 3003"/>
    <w:qFormat/>
    <w:rPr>
      <w:rFonts w:cs="OpenSymbol"/>
    </w:rPr>
  </w:style>
  <w:style w:type="character" w:styleId="ListLabel3004">
    <w:name w:val="ListLabel 3004"/>
    <w:qFormat/>
    <w:rPr>
      <w:rFonts w:ascii="Arial" w:hAnsi="Arial" w:eastAsia="Arial" w:cs="Arial"/>
      <w:i/>
      <w:iCs/>
      <w:sz w:val="19"/>
      <w:szCs w:val="19"/>
      <w:lang w:val="ca-ES" w:eastAsia="en-US" w:bidi="ar-SA"/>
    </w:rPr>
  </w:style>
  <w:style w:type="character" w:styleId="ListLabel3005">
    <w:name w:val="ListLabel 3005"/>
    <w:qFormat/>
    <w:rPr>
      <w:rFonts w:ascii="Arial" w:hAnsi="Arial" w:eastAsia="Arial" w:cs="Arial"/>
      <w:i/>
      <w:iCs/>
      <w:sz w:val="19"/>
      <w:szCs w:val="19"/>
      <w:lang w:val="ca-ES" w:eastAsia="en-US" w:bidi="ar-SA"/>
    </w:rPr>
  </w:style>
  <w:style w:type="character" w:styleId="ListLabel3006">
    <w:name w:val="ListLabel 3006"/>
    <w:qFormat/>
    <w:rPr>
      <w:rFonts w:cs="OpenSymbol"/>
      <w:sz w:val="19"/>
    </w:rPr>
  </w:style>
  <w:style w:type="character" w:styleId="ListLabel3007">
    <w:name w:val="ListLabel 3007"/>
    <w:qFormat/>
    <w:rPr>
      <w:rFonts w:cs="OpenSymbol"/>
    </w:rPr>
  </w:style>
  <w:style w:type="character" w:styleId="ListLabel3008">
    <w:name w:val="ListLabel 3008"/>
    <w:qFormat/>
    <w:rPr>
      <w:rFonts w:cs="OpenSymbol"/>
    </w:rPr>
  </w:style>
  <w:style w:type="character" w:styleId="ListLabel3009">
    <w:name w:val="ListLabel 3009"/>
    <w:qFormat/>
    <w:rPr>
      <w:rFonts w:cs="OpenSymbol"/>
    </w:rPr>
  </w:style>
  <w:style w:type="character" w:styleId="ListLabel3010">
    <w:name w:val="ListLabel 3010"/>
    <w:qFormat/>
    <w:rPr>
      <w:rFonts w:cs="OpenSymbol"/>
    </w:rPr>
  </w:style>
  <w:style w:type="character" w:styleId="ListLabel3011">
    <w:name w:val="ListLabel 3011"/>
    <w:qFormat/>
    <w:rPr>
      <w:rFonts w:cs="OpenSymbol"/>
    </w:rPr>
  </w:style>
  <w:style w:type="character" w:styleId="ListLabel3012">
    <w:name w:val="ListLabel 3012"/>
    <w:qFormat/>
    <w:rPr>
      <w:rFonts w:cs="OpenSymbol"/>
    </w:rPr>
  </w:style>
  <w:style w:type="character" w:styleId="ListLabel3013">
    <w:name w:val="ListLabel 3013"/>
    <w:qFormat/>
    <w:rPr>
      <w:rFonts w:cs="OpenSymbol"/>
    </w:rPr>
  </w:style>
  <w:style w:type="character" w:styleId="ListLabel3014">
    <w:name w:val="ListLabel 3014"/>
    <w:qFormat/>
    <w:rPr>
      <w:rFonts w:cs="OpenSymbol"/>
    </w:rPr>
  </w:style>
  <w:style w:type="character" w:styleId="ListLabel3015">
    <w:name w:val="ListLabel 3015"/>
    <w:qFormat/>
    <w:rPr>
      <w:rFonts w:cs="OpenSymbol"/>
      <w:sz w:val="19"/>
    </w:rPr>
  </w:style>
  <w:style w:type="character" w:styleId="ListLabel3016">
    <w:name w:val="ListLabel 3016"/>
    <w:qFormat/>
    <w:rPr>
      <w:rFonts w:cs="OpenSymbol"/>
    </w:rPr>
  </w:style>
  <w:style w:type="character" w:styleId="ListLabel3017">
    <w:name w:val="ListLabel 3017"/>
    <w:qFormat/>
    <w:rPr>
      <w:rFonts w:cs="OpenSymbol"/>
    </w:rPr>
  </w:style>
  <w:style w:type="character" w:styleId="ListLabel3018">
    <w:name w:val="ListLabel 3018"/>
    <w:qFormat/>
    <w:rPr>
      <w:rFonts w:cs="OpenSymbol"/>
    </w:rPr>
  </w:style>
  <w:style w:type="character" w:styleId="ListLabel3019">
    <w:name w:val="ListLabel 3019"/>
    <w:qFormat/>
    <w:rPr>
      <w:rFonts w:cs="OpenSymbol"/>
    </w:rPr>
  </w:style>
  <w:style w:type="character" w:styleId="ListLabel3020">
    <w:name w:val="ListLabel 3020"/>
    <w:qFormat/>
    <w:rPr>
      <w:rFonts w:cs="OpenSymbol"/>
    </w:rPr>
  </w:style>
  <w:style w:type="character" w:styleId="ListLabel3021">
    <w:name w:val="ListLabel 3021"/>
    <w:qFormat/>
    <w:rPr>
      <w:rFonts w:cs="OpenSymbol"/>
    </w:rPr>
  </w:style>
  <w:style w:type="character" w:styleId="ListLabel3022">
    <w:name w:val="ListLabel 3022"/>
    <w:qFormat/>
    <w:rPr>
      <w:rFonts w:cs="OpenSymbol"/>
    </w:rPr>
  </w:style>
  <w:style w:type="character" w:styleId="ListLabel3023">
    <w:name w:val="ListLabel 3023"/>
    <w:qFormat/>
    <w:rPr>
      <w:rFonts w:cs="OpenSymbol"/>
    </w:rPr>
  </w:style>
  <w:style w:type="character" w:styleId="ListLabel3024">
    <w:name w:val="ListLabel 3024"/>
    <w:qFormat/>
    <w:rPr>
      <w:rFonts w:cs="OpenSymbol"/>
      <w:sz w:val="19"/>
    </w:rPr>
  </w:style>
  <w:style w:type="character" w:styleId="ListLabel3025">
    <w:name w:val="ListLabel 3025"/>
    <w:qFormat/>
    <w:rPr>
      <w:rFonts w:cs="OpenSymbol"/>
    </w:rPr>
  </w:style>
  <w:style w:type="character" w:styleId="ListLabel3026">
    <w:name w:val="ListLabel 3026"/>
    <w:qFormat/>
    <w:rPr>
      <w:rFonts w:cs="OpenSymbol"/>
    </w:rPr>
  </w:style>
  <w:style w:type="character" w:styleId="ListLabel3027">
    <w:name w:val="ListLabel 3027"/>
    <w:qFormat/>
    <w:rPr>
      <w:rFonts w:cs="OpenSymbol"/>
    </w:rPr>
  </w:style>
  <w:style w:type="character" w:styleId="ListLabel3028">
    <w:name w:val="ListLabel 3028"/>
    <w:qFormat/>
    <w:rPr>
      <w:rFonts w:cs="OpenSymbol"/>
    </w:rPr>
  </w:style>
  <w:style w:type="character" w:styleId="ListLabel3029">
    <w:name w:val="ListLabel 3029"/>
    <w:qFormat/>
    <w:rPr>
      <w:rFonts w:cs="OpenSymbol"/>
    </w:rPr>
  </w:style>
  <w:style w:type="character" w:styleId="ListLabel3030">
    <w:name w:val="ListLabel 3030"/>
    <w:qFormat/>
    <w:rPr>
      <w:rFonts w:cs="OpenSymbol"/>
    </w:rPr>
  </w:style>
  <w:style w:type="character" w:styleId="ListLabel3031">
    <w:name w:val="ListLabel 3031"/>
    <w:qFormat/>
    <w:rPr>
      <w:rFonts w:cs="OpenSymbol"/>
    </w:rPr>
  </w:style>
  <w:style w:type="character" w:styleId="ListLabel3032">
    <w:name w:val="ListLabel 3032"/>
    <w:qFormat/>
    <w:rPr>
      <w:rFonts w:cs="OpenSymbol"/>
    </w:rPr>
  </w:style>
  <w:style w:type="character" w:styleId="ListLabel3033">
    <w:name w:val="ListLabel 3033"/>
    <w:qFormat/>
    <w:rPr>
      <w:rFonts w:cs="OpenSymbol"/>
      <w:sz w:val="19"/>
    </w:rPr>
  </w:style>
  <w:style w:type="character" w:styleId="ListLabel3034">
    <w:name w:val="ListLabel 3034"/>
    <w:qFormat/>
    <w:rPr>
      <w:rFonts w:cs="OpenSymbol"/>
    </w:rPr>
  </w:style>
  <w:style w:type="character" w:styleId="ListLabel3035">
    <w:name w:val="ListLabel 3035"/>
    <w:qFormat/>
    <w:rPr>
      <w:rFonts w:cs="OpenSymbol"/>
    </w:rPr>
  </w:style>
  <w:style w:type="character" w:styleId="ListLabel3036">
    <w:name w:val="ListLabel 3036"/>
    <w:qFormat/>
    <w:rPr>
      <w:rFonts w:cs="OpenSymbol"/>
    </w:rPr>
  </w:style>
  <w:style w:type="character" w:styleId="ListLabel3037">
    <w:name w:val="ListLabel 3037"/>
    <w:qFormat/>
    <w:rPr>
      <w:rFonts w:cs="OpenSymbol"/>
    </w:rPr>
  </w:style>
  <w:style w:type="character" w:styleId="ListLabel3038">
    <w:name w:val="ListLabel 3038"/>
    <w:qFormat/>
    <w:rPr>
      <w:rFonts w:cs="OpenSymbol"/>
    </w:rPr>
  </w:style>
  <w:style w:type="character" w:styleId="ListLabel3039">
    <w:name w:val="ListLabel 3039"/>
    <w:qFormat/>
    <w:rPr>
      <w:rFonts w:cs="OpenSymbol"/>
    </w:rPr>
  </w:style>
  <w:style w:type="character" w:styleId="ListLabel3040">
    <w:name w:val="ListLabel 3040"/>
    <w:qFormat/>
    <w:rPr>
      <w:rFonts w:cs="OpenSymbol"/>
    </w:rPr>
  </w:style>
  <w:style w:type="character" w:styleId="ListLabel3041">
    <w:name w:val="ListLabel 3041"/>
    <w:qFormat/>
    <w:rPr>
      <w:rFonts w:cs="OpenSymbol"/>
    </w:rPr>
  </w:style>
  <w:style w:type="character" w:styleId="ListLabel3042">
    <w:name w:val="ListLabel 3042"/>
    <w:qFormat/>
    <w:rPr>
      <w:rFonts w:cs="OpenSymbol"/>
      <w:sz w:val="19"/>
    </w:rPr>
  </w:style>
  <w:style w:type="character" w:styleId="ListLabel3043">
    <w:name w:val="ListLabel 3043"/>
    <w:qFormat/>
    <w:rPr>
      <w:rFonts w:cs="OpenSymbol"/>
    </w:rPr>
  </w:style>
  <w:style w:type="character" w:styleId="ListLabel3044">
    <w:name w:val="ListLabel 3044"/>
    <w:qFormat/>
    <w:rPr>
      <w:rFonts w:cs="OpenSymbol"/>
    </w:rPr>
  </w:style>
  <w:style w:type="character" w:styleId="ListLabel3045">
    <w:name w:val="ListLabel 3045"/>
    <w:qFormat/>
    <w:rPr>
      <w:rFonts w:cs="OpenSymbol"/>
    </w:rPr>
  </w:style>
  <w:style w:type="character" w:styleId="ListLabel3046">
    <w:name w:val="ListLabel 3046"/>
    <w:qFormat/>
    <w:rPr>
      <w:rFonts w:cs="OpenSymbol"/>
    </w:rPr>
  </w:style>
  <w:style w:type="character" w:styleId="ListLabel3047">
    <w:name w:val="ListLabel 3047"/>
    <w:qFormat/>
    <w:rPr>
      <w:rFonts w:cs="OpenSymbol"/>
    </w:rPr>
  </w:style>
  <w:style w:type="character" w:styleId="ListLabel3048">
    <w:name w:val="ListLabel 3048"/>
    <w:qFormat/>
    <w:rPr>
      <w:rFonts w:cs="OpenSymbol"/>
    </w:rPr>
  </w:style>
  <w:style w:type="character" w:styleId="ListLabel3049">
    <w:name w:val="ListLabel 3049"/>
    <w:qFormat/>
    <w:rPr>
      <w:rFonts w:cs="OpenSymbol"/>
    </w:rPr>
  </w:style>
  <w:style w:type="character" w:styleId="ListLabel3050">
    <w:name w:val="ListLabel 3050"/>
    <w:qFormat/>
    <w:rPr>
      <w:rFonts w:cs="OpenSymbol"/>
    </w:rPr>
  </w:style>
  <w:style w:type="character" w:styleId="ListLabel3051">
    <w:name w:val="ListLabel 3051"/>
    <w:qFormat/>
    <w:rPr>
      <w:rFonts w:ascii="Arial" w:hAnsi="Arial" w:eastAsia="Arial" w:cs="Arial"/>
      <w:i/>
      <w:iCs/>
      <w:sz w:val="19"/>
      <w:szCs w:val="19"/>
      <w:lang w:val="ca-ES" w:eastAsia="en-US" w:bidi="ar-SA"/>
    </w:rPr>
  </w:style>
  <w:style w:type="character" w:styleId="ListLabel3052">
    <w:name w:val="ListLabel 3052"/>
    <w:qFormat/>
    <w:rPr>
      <w:rFonts w:ascii="Arial" w:hAnsi="Arial" w:eastAsia="Arial" w:cs="Arial"/>
      <w:i/>
      <w:iCs/>
      <w:sz w:val="19"/>
      <w:szCs w:val="19"/>
      <w:lang w:val="ca-ES" w:eastAsia="en-US" w:bidi="ar-SA"/>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before="0" w:after="120"/>
    </w:pPr>
    <w:rPr/>
  </w:style>
  <w:style w:type="paragraph" w:styleId="Lista">
    <w:name w:val="List"/>
    <w:basedOn w:val="Cuerpodetexto"/>
    <w:pPr/>
    <w:rPr>
      <w:sz w:val="22"/>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Encapalament" w:customStyle="1">
    <w:name w:val="Encapçalament"/>
    <w:basedOn w:val="Normal"/>
    <w:next w:val="Cuerpodetexto"/>
    <w:qFormat/>
    <w:pPr>
      <w:keepNext w:val="true"/>
      <w:spacing w:before="240" w:after="120"/>
    </w:pPr>
    <w:rPr/>
  </w:style>
  <w:style w:type="paragraph" w:styleId="Ndex" w:customStyle="1">
    <w:name w:val="Índex"/>
    <w:basedOn w:val="Normal"/>
    <w:qFormat/>
    <w:pPr>
      <w:suppressLineNumbers/>
    </w:pPr>
    <w:rPr>
      <w:sz w:val="22"/>
    </w:rPr>
  </w:style>
  <w:style w:type="paragraph" w:styleId="Titular">
    <w:name w:val="Title"/>
    <w:basedOn w:val="Normal"/>
    <w:next w:val="Normal"/>
    <w:uiPriority w:val="10"/>
    <w:qFormat/>
    <w:pPr>
      <w:keepNext w:val="true"/>
      <w:keepLines/>
      <w:spacing w:before="480" w:after="120"/>
    </w:pPr>
    <w:rPr>
      <w:b/>
      <w:sz w:val="72"/>
      <w:szCs w:val="72"/>
    </w:rPr>
  </w:style>
  <w:style w:type="paragraph" w:styleId="Caption">
    <w:name w:val="caption"/>
    <w:basedOn w:val="Normal"/>
    <w:qFormat/>
    <w:pPr>
      <w:suppressLineNumbers/>
      <w:spacing w:before="120" w:after="120"/>
    </w:pPr>
    <w:rPr/>
  </w:style>
  <w:style w:type="paragraph" w:styleId="Header1" w:customStyle="1">
    <w:name w:val="Header1"/>
    <w:basedOn w:val="Normal"/>
    <w:qFormat/>
    <w:pPr>
      <w:suppressLineNumbers/>
      <w:tabs>
        <w:tab w:val="clear" w:pos="720"/>
        <w:tab w:val="center" w:pos="4818" w:leader="none"/>
        <w:tab w:val="right" w:pos="9637" w:leader="none"/>
      </w:tabs>
    </w:pPr>
    <w:rPr/>
  </w:style>
  <w:style w:type="paragraph" w:styleId="Footer1" w:customStyle="1">
    <w:name w:val="Footer1"/>
    <w:basedOn w:val="Normal"/>
    <w:qFormat/>
    <w:pPr>
      <w:suppressLineNumbers/>
      <w:tabs>
        <w:tab w:val="clear" w:pos="720"/>
        <w:tab w:val="center" w:pos="4818" w:leader="none"/>
        <w:tab w:val="right" w:pos="9637" w:leader="none"/>
      </w:tabs>
      <w:textAlignment w:val="auto"/>
    </w:pPr>
    <w:rPr/>
  </w:style>
  <w:style w:type="paragraph" w:styleId="Header2" w:customStyle="1">
    <w:name w:val="Header2"/>
    <w:basedOn w:val="Normal"/>
    <w:qFormat/>
    <w:pPr>
      <w:suppressLineNumbers/>
      <w:tabs>
        <w:tab w:val="clear" w:pos="720"/>
        <w:tab w:val="right" w:pos="9637" w:leader="none"/>
      </w:tabs>
    </w:pPr>
    <w:rPr/>
  </w:style>
  <w:style w:type="paragraph" w:styleId="Footer2" w:customStyle="1">
    <w:name w:val="Footer2"/>
    <w:basedOn w:val="Normal"/>
    <w:qFormat/>
    <w:pPr>
      <w:suppressLineNumbers/>
      <w:tabs>
        <w:tab w:val="clear" w:pos="720"/>
        <w:tab w:val="right" w:pos="9637" w:leader="none"/>
      </w:tabs>
      <w:textAlignment w:val="auto"/>
    </w:pPr>
    <w:rPr/>
  </w:style>
  <w:style w:type="paragraph" w:styleId="Header3" w:customStyle="1">
    <w:name w:val="Header3"/>
    <w:basedOn w:val="Normal"/>
    <w:qFormat/>
    <w:pPr>
      <w:suppressLineNumbers/>
      <w:tabs>
        <w:tab w:val="clear" w:pos="720"/>
        <w:tab w:val="center" w:pos="4818" w:leader="none"/>
        <w:tab w:val="right" w:pos="9637" w:leader="none"/>
      </w:tabs>
    </w:pPr>
    <w:rPr/>
  </w:style>
  <w:style w:type="paragraph" w:styleId="Header4" w:customStyle="1">
    <w:name w:val="Header4"/>
    <w:basedOn w:val="Normal"/>
    <w:qFormat/>
    <w:pPr>
      <w:suppressLineNumbers/>
      <w:tabs>
        <w:tab w:val="clear" w:pos="720"/>
        <w:tab w:val="center" w:pos="4818" w:leader="none"/>
        <w:tab w:val="right" w:pos="9637" w:leader="none"/>
      </w:tabs>
    </w:pPr>
    <w:rPr/>
  </w:style>
  <w:style w:type="paragraph" w:styleId="Footer3" w:customStyle="1">
    <w:name w:val="Footer3"/>
    <w:basedOn w:val="Normal"/>
    <w:qFormat/>
    <w:pPr>
      <w:suppressLineNumbers/>
      <w:tabs>
        <w:tab w:val="clear" w:pos="720"/>
        <w:tab w:val="center" w:pos="4818" w:leader="none"/>
        <w:tab w:val="right" w:pos="9637" w:leader="none"/>
      </w:tabs>
      <w:textAlignment w:val="auto"/>
    </w:pPr>
    <w:rPr/>
  </w:style>
  <w:style w:type="paragraph" w:styleId="Contingutdelataula" w:customStyle="1">
    <w:name w:val="Contingut de la taula"/>
    <w:basedOn w:val="Normal"/>
    <w:qFormat/>
    <w:pPr>
      <w:suppressLineNumbers/>
    </w:pPr>
    <w:rPr/>
  </w:style>
  <w:style w:type="paragraph" w:styleId="Encapalamentdelataula" w:customStyle="1">
    <w:name w:val="Encapçalament de la taula"/>
    <w:basedOn w:val="Contingutdelataula"/>
    <w:qFormat/>
    <w:pPr>
      <w:jc w:val="center"/>
    </w:pPr>
    <w:rPr>
      <w:b/>
      <w:bCs/>
    </w:rPr>
  </w:style>
  <w:style w:type="paragraph" w:styleId="Cabecera">
    <w:name w:val="Header"/>
    <w:basedOn w:val="Normal"/>
    <w:pPr>
      <w:suppressLineNumbers/>
      <w:tabs>
        <w:tab w:val="clear" w:pos="720"/>
        <w:tab w:val="center" w:pos="5386" w:leader="none"/>
        <w:tab w:val="right" w:pos="10772" w:leader="none"/>
      </w:tabs>
    </w:pPr>
    <w:rPr/>
  </w:style>
  <w:style w:type="paragraph" w:styleId="Piedepgina">
    <w:name w:val="Footer"/>
    <w:basedOn w:val="Normal"/>
    <w:pPr>
      <w:suppressLineNumbers/>
      <w:tabs>
        <w:tab w:val="clear" w:pos="720"/>
        <w:tab w:val="center" w:pos="5386" w:leader="none"/>
        <w:tab w:val="right" w:pos="10772" w:leader="none"/>
      </w:tabs>
    </w:pPr>
    <w:rPr/>
  </w:style>
  <w:style w:type="paragraph" w:styleId="NormalWeb">
    <w:name w:val="Normal (Web)"/>
    <w:basedOn w:val="Normal"/>
    <w:qFormat/>
    <w:pPr>
      <w:widowControl/>
      <w:suppressAutoHyphens w:val="true"/>
      <w:spacing w:beforeAutospacing="1" w:afterAutospacing="1"/>
    </w:pPr>
    <w:rPr>
      <w:rFonts w:ascii="Times" w:hAnsi="Times" w:eastAsia="MS Mincho"/>
    </w:rPr>
  </w:style>
  <w:style w:type="paragraph" w:styleId="Subttulo">
    <w:name w:val="Subtitle"/>
    <w:basedOn w:val="Normal"/>
    <w:next w:val="Normal"/>
    <w:uiPriority w:val="11"/>
    <w:qFormat/>
    <w:pPr>
      <w:keepNext w:val="true"/>
      <w:keepLines/>
      <w:spacing w:before="360" w:after="80"/>
    </w:pPr>
    <w:rPr>
      <w:rFonts w:ascii="Georgia" w:hAnsi="Georgia" w:eastAsia="Georgia" w:cs="Georgia"/>
      <w:i/>
      <w:color w:val="666666"/>
      <w:sz w:val="48"/>
      <w:szCs w:val="48"/>
    </w:rPr>
  </w:style>
  <w:style w:type="paragraph" w:styleId="LOnormal">
    <w:name w:val="LO-normal"/>
    <w:qFormat/>
    <w:pPr>
      <w:widowControl/>
      <w:bidi w:val="0"/>
      <w:jc w:val="left"/>
    </w:pPr>
    <w:rPr>
      <w:rFonts w:ascii="Calibri" w:hAnsi="Calibri" w:eastAsia="NSimSun" w:cs="Arial"/>
      <w:color w:val="auto"/>
      <w:kern w:val="0"/>
      <w:sz w:val="20"/>
      <w:szCs w:val="20"/>
      <w:lang w:val="es-ES" w:eastAsia="zh-CN" w:bidi="hi-IN"/>
    </w:rPr>
  </w:style>
  <w:style w:type="paragraph" w:styleId="Contenidodelatabla">
    <w:name w:val="Contenido de la tabla"/>
    <w:basedOn w:val="LOnormal"/>
    <w:qFormat/>
    <w:pPr>
      <w:widowControl w:val="false"/>
      <w:suppressLineNumbers/>
      <w:suppressAutoHyphens w:val="false"/>
      <w:spacing w:lineRule="atLeast" w:line="1"/>
      <w:textAlignment w:val="top"/>
      <w:outlineLvl w:val="0"/>
    </w:pPr>
    <w:rPr>
      <w:w w:val="100"/>
      <w:position w:val="0"/>
      <w:sz w:val="20"/>
      <w:sz w:val="20"/>
      <w:effect w:val="none"/>
      <w:vertAlign w:val="baseline"/>
      <w:em w:val="none"/>
      <w:lang w:val="es-ES" w:eastAsia="en-US" w:bidi="ar-SA"/>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qFormat/>
    <w:pPr>
      <w:spacing w:line="1" w:lineRule="atLeast"/>
    </w:pPr>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ap.minhap.gob.es/bdnstrans" TargetMode="External"/><Relationship Id="rId3" Type="http://schemas.openxmlformats.org/officeDocument/2006/relationships/hyperlink" Target="http://www.carlet.es/" TargetMode="Externa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3.png"/>
</Relationships>
</file>

<file path=word/_rels/header1.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j2ijmsMRDvzhWiDuEfZbz/QsPqlg==">*AMUW2mVdDo8so8CGshdH/*nJxfFLYh/*pDuh9UCyZ9NmMb+*QIBrYT3gDyxdh75Q+*1LFU75S7dDdFT6i2LCm/*JHLQp8Cse4E+*L60AXz0X3/*2Je3k0zwnNjcPMs=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Application>LibreOffice/6.1.4.2$Windows_X86_64 LibreOffice_project/9d0f32d1f0b509096fd65e0d4bec26ddd1938fd3</Application>
  <Pages>15</Pages>
  <Words>4971</Words>
  <Characters>26791</Characters>
  <CharactersWithSpaces>31456</CharactersWithSpaces>
  <Paragraphs>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2008-07-23T07:13:00Z</dcterms:created>
  <dc:creator/>
  <dc:description/>
  <dc:language>es-ES</dc:language>
  <cp:lastModifiedBy/>
  <dcterms:modified xsi:type="dcterms:W3CDTF">2022-05-09T08:49:16Z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Informaci?n 1">
    <vt:lpwstr/>
  </property>
  <property fmtid="{D5CDD505-2E9C-101B-9397-08002B2CF9AE}" pid="6" name="Informaci?n 2">
    <vt:lpwstr/>
  </property>
  <property fmtid="{D5CDD505-2E9C-101B-9397-08002B2CF9AE}" pid="7" name="Informaci?n 3">
    <vt:lpwstr/>
  </property>
  <property fmtid="{D5CDD505-2E9C-101B-9397-08002B2CF9AE}" pid="8" name="Informaci?n 4">
    <vt:lpwstr/>
  </property>
  <property fmtid="{D5CDD505-2E9C-101B-9397-08002B2CF9AE}" pid="9" name="LinksUpToDate">
    <vt:bool>0</vt:bool>
  </property>
  <property fmtid="{D5CDD505-2E9C-101B-9397-08002B2CF9AE}" pid="10" name="ScaleCrop">
    <vt:bool>0</vt:bool>
  </property>
  <property fmtid="{D5CDD505-2E9C-101B-9397-08002B2CF9AE}" pid="11" name="ShareDoc">
    <vt:bool>0</vt:bool>
  </property>
</Properties>
</file>