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AB4B4AB" w:rsidR="00240178" w:rsidRDefault="0032683F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 O</w:t>
      </w:r>
      <w:r w:rsidR="00AF4EED">
        <w:rPr>
          <w:rFonts w:cs="Arial"/>
          <w:b/>
          <w:lang w:val="es-ES_tradnl"/>
        </w:rPr>
        <w:t xml:space="preserve">ficial de la </w:t>
      </w:r>
      <w:r>
        <w:rPr>
          <w:rFonts w:cs="Arial"/>
          <w:b/>
          <w:lang w:val="es-ES_tradnl"/>
        </w:rPr>
        <w:t>Generalitat de Catalunya</w:t>
      </w:r>
      <w:r w:rsidR="00AF4EED"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F75B48">
        <w:rPr>
          <w:rFonts w:cs="Arial"/>
          <w:b/>
          <w:lang w:val="pt-BR"/>
        </w:rPr>
        <w:t>nº 8664 y fecha 10 de mayo de 2022)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2683F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7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25</cp:revision>
  <dcterms:created xsi:type="dcterms:W3CDTF">2018-02-07T16:46:00Z</dcterms:created>
  <dcterms:modified xsi:type="dcterms:W3CDTF">2022-05-11T07:04:00Z</dcterms:modified>
</cp:coreProperties>
</file>