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media/image1.wmf" ContentType="image/x-wmf"/>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word/_rels/header2.xml.rels" ContentType="application/vnd.openxmlformats-package.relationships+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tLeast" w:line="200" w:before="0" w:after="0"/>
        <w:jc w:val="center"/>
        <w:rPr>
          <w:rFonts w:ascii="Tahoma;Bold" w:hAnsi="Tahoma;Bold" w:eastAsia="Tahoma;Bold" w:cs="Tahoma;Bold"/>
          <w:sz w:val="22"/>
          <w:szCs w:val="22"/>
        </w:rPr>
      </w:pPr>
      <w:r>
        <w:rPr>
          <w:rFonts w:eastAsia="Tahoma;Bold" w:cs="Tahoma;Bold" w:ascii="Tahoma;Bold" w:hAnsi="Tahoma;Bold"/>
          <w:sz w:val="22"/>
          <w:szCs w:val="22"/>
        </w:rPr>
        <w:t>ANUNCIO</w:t>
      </w:r>
    </w:p>
    <w:p>
      <w:pPr>
        <w:pStyle w:val="Normal"/>
        <w:spacing w:lineRule="atLeast" w:line="200" w:before="0" w:after="0"/>
        <w:jc w:val="center"/>
        <w:rPr>
          <w:rFonts w:ascii="Tahoma;Bold" w:hAnsi="Tahoma;Bold" w:eastAsia="Tahoma;Bold" w:cs="Tahoma;Bold"/>
          <w:sz w:val="22"/>
          <w:szCs w:val="22"/>
        </w:rPr>
      </w:pPr>
      <w:r>
        <w:rPr>
          <w:rFonts w:eastAsia="Tahoma;Bold" w:cs="Tahoma;Bold" w:ascii="Tahoma;Bold" w:hAnsi="Tahoma;Bold"/>
          <w:sz w:val="22"/>
          <w:szCs w:val="22"/>
        </w:rPr>
      </w:r>
    </w:p>
    <w:p>
      <w:pPr>
        <w:pStyle w:val="Normal"/>
        <w:jc w:val="both"/>
        <w:rPr/>
      </w:pPr>
      <w:r>
        <w:rPr>
          <w:rFonts w:eastAsia="Tahoma;Bold" w:cs="Tahoma;Bold" w:ascii="Tahoma;Bold" w:hAnsi="Tahoma;Bold"/>
          <w:b/>
          <w:bCs/>
          <w:sz w:val="22"/>
          <w:szCs w:val="22"/>
          <w:shd w:fill="auto" w:val="clear"/>
        </w:rPr>
        <w:t>PRIMERO.</w:t>
      </w:r>
      <w:r>
        <w:rPr>
          <w:rFonts w:eastAsia="Tahoma;Bold" w:cs="Tahoma;Bold" w:ascii="Tahoma;Bold" w:hAnsi="Tahoma;Bold"/>
          <w:b w:val="false"/>
          <w:bCs w:val="false"/>
          <w:sz w:val="22"/>
          <w:szCs w:val="22"/>
          <w:shd w:fill="auto" w:val="clear"/>
        </w:rPr>
        <w:t xml:space="preserve"> Aprobar las bases del procedimiento para el otrogamiento de las becas de formación dentro del programa “BecAlmassora-Futur” 2022 que a continuación se insertan:</w:t>
      </w:r>
    </w:p>
    <w:p>
      <w:pPr>
        <w:pStyle w:val="Normal"/>
        <w:bidi w:val="0"/>
        <w:jc w:val="both"/>
        <w:rPr/>
      </w:pPr>
      <w:r>
        <w:rPr>
          <w:rFonts w:cs="Tahoma;Bold" w:ascii="Tahoma;Bold" w:hAnsi="Tahoma;Bold"/>
          <w:b w:val="false"/>
          <w:bCs w:val="false"/>
          <w:color w:val="000000"/>
          <w:sz w:val="22"/>
          <w:szCs w:val="22"/>
        </w:rPr>
        <w:t>“</w:t>
      </w:r>
      <w:r>
        <w:rPr>
          <w:rFonts w:cs="Tahoma;Bold" w:ascii="Tahoma;Bold" w:hAnsi="Tahoma;Bold"/>
          <w:b/>
          <w:bCs/>
          <w:color w:val="000000"/>
          <w:sz w:val="22"/>
          <w:szCs w:val="22"/>
        </w:rPr>
        <w:t>BASES REGULADORAS DE LAS BECAS DE FORMACIÓN EN EL AYUNTAMIENTO DE ALMASSORA DENTRO DEL PROGRAMA “BecAlmassora-Futur” 2022</w:t>
      </w:r>
    </w:p>
    <w:p>
      <w:pPr>
        <w:pStyle w:val="Cuerpodetexto"/>
        <w:jc w:val="both"/>
        <w:rPr/>
      </w:pPr>
      <w:r>
        <w:rPr>
          <w:rFonts w:cs="Tahoma;Bold" w:ascii="Tahoma;Bold" w:hAnsi="Tahoma;Bold"/>
          <w:sz w:val="22"/>
          <w:u w:val="single"/>
        </w:rPr>
        <w:t>BASE PRIMERA.- Objeto y número de becas</w:t>
      </w:r>
      <w:r>
        <w:rPr/>
        <w:t xml:space="preserve"> </w:t>
      </w:r>
    </w:p>
    <w:p>
      <w:pPr>
        <w:pStyle w:val="Cuerpodetexto"/>
        <w:jc w:val="both"/>
        <w:rPr/>
      </w:pPr>
      <w:r>
        <w:rPr>
          <w:rFonts w:cs="Tahoma;Bold" w:ascii="Tahoma;Bold" w:hAnsi="Tahoma;Bold"/>
          <w:sz w:val="22"/>
        </w:rPr>
        <w:t>El objeto de la presente convocatoria es la concesión de hasta un máximo d</w:t>
      </w:r>
      <w:r>
        <w:rPr>
          <w:rFonts w:cs="Tahoma;Bold" w:ascii="Tahoma;Bold" w:hAnsi="Tahoma;Bold"/>
          <w:sz w:val="22"/>
          <w:shd w:fill="auto" w:val="clear"/>
        </w:rPr>
        <w:t xml:space="preserve">e </w:t>
      </w:r>
      <w:r>
        <w:rPr>
          <w:rFonts w:eastAsia="Times New Roman" w:cs="Tahoma;Bold" w:ascii="Tahoma;Bold" w:hAnsi="Tahoma;Bold"/>
          <w:color w:val="000000"/>
          <w:sz w:val="22"/>
          <w:szCs w:val="20"/>
          <w:shd w:fill="auto" w:val="clear"/>
          <w:lang w:val="es-ES" w:eastAsia="zh-CN" w:bidi="ar-SA"/>
        </w:rPr>
        <w:t>doce</w:t>
      </w:r>
      <w:r>
        <w:rPr>
          <w:rFonts w:cs="Tahoma;Bold" w:ascii="Tahoma;Bold" w:hAnsi="Tahoma;Bold"/>
          <w:sz w:val="22"/>
          <w:shd w:fill="auto" w:val="clear"/>
        </w:rPr>
        <w:t xml:space="preserve"> b</w:t>
      </w:r>
      <w:r>
        <w:rPr>
          <w:rFonts w:cs="Tahoma;Bold" w:ascii="Tahoma;Bold" w:hAnsi="Tahoma;Bold"/>
          <w:sz w:val="22"/>
        </w:rPr>
        <w:t xml:space="preserve">ecas de formación de personas estudiantes en Ayuntamiento de Almassora, de acuerdo con las características que se señalan en la base segunda de la presente convocatoria de concurrencia competitiva, dentro del programa “BecAlmassora-Futur” 2022. </w:t>
      </w:r>
    </w:p>
    <w:p>
      <w:pPr>
        <w:pStyle w:val="Cuerpodetexto"/>
        <w:jc w:val="both"/>
        <w:rPr>
          <w:rFonts w:ascii="Tahoma;Bold" w:hAnsi="Tahoma;Bold" w:cs="Tahoma;Bold"/>
          <w:sz w:val="22"/>
          <w:u w:val="single"/>
        </w:rPr>
      </w:pPr>
      <w:r>
        <w:rPr>
          <w:rFonts w:cs="Tahoma;Bold" w:ascii="Tahoma;Bold" w:hAnsi="Tahoma;Bold"/>
          <w:sz w:val="22"/>
          <w:u w:val="single"/>
        </w:rPr>
        <w:t xml:space="preserve">BASE SEGUNDA.- Características y requisitos </w:t>
      </w:r>
    </w:p>
    <w:p>
      <w:pPr>
        <w:pStyle w:val="Cuerpodetexto"/>
        <w:jc w:val="both"/>
        <w:rPr/>
      </w:pPr>
      <w:r>
        <w:rPr>
          <w:rFonts w:cs="Tahoma;Bold" w:ascii="Tahoma;Bold" w:hAnsi="Tahoma;Bold"/>
          <w:sz w:val="22"/>
        </w:rPr>
        <w:t>El objeto de este programa de ayudas es la concesión de</w:t>
      </w:r>
      <w:r>
        <w:rPr>
          <w:rFonts w:cs="Tahoma;Bold" w:ascii="Tahoma;Bold" w:hAnsi="Tahoma;Bold"/>
          <w:sz w:val="22"/>
          <w:shd w:fill="auto" w:val="clear"/>
        </w:rPr>
        <w:t xml:space="preserve"> </w:t>
      </w:r>
      <w:r>
        <w:rPr>
          <w:rFonts w:eastAsia="Times New Roman" w:cs="Tahoma;Bold" w:ascii="Tahoma;Bold" w:hAnsi="Tahoma;Bold"/>
          <w:color w:val="000000"/>
          <w:sz w:val="22"/>
          <w:szCs w:val="20"/>
          <w:shd w:fill="auto" w:val="clear"/>
          <w:lang w:val="es-ES" w:eastAsia="zh-CN" w:bidi="ar-SA"/>
        </w:rPr>
        <w:t>doce</w:t>
      </w:r>
      <w:r>
        <w:rPr>
          <w:rFonts w:cs="Tahoma;Bold" w:ascii="Tahoma;Bold" w:hAnsi="Tahoma;Bold"/>
          <w:sz w:val="22"/>
          <w:shd w:fill="auto" w:val="clear"/>
        </w:rPr>
        <w:t xml:space="preserve"> becas a jóvenes estudiantes para la realización de prácticas formativas como medio para afianzar los conocimientos teóricos adquiridos en la formación académica mediante la práctica de los mismos en los departamentos municipales acordes con la referida formación, dando con ello cumplimiento a la competencia municipal contemplada en el art. 35 f) de la Ley 15/2017 de 10 de noviembre de la Generalitat de Políticas </w:t>
      </w:r>
      <w:r>
        <w:rPr>
          <w:rFonts w:eastAsia="Times New Roman" w:cs="Tahoma;Bold" w:ascii="Tahoma;Bold" w:hAnsi="Tahoma;Bold"/>
          <w:color w:val="000000"/>
          <w:sz w:val="22"/>
          <w:szCs w:val="20"/>
          <w:shd w:fill="auto" w:val="clear"/>
          <w:lang w:val="es-ES" w:eastAsia="zh-CN" w:bidi="ar-SA"/>
        </w:rPr>
        <w:t>integrales de juventud.</w:t>
      </w:r>
    </w:p>
    <w:p>
      <w:pPr>
        <w:pStyle w:val="Cuerpodetexto"/>
        <w:jc w:val="both"/>
        <w:rPr>
          <w:rFonts w:ascii="Tahoma;Bold" w:hAnsi="Tahoma;Bold" w:cs="Tahoma;Bold"/>
          <w:sz w:val="22"/>
        </w:rPr>
      </w:pPr>
      <w:r>
        <w:rPr>
          <w:rFonts w:cs="Tahoma;Bold" w:ascii="Tahoma;Bold" w:hAnsi="Tahoma;Bold"/>
          <w:sz w:val="22"/>
        </w:rPr>
        <w:t>Los/as interesados/as solicitaran participar en el proyecto de formación en alguna de las áreas municipales en los cuales se requiera una titulación adecuada a su perfil.</w:t>
      </w:r>
    </w:p>
    <w:tbl>
      <w:tblPr>
        <w:tblW w:w="10172" w:type="dxa"/>
        <w:jc w:val="start"/>
        <w:tblInd w:w="-269" w:type="dxa"/>
        <w:tblLayout w:type="fixed"/>
        <w:tblCellMar>
          <w:top w:w="0" w:type="dxa"/>
          <w:start w:w="108" w:type="dxa"/>
          <w:bottom w:w="0" w:type="dxa"/>
          <w:end w:w="108" w:type="dxa"/>
        </w:tblCellMar>
      </w:tblPr>
      <w:tblGrid>
        <w:gridCol w:w="3675"/>
        <w:gridCol w:w="4619"/>
        <w:gridCol w:w="1878"/>
      </w:tblGrid>
      <w:tr>
        <w:trPr>
          <w:trHeight w:val="176" w:hRule="atLeast"/>
        </w:trPr>
        <w:tc>
          <w:tcPr>
            <w:tcW w:w="3675" w:type="dxa"/>
            <w:tcBorders>
              <w:top w:val="single" w:sz="8" w:space="0" w:color="000000"/>
              <w:start w:val="single" w:sz="8" w:space="0" w:color="000000"/>
              <w:bottom w:val="single" w:sz="8" w:space="0" w:color="000000"/>
            </w:tcBorders>
          </w:tcPr>
          <w:p>
            <w:pPr>
              <w:pStyle w:val="Normal"/>
              <w:spacing w:lineRule="atLeast" w:line="176" w:before="100" w:after="100"/>
              <w:jc w:val="center"/>
              <w:rPr>
                <w:rFonts w:ascii="Tahoma;Bold" w:hAnsi="Tahoma;Bold" w:eastAsia="Tahoma;Bold" w:cs="Tahoma;Bold"/>
                <w:sz w:val="22"/>
              </w:rPr>
            </w:pPr>
            <w:r>
              <w:rPr>
                <w:rFonts w:eastAsia="Tahoma;Bold" w:cs="Tahoma;Bold" w:ascii="Tahoma;Bold" w:hAnsi="Tahoma;Bold"/>
                <w:sz w:val="22"/>
              </w:rPr>
              <w:t xml:space="preserve">AREA Y NÚMERO DE BECAS </w:t>
            </w:r>
          </w:p>
        </w:tc>
        <w:tc>
          <w:tcPr>
            <w:tcW w:w="4619" w:type="dxa"/>
            <w:tcBorders>
              <w:top w:val="single" w:sz="8" w:space="0" w:color="000000"/>
              <w:start w:val="single" w:sz="8" w:space="0" w:color="000000"/>
              <w:bottom w:val="single" w:sz="8" w:space="0" w:color="000000"/>
            </w:tcBorders>
          </w:tcPr>
          <w:p>
            <w:pPr>
              <w:pStyle w:val="Normal"/>
              <w:spacing w:lineRule="atLeast" w:line="176" w:before="100" w:after="100"/>
              <w:jc w:val="center"/>
              <w:rPr>
                <w:rFonts w:ascii="Tahoma;Bold" w:hAnsi="Tahoma;Bold" w:eastAsia="Tahoma;Bold" w:cs="Tahoma;Bold"/>
                <w:sz w:val="22"/>
              </w:rPr>
            </w:pPr>
            <w:r>
              <w:rPr>
                <w:rFonts w:eastAsia="Tahoma;Bold" w:cs="Tahoma;Bold" w:ascii="Tahoma;Bold" w:hAnsi="Tahoma;Bold"/>
                <w:sz w:val="22"/>
              </w:rPr>
              <w:t xml:space="preserve">TITULACION NECESARIA </w:t>
            </w:r>
          </w:p>
        </w:tc>
        <w:tc>
          <w:tcPr>
            <w:tcW w:w="1878" w:type="dxa"/>
            <w:tcBorders>
              <w:top w:val="single" w:sz="8" w:space="0" w:color="000000"/>
              <w:start w:val="single" w:sz="8" w:space="0" w:color="000000"/>
              <w:bottom w:val="single" w:sz="8" w:space="0" w:color="000000"/>
              <w:end w:val="single" w:sz="8" w:space="0" w:color="000000"/>
            </w:tcBorders>
          </w:tcPr>
          <w:p>
            <w:pPr>
              <w:pStyle w:val="Normal"/>
              <w:spacing w:lineRule="atLeast" w:line="176" w:before="100" w:after="100"/>
              <w:jc w:val="center"/>
              <w:rPr>
                <w:rFonts w:ascii="Tahoma;Bold" w:hAnsi="Tahoma;Bold" w:eastAsia="Tahoma;Bold" w:cs="Tahoma;Bold"/>
                <w:sz w:val="22"/>
              </w:rPr>
            </w:pPr>
            <w:r>
              <w:rPr>
                <w:rFonts w:eastAsia="Tahoma;Bold" w:cs="Tahoma;Bold" w:ascii="Tahoma;Bold" w:hAnsi="Tahoma;Bold"/>
                <w:sz w:val="22"/>
              </w:rPr>
              <w:t>DURACIÓN</w:t>
            </w:r>
          </w:p>
        </w:tc>
      </w:tr>
      <w:tr>
        <w:trPr>
          <w:trHeight w:val="336" w:hRule="atLeast"/>
        </w:trPr>
        <w:tc>
          <w:tcPr>
            <w:tcW w:w="3675" w:type="dxa"/>
            <w:tcBorders>
              <w:top w:val="single" w:sz="8" w:space="0" w:color="000000"/>
              <w:start w:val="single" w:sz="8" w:space="0" w:color="000000"/>
              <w:bottom w:val="single" w:sz="8" w:space="0" w:color="000000"/>
            </w:tcBorders>
          </w:tcPr>
          <w:p>
            <w:pPr>
              <w:pStyle w:val="Normal"/>
              <w:spacing w:before="100" w:after="100"/>
              <w:jc w:val="both"/>
              <w:rPr>
                <w:rFonts w:ascii="Tahoma;Bold" w:hAnsi="Tahoma;Bold" w:eastAsia="Tahoma;Bold" w:cs="Tahoma;Bold"/>
                <w:sz w:val="22"/>
              </w:rPr>
            </w:pPr>
            <w:r>
              <w:rPr>
                <w:rFonts w:eastAsia="Tahoma;Bold" w:cs="Tahoma;Bold" w:ascii="Tahoma;Bold" w:hAnsi="Tahoma;Bold"/>
                <w:sz w:val="22"/>
              </w:rPr>
              <w:t>Área administrativa de SIAC (1 beca)</w:t>
            </w:r>
          </w:p>
        </w:tc>
        <w:tc>
          <w:tcPr>
            <w:tcW w:w="4619" w:type="dxa"/>
            <w:tcBorders>
              <w:top w:val="single" w:sz="8" w:space="0" w:color="000000"/>
              <w:start w:val="single" w:sz="8" w:space="0" w:color="000000"/>
              <w:bottom w:val="single" w:sz="8" w:space="0" w:color="000000"/>
            </w:tcBorders>
          </w:tcPr>
          <w:p>
            <w:pPr>
              <w:pStyle w:val="Normal"/>
              <w:spacing w:before="100" w:after="100"/>
              <w:jc w:val="both"/>
              <w:rPr>
                <w:rFonts w:ascii="Tahoma;Bold" w:hAnsi="Tahoma;Bold" w:eastAsia="Tahoma;Bold" w:cs="Tahoma;Bold"/>
                <w:sz w:val="22"/>
              </w:rPr>
            </w:pPr>
            <w:r>
              <w:rPr>
                <w:rFonts w:eastAsia="Tahoma;Bold" w:cs="Tahoma;Bold" w:ascii="Tahoma;Bold" w:hAnsi="Tahoma;Bold"/>
                <w:sz w:val="22"/>
              </w:rPr>
              <w:t>Gestión y Administración Pública/Técnico en Gestión Administrativa</w:t>
            </w:r>
          </w:p>
        </w:tc>
        <w:tc>
          <w:tcPr>
            <w:tcW w:w="1878" w:type="dxa"/>
            <w:tcBorders>
              <w:top w:val="single" w:sz="8" w:space="0" w:color="000000"/>
              <w:start w:val="single" w:sz="8" w:space="0" w:color="000000"/>
              <w:bottom w:val="single" w:sz="8" w:space="0" w:color="000000"/>
              <w:end w:val="single" w:sz="8" w:space="0" w:color="000000"/>
            </w:tcBorders>
          </w:tcPr>
          <w:p>
            <w:pPr>
              <w:pStyle w:val="Normal"/>
              <w:spacing w:before="100" w:after="100"/>
              <w:jc w:val="both"/>
              <w:rPr>
                <w:rFonts w:ascii="Tahoma;Bold" w:hAnsi="Tahoma;Bold" w:eastAsia="Tahoma;Bold" w:cs="Tahoma;Bold"/>
                <w:sz w:val="22"/>
              </w:rPr>
            </w:pPr>
            <w:r>
              <w:rPr>
                <w:rFonts w:eastAsia="Tahoma;Bold" w:cs="Tahoma;Bold" w:ascii="Tahoma;Bold" w:hAnsi="Tahoma;Bold"/>
                <w:sz w:val="22"/>
              </w:rPr>
              <w:t>3 meses</w:t>
            </w:r>
          </w:p>
        </w:tc>
      </w:tr>
      <w:tr>
        <w:trPr>
          <w:trHeight w:val="336" w:hRule="atLeast"/>
        </w:trPr>
        <w:tc>
          <w:tcPr>
            <w:tcW w:w="3675" w:type="dxa"/>
            <w:tcBorders>
              <w:top w:val="single" w:sz="8" w:space="0" w:color="000000"/>
              <w:start w:val="single" w:sz="8" w:space="0" w:color="000000"/>
              <w:bottom w:val="single" w:sz="8" w:space="0" w:color="000000"/>
            </w:tcBorders>
          </w:tcPr>
          <w:p>
            <w:pPr>
              <w:pStyle w:val="Normal"/>
              <w:spacing w:before="100" w:after="100"/>
              <w:jc w:val="both"/>
              <w:rPr>
                <w:rFonts w:ascii="Tahoma;Bold" w:hAnsi="Tahoma;Bold" w:eastAsia="Tahoma;Bold" w:cs="Tahoma;Bold"/>
                <w:sz w:val="22"/>
              </w:rPr>
            </w:pPr>
            <w:r>
              <w:rPr>
                <w:rFonts w:eastAsia="Tahoma;Bold" w:cs="Tahoma;Bold" w:ascii="Tahoma;Bold" w:hAnsi="Tahoma;Bold"/>
                <w:sz w:val="22"/>
              </w:rPr>
              <w:t>Cultura (1 beca)</w:t>
            </w:r>
          </w:p>
        </w:tc>
        <w:tc>
          <w:tcPr>
            <w:tcW w:w="4619" w:type="dxa"/>
            <w:tcBorders>
              <w:top w:val="single" w:sz="8" w:space="0" w:color="000000"/>
              <w:start w:val="single" w:sz="8" w:space="0" w:color="000000"/>
              <w:bottom w:val="single" w:sz="8" w:space="0" w:color="000000"/>
            </w:tcBorders>
          </w:tcPr>
          <w:p>
            <w:pPr>
              <w:pStyle w:val="Normal"/>
              <w:spacing w:before="100" w:after="100"/>
              <w:jc w:val="both"/>
              <w:rPr>
                <w:rFonts w:ascii="Tahoma;Bold" w:hAnsi="Tahoma;Bold" w:eastAsia="Tahoma;Bold" w:cs="Tahoma;Bold"/>
                <w:color w:val="000000"/>
                <w:sz w:val="22"/>
                <w:szCs w:val="20"/>
              </w:rPr>
            </w:pPr>
            <w:r>
              <w:rPr>
                <w:rFonts w:eastAsia="Tahoma;Bold" w:cs="Tahoma;Bold" w:ascii="Tahoma;Bold" w:hAnsi="Tahoma;Bold"/>
                <w:color w:val="000000"/>
                <w:sz w:val="22"/>
                <w:szCs w:val="20"/>
              </w:rPr>
              <w:t>Grado en gestión cultural/Técnico Superior en Animación Socio Cultural</w:t>
            </w:r>
          </w:p>
        </w:tc>
        <w:tc>
          <w:tcPr>
            <w:tcW w:w="1878" w:type="dxa"/>
            <w:tcBorders>
              <w:top w:val="single" w:sz="8" w:space="0" w:color="000000"/>
              <w:start w:val="single" w:sz="8" w:space="0" w:color="000000"/>
              <w:bottom w:val="single" w:sz="8" w:space="0" w:color="000000"/>
              <w:end w:val="single" w:sz="8" w:space="0" w:color="000000"/>
            </w:tcBorders>
          </w:tcPr>
          <w:p>
            <w:pPr>
              <w:pStyle w:val="Normal"/>
              <w:spacing w:before="100" w:after="100"/>
              <w:jc w:val="both"/>
              <w:rPr>
                <w:rFonts w:ascii="Tahoma;Bold" w:hAnsi="Tahoma;Bold" w:eastAsia="Tahoma;Bold" w:cs="Tahoma;Bold"/>
                <w:sz w:val="22"/>
              </w:rPr>
            </w:pPr>
            <w:r>
              <w:rPr>
                <w:rFonts w:eastAsia="Tahoma;Bold" w:cs="Tahoma;Bold" w:ascii="Tahoma;Bold" w:hAnsi="Tahoma;Bold"/>
                <w:sz w:val="22"/>
              </w:rPr>
              <w:t>3 meses</w:t>
            </w:r>
          </w:p>
        </w:tc>
      </w:tr>
      <w:tr>
        <w:trPr>
          <w:trHeight w:val="336" w:hRule="atLeast"/>
        </w:trPr>
        <w:tc>
          <w:tcPr>
            <w:tcW w:w="3675" w:type="dxa"/>
            <w:tcBorders>
              <w:start w:val="single" w:sz="8" w:space="0" w:color="000000"/>
              <w:bottom w:val="single" w:sz="8" w:space="0" w:color="000000"/>
            </w:tcBorders>
          </w:tcPr>
          <w:p>
            <w:pPr>
              <w:pStyle w:val="Normal"/>
              <w:spacing w:before="100" w:after="100"/>
              <w:jc w:val="both"/>
              <w:rPr>
                <w:rFonts w:ascii="Tahoma;Bold" w:hAnsi="Tahoma;Bold" w:eastAsia="Tahoma;Bold" w:cs="Tahoma;Bold"/>
                <w:sz w:val="22"/>
              </w:rPr>
            </w:pPr>
            <w:r>
              <w:rPr>
                <w:rFonts w:eastAsia="Tahoma;Bold" w:cs="Tahoma;Bold" w:ascii="Tahoma;Bold" w:hAnsi="Tahoma;Bold"/>
                <w:sz w:val="22"/>
              </w:rPr>
              <w:t>Informática (1 beca)</w:t>
            </w:r>
          </w:p>
        </w:tc>
        <w:tc>
          <w:tcPr>
            <w:tcW w:w="4619" w:type="dxa"/>
            <w:tcBorders>
              <w:start w:val="single" w:sz="8" w:space="0" w:color="000000"/>
              <w:bottom w:val="single" w:sz="8" w:space="0" w:color="000000"/>
            </w:tcBorders>
          </w:tcPr>
          <w:p>
            <w:pPr>
              <w:pStyle w:val="Normal"/>
              <w:spacing w:before="100" w:after="100"/>
              <w:jc w:val="both"/>
              <w:rPr>
                <w:rFonts w:ascii="Tahoma;Bold" w:hAnsi="Tahoma;Bold" w:eastAsia="Tahoma;Bold" w:cs="Tahoma;Bold"/>
                <w:sz w:val="22"/>
              </w:rPr>
            </w:pPr>
            <w:r>
              <w:rPr>
                <w:rFonts w:eastAsia="Tahoma;Bold" w:cs="Tahoma;Bold" w:ascii="Tahoma;Bold" w:hAnsi="Tahoma;Bold"/>
                <w:sz w:val="22"/>
              </w:rPr>
              <w:t>Informática</w:t>
            </w:r>
          </w:p>
        </w:tc>
        <w:tc>
          <w:tcPr>
            <w:tcW w:w="1878" w:type="dxa"/>
            <w:tcBorders>
              <w:start w:val="single" w:sz="8" w:space="0" w:color="000000"/>
              <w:bottom w:val="single" w:sz="8" w:space="0" w:color="000000"/>
              <w:end w:val="single" w:sz="8" w:space="0" w:color="000000"/>
            </w:tcBorders>
          </w:tcPr>
          <w:p>
            <w:pPr>
              <w:pStyle w:val="Normal"/>
              <w:spacing w:before="100" w:after="100"/>
              <w:jc w:val="both"/>
              <w:rPr>
                <w:rFonts w:ascii="Tahoma;Bold" w:hAnsi="Tahoma;Bold" w:eastAsia="Tahoma;Bold" w:cs="Tahoma;Bold"/>
                <w:sz w:val="22"/>
              </w:rPr>
            </w:pPr>
            <w:r>
              <w:rPr>
                <w:rFonts w:eastAsia="Tahoma;Bold" w:cs="Tahoma;Bold" w:ascii="Tahoma;Bold" w:hAnsi="Tahoma;Bold"/>
                <w:sz w:val="22"/>
              </w:rPr>
              <w:t>3 meses</w:t>
            </w:r>
          </w:p>
        </w:tc>
      </w:tr>
      <w:tr>
        <w:trPr>
          <w:trHeight w:val="336" w:hRule="atLeast"/>
        </w:trPr>
        <w:tc>
          <w:tcPr>
            <w:tcW w:w="3675" w:type="dxa"/>
            <w:tcBorders>
              <w:start w:val="single" w:sz="8" w:space="0" w:color="000000"/>
              <w:bottom w:val="single" w:sz="8" w:space="0" w:color="000000"/>
            </w:tcBorders>
          </w:tcPr>
          <w:p>
            <w:pPr>
              <w:pStyle w:val="Normal"/>
              <w:spacing w:before="100" w:after="100"/>
              <w:jc w:val="both"/>
              <w:rPr>
                <w:rFonts w:ascii="Tahoma;Bold" w:hAnsi="Tahoma;Bold" w:eastAsia="Tahoma;Bold" w:cs="Tahoma;Bold"/>
                <w:sz w:val="22"/>
              </w:rPr>
            </w:pPr>
            <w:r>
              <w:rPr>
                <w:rFonts w:eastAsia="Tahoma;Bold" w:cs="Tahoma;Bold" w:ascii="Tahoma;Bold" w:hAnsi="Tahoma;Bold"/>
                <w:sz w:val="22"/>
              </w:rPr>
              <w:t>Gabinete de Alcaldía (1 beca)</w:t>
            </w:r>
          </w:p>
        </w:tc>
        <w:tc>
          <w:tcPr>
            <w:tcW w:w="4619" w:type="dxa"/>
            <w:tcBorders>
              <w:start w:val="single" w:sz="8" w:space="0" w:color="000000"/>
              <w:bottom w:val="single" w:sz="8" w:space="0" w:color="000000"/>
            </w:tcBorders>
          </w:tcPr>
          <w:p>
            <w:pPr>
              <w:pStyle w:val="Normal"/>
              <w:spacing w:before="100" w:after="100"/>
              <w:jc w:val="both"/>
              <w:rPr>
                <w:rFonts w:ascii="Tahoma;Bold" w:hAnsi="Tahoma;Bold" w:eastAsia="Tahoma;Bold" w:cs="Tahoma;Bold"/>
                <w:sz w:val="22"/>
              </w:rPr>
            </w:pPr>
            <w:r>
              <w:rPr>
                <w:rFonts w:eastAsia="Tahoma;Bold" w:cs="Tahoma;Bold" w:ascii="Tahoma;Bold" w:hAnsi="Tahoma;Bold"/>
                <w:sz w:val="22"/>
              </w:rPr>
              <w:t>Periodismo</w:t>
            </w:r>
          </w:p>
        </w:tc>
        <w:tc>
          <w:tcPr>
            <w:tcW w:w="1878" w:type="dxa"/>
            <w:tcBorders>
              <w:start w:val="single" w:sz="8" w:space="0" w:color="000000"/>
              <w:bottom w:val="single" w:sz="8" w:space="0" w:color="000000"/>
              <w:end w:val="single" w:sz="8" w:space="0" w:color="000000"/>
            </w:tcBorders>
          </w:tcPr>
          <w:p>
            <w:pPr>
              <w:pStyle w:val="Normal"/>
              <w:spacing w:before="100" w:after="100"/>
              <w:jc w:val="both"/>
              <w:rPr>
                <w:rFonts w:ascii="Tahoma;Bold" w:hAnsi="Tahoma;Bold" w:eastAsia="Tahoma;Bold" w:cs="Tahoma;Bold"/>
                <w:sz w:val="22"/>
              </w:rPr>
            </w:pPr>
            <w:r>
              <w:rPr>
                <w:rFonts w:eastAsia="Tahoma;Bold" w:cs="Tahoma;Bold" w:ascii="Tahoma;Bold" w:hAnsi="Tahoma;Bold"/>
                <w:sz w:val="22"/>
              </w:rPr>
              <w:t>3 meses</w:t>
            </w:r>
          </w:p>
        </w:tc>
      </w:tr>
      <w:tr>
        <w:trPr>
          <w:trHeight w:val="336" w:hRule="atLeast"/>
        </w:trPr>
        <w:tc>
          <w:tcPr>
            <w:tcW w:w="3675" w:type="dxa"/>
            <w:tcBorders>
              <w:start w:val="single" w:sz="8" w:space="0" w:color="000000"/>
              <w:bottom w:val="single" w:sz="8" w:space="0" w:color="000000"/>
            </w:tcBorders>
          </w:tcPr>
          <w:p>
            <w:pPr>
              <w:pStyle w:val="Normal"/>
              <w:spacing w:before="100" w:after="100"/>
              <w:jc w:val="both"/>
              <w:rPr>
                <w:rFonts w:ascii="Tahoma;Bold" w:hAnsi="Tahoma;Bold" w:eastAsia="Tahoma;Bold" w:cs="Tahoma;Bold"/>
                <w:sz w:val="22"/>
                <w:shd w:fill="FFFFFF" w:val="clear"/>
              </w:rPr>
            </w:pPr>
            <w:r>
              <w:rPr>
                <w:rFonts w:eastAsia="Tahoma;Bold" w:cs="Tahoma;Bold" w:ascii="Tahoma;Bold" w:hAnsi="Tahoma;Bold"/>
                <w:sz w:val="22"/>
                <w:shd w:fill="FFFFFF" w:val="clear"/>
              </w:rPr>
              <w:t>Archivo (1 beca)</w:t>
            </w:r>
          </w:p>
        </w:tc>
        <w:tc>
          <w:tcPr>
            <w:tcW w:w="4619" w:type="dxa"/>
            <w:tcBorders>
              <w:start w:val="single" w:sz="8" w:space="0" w:color="000000"/>
              <w:bottom w:val="single" w:sz="8" w:space="0" w:color="000000"/>
            </w:tcBorders>
          </w:tcPr>
          <w:p>
            <w:pPr>
              <w:pStyle w:val="Cuerpodetexto"/>
              <w:spacing w:before="100" w:after="100"/>
              <w:jc w:val="both"/>
              <w:rPr/>
            </w:pPr>
            <w:r>
              <w:rPr>
                <w:rFonts w:eastAsia="Tahoma;Bold" w:cs="Tahoma;Bold" w:ascii="Tahoma;Bold" w:hAnsi="Tahoma;Bold"/>
                <w:sz w:val="22"/>
              </w:rPr>
              <w:t>-</w:t>
            </w:r>
            <w:r>
              <w:rPr>
                <w:rFonts w:eastAsia="Tahoma;Bold" w:cs="Tahoma;Bold" w:ascii="Tahoma;Bold" w:hAnsi="Tahoma;Bold"/>
                <w:sz w:val="22"/>
                <w:szCs w:val="22"/>
              </w:rPr>
              <w:t>Grado en información y documentación/Grado en documentación/Ciclo formativo grado superior en biblioteconomía y documentación/Grado en Historia</w:t>
            </w:r>
          </w:p>
          <w:p>
            <w:pPr>
              <w:pStyle w:val="Cuerpodetexto"/>
              <w:spacing w:before="100" w:after="100"/>
              <w:jc w:val="both"/>
              <w:rPr>
                <w:rFonts w:ascii="Liberation Serif;Times New Roman" w:hAnsi="Liberation Serif;Times New Roman" w:cs="Liberation Serif;Times New Roman"/>
              </w:rPr>
            </w:pPr>
            <w:r>
              <w:rPr>
                <w:rFonts w:cs="Liberation Serif;Times New Roman" w:ascii="Liberation Serif;Times New Roman" w:hAnsi="Liberation Serif;Times New Roman"/>
              </w:rPr>
            </w:r>
          </w:p>
        </w:tc>
        <w:tc>
          <w:tcPr>
            <w:tcW w:w="1878" w:type="dxa"/>
            <w:tcBorders>
              <w:start w:val="single" w:sz="8" w:space="0" w:color="000000"/>
              <w:bottom w:val="single" w:sz="8" w:space="0" w:color="000000"/>
              <w:end w:val="single" w:sz="8" w:space="0" w:color="000000"/>
            </w:tcBorders>
          </w:tcPr>
          <w:p>
            <w:pPr>
              <w:pStyle w:val="Normal"/>
              <w:spacing w:before="100" w:after="100"/>
              <w:jc w:val="both"/>
              <w:rPr>
                <w:rFonts w:ascii="Tahoma;Bold" w:hAnsi="Tahoma;Bold" w:eastAsia="Tahoma;Bold" w:cs="Tahoma;Bold"/>
                <w:sz w:val="22"/>
              </w:rPr>
            </w:pPr>
            <w:r>
              <w:rPr>
                <w:rFonts w:eastAsia="Tahoma;Bold" w:cs="Tahoma;Bold" w:ascii="Tahoma;Bold" w:hAnsi="Tahoma;Bold"/>
                <w:sz w:val="22"/>
              </w:rPr>
              <w:t>3 meses</w:t>
            </w:r>
          </w:p>
        </w:tc>
      </w:tr>
      <w:tr>
        <w:trPr>
          <w:trHeight w:val="336" w:hRule="atLeast"/>
        </w:trPr>
        <w:tc>
          <w:tcPr>
            <w:tcW w:w="3675" w:type="dxa"/>
            <w:tcBorders>
              <w:start w:val="single" w:sz="8" w:space="0" w:color="000000"/>
              <w:bottom w:val="single" w:sz="8" w:space="0" w:color="000000"/>
            </w:tcBorders>
          </w:tcPr>
          <w:p>
            <w:pPr>
              <w:pStyle w:val="Normal"/>
              <w:spacing w:before="100" w:after="100"/>
              <w:jc w:val="both"/>
              <w:rPr>
                <w:rFonts w:ascii="Tahoma;Bold" w:hAnsi="Tahoma;Bold" w:eastAsia="Tahoma;Bold" w:cs="Tahoma;Bold"/>
                <w:sz w:val="22"/>
              </w:rPr>
            </w:pPr>
            <w:r>
              <w:rPr>
                <w:rFonts w:eastAsia="Tahoma;Bold" w:cs="Tahoma;Bold" w:ascii="Tahoma;Bold" w:hAnsi="Tahoma;Bold"/>
                <w:sz w:val="22"/>
              </w:rPr>
              <w:t>Dinamització Lingüística (1 beca)</w:t>
            </w:r>
          </w:p>
        </w:tc>
        <w:tc>
          <w:tcPr>
            <w:tcW w:w="4619" w:type="dxa"/>
            <w:tcBorders>
              <w:start w:val="single" w:sz="8" w:space="0" w:color="000000"/>
              <w:bottom w:val="single" w:sz="8" w:space="0" w:color="000000"/>
            </w:tcBorders>
          </w:tcPr>
          <w:p>
            <w:pPr>
              <w:pStyle w:val="Normal"/>
              <w:spacing w:before="100" w:after="100"/>
              <w:jc w:val="both"/>
              <w:rPr>
                <w:rFonts w:ascii="Tahoma;Bold" w:hAnsi="Tahoma;Bold" w:eastAsia="Tahoma;Bold" w:cs="Tahoma;Bold"/>
                <w:sz w:val="22"/>
              </w:rPr>
            </w:pPr>
            <w:r>
              <w:rPr>
                <w:rFonts w:eastAsia="Tahoma;Bold" w:cs="Tahoma;Bold" w:ascii="Tahoma;Bold" w:hAnsi="Tahoma;Bold"/>
                <w:sz w:val="22"/>
              </w:rPr>
              <w:t xml:space="preserve">Grau de Filologia Catalana/ Grau de Llengua i Literatura Catalanes/ Grau de Traducció i Interpretació, amb l’itinerari de català </w:t>
            </w:r>
          </w:p>
        </w:tc>
        <w:tc>
          <w:tcPr>
            <w:tcW w:w="1878" w:type="dxa"/>
            <w:tcBorders>
              <w:start w:val="single" w:sz="8" w:space="0" w:color="000000"/>
              <w:bottom w:val="single" w:sz="8" w:space="0" w:color="000000"/>
              <w:end w:val="single" w:sz="8" w:space="0" w:color="000000"/>
            </w:tcBorders>
          </w:tcPr>
          <w:p>
            <w:pPr>
              <w:pStyle w:val="Normal"/>
              <w:spacing w:before="100" w:after="100"/>
              <w:jc w:val="both"/>
              <w:rPr>
                <w:rFonts w:ascii="Tahoma;Bold" w:hAnsi="Tahoma;Bold" w:eastAsia="Tahoma;Bold" w:cs="Tahoma;Bold"/>
                <w:sz w:val="22"/>
              </w:rPr>
            </w:pPr>
            <w:r>
              <w:rPr>
                <w:rFonts w:eastAsia="Tahoma;Bold" w:cs="Tahoma;Bold" w:ascii="Tahoma;Bold" w:hAnsi="Tahoma;Bold"/>
                <w:sz w:val="22"/>
              </w:rPr>
              <w:t>3 meses</w:t>
            </w:r>
          </w:p>
        </w:tc>
      </w:tr>
      <w:tr>
        <w:trPr>
          <w:trHeight w:val="336" w:hRule="atLeast"/>
        </w:trPr>
        <w:tc>
          <w:tcPr>
            <w:tcW w:w="3675" w:type="dxa"/>
            <w:tcBorders>
              <w:start w:val="single" w:sz="8" w:space="0" w:color="000000"/>
              <w:bottom w:val="single" w:sz="8" w:space="0" w:color="000000"/>
            </w:tcBorders>
          </w:tcPr>
          <w:p>
            <w:pPr>
              <w:pStyle w:val="Normal"/>
              <w:spacing w:before="100" w:after="100"/>
              <w:jc w:val="both"/>
              <w:rPr>
                <w:rFonts w:ascii="Tahoma;Bold" w:hAnsi="Tahoma;Bold" w:eastAsia="Tahoma;Bold" w:cs="Tahoma;Bold"/>
                <w:sz w:val="22"/>
              </w:rPr>
            </w:pPr>
            <w:r>
              <w:rPr>
                <w:rFonts w:eastAsia="Tahoma;Bold" w:cs="Tahoma;Bold" w:ascii="Tahoma;Bold" w:hAnsi="Tahoma;Bold"/>
                <w:sz w:val="22"/>
              </w:rPr>
              <w:t>Gestión Tributaria (1 beca)</w:t>
            </w:r>
          </w:p>
        </w:tc>
        <w:tc>
          <w:tcPr>
            <w:tcW w:w="4619" w:type="dxa"/>
            <w:tcBorders>
              <w:start w:val="single" w:sz="8" w:space="0" w:color="000000"/>
              <w:bottom w:val="single" w:sz="8" w:space="0" w:color="000000"/>
            </w:tcBorders>
          </w:tcPr>
          <w:p>
            <w:pPr>
              <w:pStyle w:val="Normal"/>
              <w:spacing w:before="100" w:after="100"/>
              <w:jc w:val="both"/>
              <w:rPr/>
            </w:pPr>
            <w:r>
              <w:rPr>
                <w:rFonts w:eastAsia="Tahoma;Bold" w:cs="Tahoma;Bold" w:ascii="Tahoma;Bold" w:hAnsi="Tahoma;Bold"/>
                <w:color w:val="000000"/>
                <w:sz w:val="22"/>
                <w:szCs w:val="20"/>
              </w:rPr>
              <w:t>Grado en Economía/ Grado en Finanzas y contabilidad /</w:t>
            </w:r>
            <w:r>
              <w:rPr>
                <w:rFonts w:eastAsia="Tahoma;Bold" w:cs="Tahoma;Bold" w:ascii="Tahoma;Bold" w:hAnsi="Tahoma;Bold"/>
                <w:sz w:val="22"/>
                <w:szCs w:val="20"/>
              </w:rPr>
              <w:t xml:space="preserve">Gestión y Administración Pública/Derecho </w:t>
            </w:r>
          </w:p>
        </w:tc>
        <w:tc>
          <w:tcPr>
            <w:tcW w:w="1878" w:type="dxa"/>
            <w:tcBorders>
              <w:start w:val="single" w:sz="8" w:space="0" w:color="000000"/>
              <w:bottom w:val="single" w:sz="8" w:space="0" w:color="000000"/>
              <w:end w:val="single" w:sz="8" w:space="0" w:color="000000"/>
            </w:tcBorders>
          </w:tcPr>
          <w:p>
            <w:pPr>
              <w:pStyle w:val="Normal"/>
              <w:spacing w:before="100" w:after="100"/>
              <w:jc w:val="both"/>
              <w:rPr>
                <w:rFonts w:ascii="Tahoma;Bold" w:hAnsi="Tahoma;Bold" w:eastAsia="Tahoma;Bold" w:cs="Tahoma;Bold"/>
                <w:sz w:val="22"/>
              </w:rPr>
            </w:pPr>
            <w:r>
              <w:rPr>
                <w:rFonts w:eastAsia="Tahoma;Bold" w:cs="Tahoma;Bold" w:ascii="Tahoma;Bold" w:hAnsi="Tahoma;Bold"/>
                <w:sz w:val="22"/>
              </w:rPr>
              <w:t>3 meses</w:t>
            </w:r>
          </w:p>
        </w:tc>
      </w:tr>
      <w:tr>
        <w:trPr>
          <w:trHeight w:val="336" w:hRule="atLeast"/>
        </w:trPr>
        <w:tc>
          <w:tcPr>
            <w:tcW w:w="3675" w:type="dxa"/>
            <w:tcBorders>
              <w:start w:val="single" w:sz="8" w:space="0" w:color="000000"/>
              <w:bottom w:val="single" w:sz="8" w:space="0" w:color="000000"/>
            </w:tcBorders>
          </w:tcPr>
          <w:p>
            <w:pPr>
              <w:pStyle w:val="Normal"/>
              <w:spacing w:before="100" w:after="100"/>
              <w:jc w:val="both"/>
              <w:rPr>
                <w:rFonts w:ascii="Tahoma;Bold" w:hAnsi="Tahoma;Bold" w:eastAsia="Tahoma;Bold" w:cs="Tahoma;Bold"/>
                <w:sz w:val="22"/>
              </w:rPr>
            </w:pPr>
            <w:r>
              <w:rPr>
                <w:rFonts w:eastAsia="Tahoma;Bold" w:cs="Tahoma;Bold" w:ascii="Tahoma;Bold" w:hAnsi="Tahoma;Bold"/>
                <w:sz w:val="22"/>
              </w:rPr>
              <w:t>SMML ( 1 beca)</w:t>
            </w:r>
          </w:p>
        </w:tc>
        <w:tc>
          <w:tcPr>
            <w:tcW w:w="4619" w:type="dxa"/>
            <w:tcBorders>
              <w:start w:val="single" w:sz="8" w:space="0" w:color="000000"/>
              <w:bottom w:val="single" w:sz="8" w:space="0" w:color="000000"/>
            </w:tcBorders>
          </w:tcPr>
          <w:p>
            <w:pPr>
              <w:pStyle w:val="Normal"/>
              <w:spacing w:before="100" w:after="100"/>
              <w:jc w:val="both"/>
              <w:rPr>
                <w:rFonts w:ascii="Tahoma;Bold" w:hAnsi="Tahoma;Bold" w:eastAsia="Tahoma;Bold" w:cs="Tahoma;Bold"/>
                <w:sz w:val="22"/>
                <w:szCs w:val="20"/>
              </w:rPr>
            </w:pPr>
            <w:r>
              <w:rPr>
                <w:rFonts w:eastAsia="Tahoma;Bold" w:cs="Tahoma;Bold" w:ascii="Tahoma;Bold" w:hAnsi="Tahoma;Bold"/>
                <w:sz w:val="22"/>
                <w:szCs w:val="20"/>
              </w:rPr>
              <w:t>Ingeniería (Edificación o Industrial) o Arquitectura</w:t>
            </w:r>
          </w:p>
        </w:tc>
        <w:tc>
          <w:tcPr>
            <w:tcW w:w="1878" w:type="dxa"/>
            <w:tcBorders>
              <w:start w:val="single" w:sz="8" w:space="0" w:color="000000"/>
              <w:bottom w:val="single" w:sz="8" w:space="0" w:color="000000"/>
              <w:end w:val="single" w:sz="8" w:space="0" w:color="000000"/>
            </w:tcBorders>
          </w:tcPr>
          <w:p>
            <w:pPr>
              <w:pStyle w:val="Normal"/>
              <w:spacing w:before="100" w:after="100"/>
              <w:jc w:val="both"/>
              <w:rPr>
                <w:rFonts w:ascii="Tahoma;Bold" w:hAnsi="Tahoma;Bold" w:eastAsia="Tahoma;Bold" w:cs="Tahoma;Bold"/>
                <w:sz w:val="22"/>
              </w:rPr>
            </w:pPr>
            <w:r>
              <w:rPr>
                <w:rFonts w:eastAsia="Tahoma;Bold" w:cs="Tahoma;Bold" w:ascii="Tahoma;Bold" w:hAnsi="Tahoma;Bold"/>
                <w:sz w:val="22"/>
              </w:rPr>
              <w:t>3 meses</w:t>
            </w:r>
          </w:p>
        </w:tc>
      </w:tr>
      <w:tr>
        <w:trPr>
          <w:trHeight w:val="336" w:hRule="atLeast"/>
        </w:trPr>
        <w:tc>
          <w:tcPr>
            <w:tcW w:w="3675" w:type="dxa"/>
            <w:tcBorders>
              <w:start w:val="single" w:sz="8" w:space="0" w:color="000000"/>
              <w:bottom w:val="single" w:sz="8" w:space="0" w:color="000000"/>
            </w:tcBorders>
          </w:tcPr>
          <w:p>
            <w:pPr>
              <w:pStyle w:val="Normal"/>
              <w:spacing w:before="100" w:after="100"/>
              <w:jc w:val="both"/>
              <w:rPr>
                <w:rFonts w:ascii="Tahoma;Bold" w:hAnsi="Tahoma;Bold" w:eastAsia="Tahoma;Bold" w:cs="Tahoma;Bold"/>
                <w:sz w:val="22"/>
              </w:rPr>
            </w:pPr>
            <w:r>
              <w:rPr>
                <w:rFonts w:eastAsia="Tahoma;Bold" w:cs="Tahoma;Bold" w:ascii="Tahoma;Bold" w:hAnsi="Tahoma;Bold"/>
                <w:sz w:val="22"/>
              </w:rPr>
              <w:t>Ingeniería (1 beca)</w:t>
            </w:r>
          </w:p>
        </w:tc>
        <w:tc>
          <w:tcPr>
            <w:tcW w:w="4619" w:type="dxa"/>
            <w:tcBorders>
              <w:start w:val="single" w:sz="8" w:space="0" w:color="000000"/>
              <w:bottom w:val="single" w:sz="8" w:space="0" w:color="000000"/>
            </w:tcBorders>
          </w:tcPr>
          <w:p>
            <w:pPr>
              <w:pStyle w:val="Normal"/>
              <w:spacing w:before="100" w:after="100"/>
              <w:jc w:val="both"/>
              <w:rPr>
                <w:rFonts w:ascii="Tahoma;Bold" w:hAnsi="Tahoma;Bold" w:eastAsia="Tahoma;Bold" w:cs="Tahoma;Bold"/>
                <w:sz w:val="22"/>
                <w:szCs w:val="20"/>
              </w:rPr>
            </w:pPr>
            <w:r>
              <w:rPr>
                <w:rFonts w:eastAsia="Tahoma;Bold" w:cs="Tahoma;Bold" w:ascii="Tahoma;Bold" w:hAnsi="Tahoma;Bold"/>
                <w:sz w:val="22"/>
                <w:szCs w:val="20"/>
              </w:rPr>
              <w:t>Ingeniería industrial</w:t>
            </w:r>
          </w:p>
        </w:tc>
        <w:tc>
          <w:tcPr>
            <w:tcW w:w="1878" w:type="dxa"/>
            <w:tcBorders>
              <w:start w:val="single" w:sz="8" w:space="0" w:color="000000"/>
              <w:bottom w:val="single" w:sz="8" w:space="0" w:color="000000"/>
              <w:end w:val="single" w:sz="8" w:space="0" w:color="000000"/>
            </w:tcBorders>
          </w:tcPr>
          <w:p>
            <w:pPr>
              <w:pStyle w:val="Normal"/>
              <w:spacing w:before="100" w:after="100"/>
              <w:jc w:val="both"/>
              <w:rPr>
                <w:rFonts w:ascii="Tahoma;Bold" w:hAnsi="Tahoma;Bold" w:eastAsia="Tahoma;Bold" w:cs="Tahoma;Bold"/>
                <w:sz w:val="22"/>
              </w:rPr>
            </w:pPr>
            <w:r>
              <w:rPr>
                <w:rFonts w:eastAsia="Tahoma;Bold" w:cs="Tahoma;Bold" w:ascii="Tahoma;Bold" w:hAnsi="Tahoma;Bold"/>
                <w:sz w:val="22"/>
              </w:rPr>
              <w:t>3 meses</w:t>
            </w:r>
          </w:p>
        </w:tc>
      </w:tr>
      <w:tr>
        <w:trPr>
          <w:trHeight w:val="336" w:hRule="atLeast"/>
        </w:trPr>
        <w:tc>
          <w:tcPr>
            <w:tcW w:w="3675" w:type="dxa"/>
            <w:tcBorders>
              <w:start w:val="single" w:sz="8" w:space="0" w:color="000000"/>
              <w:bottom w:val="single" w:sz="8" w:space="0" w:color="000000"/>
            </w:tcBorders>
          </w:tcPr>
          <w:p>
            <w:pPr>
              <w:pStyle w:val="Normal"/>
              <w:spacing w:before="100" w:after="100"/>
              <w:jc w:val="both"/>
              <w:rPr>
                <w:rFonts w:ascii="Tahoma;Bold" w:hAnsi="Tahoma;Bold" w:eastAsia="Tahoma;Bold" w:cs="Tahoma;Bold"/>
                <w:sz w:val="22"/>
              </w:rPr>
            </w:pPr>
            <w:r>
              <w:rPr>
                <w:rFonts w:eastAsia="Tahoma;Bold" w:cs="Tahoma;Bold" w:ascii="Tahoma;Bold" w:hAnsi="Tahoma;Bold"/>
                <w:sz w:val="22"/>
              </w:rPr>
              <w:t>Recursos Humanos (1 beca)</w:t>
            </w:r>
          </w:p>
        </w:tc>
        <w:tc>
          <w:tcPr>
            <w:tcW w:w="4619" w:type="dxa"/>
            <w:tcBorders>
              <w:start w:val="single" w:sz="8" w:space="0" w:color="000000"/>
              <w:bottom w:val="single" w:sz="8" w:space="0" w:color="000000"/>
            </w:tcBorders>
          </w:tcPr>
          <w:p>
            <w:pPr>
              <w:pStyle w:val="Normal"/>
              <w:spacing w:before="100" w:after="100"/>
              <w:jc w:val="both"/>
              <w:rPr>
                <w:rFonts w:ascii="Tahoma;Bold" w:hAnsi="Tahoma;Bold" w:eastAsia="Tahoma;Bold" w:cs="Tahoma;Bold"/>
                <w:sz w:val="22"/>
                <w:szCs w:val="20"/>
              </w:rPr>
            </w:pPr>
            <w:r>
              <w:rPr>
                <w:rFonts w:eastAsia="Tahoma;Bold" w:cs="Tahoma;Bold" w:ascii="Tahoma;Bold" w:hAnsi="Tahoma;Bold"/>
                <w:sz w:val="22"/>
                <w:szCs w:val="20"/>
              </w:rPr>
              <w:t>Relaciones laborales/Derecho</w:t>
            </w:r>
          </w:p>
        </w:tc>
        <w:tc>
          <w:tcPr>
            <w:tcW w:w="1878" w:type="dxa"/>
            <w:tcBorders>
              <w:start w:val="single" w:sz="8" w:space="0" w:color="000000"/>
              <w:bottom w:val="single" w:sz="8" w:space="0" w:color="000000"/>
              <w:end w:val="single" w:sz="8" w:space="0" w:color="000000"/>
            </w:tcBorders>
          </w:tcPr>
          <w:p>
            <w:pPr>
              <w:pStyle w:val="Normal"/>
              <w:spacing w:before="100" w:after="100"/>
              <w:jc w:val="both"/>
              <w:rPr>
                <w:rFonts w:ascii="Tahoma;Bold" w:hAnsi="Tahoma;Bold" w:eastAsia="Tahoma;Bold" w:cs="Tahoma;Bold"/>
                <w:sz w:val="22"/>
              </w:rPr>
            </w:pPr>
            <w:r>
              <w:rPr>
                <w:rFonts w:eastAsia="Tahoma;Bold" w:cs="Tahoma;Bold" w:ascii="Tahoma;Bold" w:hAnsi="Tahoma;Bold"/>
                <w:sz w:val="22"/>
              </w:rPr>
              <w:t>3 meses</w:t>
            </w:r>
          </w:p>
        </w:tc>
      </w:tr>
      <w:tr>
        <w:trPr>
          <w:trHeight w:val="336" w:hRule="atLeast"/>
        </w:trPr>
        <w:tc>
          <w:tcPr>
            <w:tcW w:w="3675" w:type="dxa"/>
            <w:tcBorders>
              <w:start w:val="single" w:sz="8" w:space="0" w:color="000000"/>
              <w:bottom w:val="single" w:sz="8" w:space="0" w:color="000000"/>
            </w:tcBorders>
          </w:tcPr>
          <w:p>
            <w:pPr>
              <w:pStyle w:val="Normal"/>
              <w:spacing w:before="100" w:after="100"/>
              <w:jc w:val="both"/>
              <w:rPr>
                <w:rFonts w:ascii="Tahoma;Bold" w:hAnsi="Tahoma;Bold" w:eastAsia="Tahoma;Bold" w:cs="Tahoma;Bold"/>
                <w:sz w:val="22"/>
              </w:rPr>
            </w:pPr>
            <w:r>
              <w:rPr>
                <w:rFonts w:eastAsia="Tahoma;Bold" w:cs="Tahoma;Bold" w:ascii="Tahoma;Bold" w:hAnsi="Tahoma;Bold"/>
                <w:sz w:val="22"/>
              </w:rPr>
              <w:t>Servicios Sociales (1 beca)</w:t>
            </w:r>
          </w:p>
        </w:tc>
        <w:tc>
          <w:tcPr>
            <w:tcW w:w="4619" w:type="dxa"/>
            <w:tcBorders>
              <w:start w:val="single" w:sz="8" w:space="0" w:color="000000"/>
              <w:bottom w:val="single" w:sz="8" w:space="0" w:color="000000"/>
            </w:tcBorders>
          </w:tcPr>
          <w:p>
            <w:pPr>
              <w:pStyle w:val="Normal"/>
              <w:spacing w:before="100" w:after="100"/>
              <w:jc w:val="both"/>
              <w:rPr>
                <w:rFonts w:ascii="Tahoma;Bold" w:hAnsi="Tahoma;Bold" w:eastAsia="Tahoma;Bold" w:cs="Tahoma;Bold"/>
                <w:sz w:val="22"/>
                <w:szCs w:val="20"/>
              </w:rPr>
            </w:pPr>
            <w:r>
              <w:rPr>
                <w:rFonts w:eastAsia="Tahoma;Bold" w:cs="Tahoma;Bold" w:ascii="Tahoma;Bold" w:hAnsi="Tahoma;Bold"/>
                <w:sz w:val="22"/>
                <w:szCs w:val="20"/>
              </w:rPr>
              <w:t>Psicología/Psicopedagogía/Trabajo Social/Educación Social</w:t>
            </w:r>
          </w:p>
        </w:tc>
        <w:tc>
          <w:tcPr>
            <w:tcW w:w="1878" w:type="dxa"/>
            <w:tcBorders>
              <w:start w:val="single" w:sz="8" w:space="0" w:color="000000"/>
              <w:bottom w:val="single" w:sz="8" w:space="0" w:color="000000"/>
              <w:end w:val="single" w:sz="8" w:space="0" w:color="000000"/>
            </w:tcBorders>
          </w:tcPr>
          <w:p>
            <w:pPr>
              <w:pStyle w:val="Normal"/>
              <w:spacing w:before="100" w:after="100"/>
              <w:jc w:val="both"/>
              <w:rPr>
                <w:rFonts w:ascii="Tahoma;Bold" w:hAnsi="Tahoma;Bold" w:eastAsia="Tahoma;Bold" w:cs="Tahoma;Bold"/>
                <w:sz w:val="22"/>
              </w:rPr>
            </w:pPr>
            <w:r>
              <w:rPr>
                <w:rFonts w:eastAsia="Tahoma;Bold" w:cs="Tahoma;Bold" w:ascii="Tahoma;Bold" w:hAnsi="Tahoma;Bold"/>
                <w:sz w:val="22"/>
              </w:rPr>
              <w:t>3 meses</w:t>
            </w:r>
          </w:p>
        </w:tc>
      </w:tr>
      <w:tr>
        <w:trPr>
          <w:trHeight w:val="336" w:hRule="atLeast"/>
        </w:trPr>
        <w:tc>
          <w:tcPr>
            <w:tcW w:w="3675" w:type="dxa"/>
            <w:tcBorders>
              <w:start w:val="single" w:sz="8" w:space="0" w:color="000000"/>
              <w:bottom w:val="single" w:sz="8" w:space="0" w:color="000000"/>
            </w:tcBorders>
          </w:tcPr>
          <w:p>
            <w:pPr>
              <w:pStyle w:val="Normal"/>
              <w:spacing w:before="100" w:after="100"/>
              <w:jc w:val="both"/>
              <w:rPr>
                <w:rFonts w:ascii="Tahoma;Bold" w:hAnsi="Tahoma;Bold" w:eastAsia="Tahoma;Bold" w:cs="Tahoma;Bold"/>
                <w:sz w:val="22"/>
              </w:rPr>
            </w:pPr>
            <w:r>
              <w:rPr>
                <w:rFonts w:eastAsia="Tahoma;Bold" w:cs="Tahoma;Bold" w:ascii="Tahoma;Bold" w:hAnsi="Tahoma;Bold"/>
                <w:sz w:val="22"/>
              </w:rPr>
              <w:t>Biblioteca (1 beca)</w:t>
            </w:r>
          </w:p>
        </w:tc>
        <w:tc>
          <w:tcPr>
            <w:tcW w:w="4619" w:type="dxa"/>
            <w:tcBorders>
              <w:start w:val="single" w:sz="8" w:space="0" w:color="000000"/>
              <w:bottom w:val="single" w:sz="8" w:space="0" w:color="000000"/>
            </w:tcBorders>
          </w:tcPr>
          <w:p>
            <w:pPr>
              <w:pStyle w:val="Normal"/>
              <w:spacing w:before="100" w:after="100"/>
              <w:jc w:val="both"/>
              <w:rPr>
                <w:rFonts w:ascii="Tahoma;Bold" w:hAnsi="Tahoma;Bold" w:eastAsia="Tahoma;Bold" w:cs="Tahoma;Bold"/>
                <w:color w:val="000000"/>
                <w:sz w:val="22"/>
                <w:szCs w:val="20"/>
              </w:rPr>
            </w:pPr>
            <w:r>
              <w:rPr>
                <w:rFonts w:eastAsia="Tahoma;Bold" w:cs="Tahoma;Bold" w:ascii="Tahoma;Bold" w:hAnsi="Tahoma;Bold"/>
                <w:color w:val="000000"/>
                <w:sz w:val="22"/>
                <w:szCs w:val="20"/>
              </w:rPr>
              <w:t>Grado en Humanidades</w:t>
            </w:r>
          </w:p>
        </w:tc>
        <w:tc>
          <w:tcPr>
            <w:tcW w:w="1878" w:type="dxa"/>
            <w:tcBorders>
              <w:start w:val="single" w:sz="8" w:space="0" w:color="000000"/>
              <w:bottom w:val="single" w:sz="8" w:space="0" w:color="000000"/>
              <w:end w:val="single" w:sz="8" w:space="0" w:color="000000"/>
            </w:tcBorders>
          </w:tcPr>
          <w:p>
            <w:pPr>
              <w:pStyle w:val="Normal"/>
              <w:spacing w:before="100" w:after="100"/>
              <w:jc w:val="both"/>
              <w:rPr>
                <w:rFonts w:ascii="Tahoma;Bold" w:hAnsi="Tahoma;Bold" w:eastAsia="Tahoma;Bold" w:cs="Tahoma;Bold"/>
                <w:sz w:val="22"/>
              </w:rPr>
            </w:pPr>
            <w:r>
              <w:rPr>
                <w:rFonts w:eastAsia="Tahoma;Bold" w:cs="Tahoma;Bold" w:ascii="Tahoma;Bold" w:hAnsi="Tahoma;Bold"/>
                <w:sz w:val="22"/>
              </w:rPr>
              <w:t>3 meses</w:t>
            </w:r>
          </w:p>
        </w:tc>
      </w:tr>
    </w:tbl>
    <w:p>
      <w:pPr>
        <w:pStyle w:val="Normal"/>
        <w:rPr/>
      </w:pPr>
      <w:r>
        <w:rPr/>
      </w:r>
    </w:p>
    <w:p>
      <w:pPr>
        <w:pStyle w:val="Cuerpodetexto"/>
        <w:jc w:val="both"/>
        <w:rPr>
          <w:rFonts w:ascii="Tahoma;Bold" w:hAnsi="Tahoma;Bold" w:cs="Tahoma;Bold"/>
          <w:sz w:val="22"/>
        </w:rPr>
      </w:pPr>
      <w:r>
        <w:rPr>
          <w:rFonts w:cs="Tahoma;Bold" w:ascii="Tahoma;Bold" w:hAnsi="Tahoma;Bold"/>
          <w:sz w:val="22"/>
        </w:rPr>
        <w:t xml:space="preserve">Requisitos de las personas participantes </w:t>
      </w:r>
    </w:p>
    <w:p>
      <w:pPr>
        <w:pStyle w:val="Cuerpodetexto"/>
        <w:jc w:val="both"/>
        <w:rPr>
          <w:rFonts w:ascii="Tahoma;Bold" w:hAnsi="Tahoma;Bold" w:cs="Tahoma;Bold"/>
          <w:sz w:val="22"/>
        </w:rPr>
      </w:pPr>
      <w:r>
        <w:rPr>
          <w:rFonts w:cs="Tahoma;Bold" w:ascii="Tahoma;Bold" w:hAnsi="Tahoma;Bold"/>
          <w:sz w:val="22"/>
        </w:rPr>
        <w:t xml:space="preserve">Las becas objeto de esta convocatoria se adjudicarán mediante concurrencia competitiva entre las personas aspirantes a las mismas, que reúnan los siguientes requisitos: </w:t>
      </w:r>
    </w:p>
    <w:p>
      <w:pPr>
        <w:pStyle w:val="Cuerpodetexto"/>
        <w:jc w:val="both"/>
        <w:rPr>
          <w:rFonts w:ascii="Tahoma;Bold" w:hAnsi="Tahoma;Bold" w:cs="Tahoma;Bold"/>
          <w:sz w:val="22"/>
        </w:rPr>
      </w:pPr>
      <w:r>
        <w:rPr>
          <w:rFonts w:cs="Tahoma;Bold" w:ascii="Tahoma;Bold" w:hAnsi="Tahoma;Bold"/>
          <w:sz w:val="22"/>
        </w:rPr>
        <w:t xml:space="preserve">1.- Poseer la vecindad administrativa del Municipio de Almassora, requisito que se debe cumplir con anterioridad a la fecha de publicación de las presentes bases. </w:t>
      </w:r>
    </w:p>
    <w:p>
      <w:pPr>
        <w:pStyle w:val="Cuerpodetexto"/>
        <w:jc w:val="both"/>
        <w:rPr>
          <w:rFonts w:ascii="Tahoma;Bold" w:hAnsi="Tahoma;Bold" w:cs="Tahoma;Bold"/>
          <w:sz w:val="22"/>
        </w:rPr>
      </w:pPr>
      <w:r>
        <w:rPr>
          <w:rFonts w:cs="Tahoma;Bold" w:ascii="Tahoma;Bold" w:hAnsi="Tahoma;Bold"/>
          <w:sz w:val="22"/>
        </w:rPr>
        <w:t xml:space="preserve">2.- Tener 18 años cumplidos. </w:t>
      </w:r>
    </w:p>
    <w:p>
      <w:pPr>
        <w:pStyle w:val="Cuerpodetexto"/>
        <w:jc w:val="both"/>
        <w:rPr>
          <w:rFonts w:ascii="Tahoma;Bold" w:hAnsi="Tahoma;Bold" w:cs="Tahoma;Bold"/>
          <w:sz w:val="22"/>
        </w:rPr>
      </w:pPr>
      <w:r>
        <w:rPr>
          <w:rFonts w:cs="Tahoma;Bold" w:ascii="Tahoma;Bold" w:hAnsi="Tahoma;Bold"/>
          <w:sz w:val="22"/>
        </w:rPr>
        <w:t xml:space="preserve">3.- Estar estudiando en el curso 2021/2022 el título requerido anteriormente según el área de actividad, se acreditará mediante copia de la matrícula. </w:t>
      </w:r>
    </w:p>
    <w:p>
      <w:pPr>
        <w:pStyle w:val="Cuerpodetexto"/>
        <w:jc w:val="both"/>
        <w:rPr/>
      </w:pPr>
      <w:r>
        <w:rPr>
          <w:rFonts w:cs="Tahoma;Bold" w:ascii="Tahoma;Bold" w:hAnsi="Tahoma;Bold"/>
          <w:sz w:val="22"/>
        </w:rPr>
        <w:t>4.</w:t>
      </w:r>
      <w:r>
        <w:rPr>
          <w:rFonts w:cs="Tahoma;Bold" w:ascii="Tahoma;Bold" w:hAnsi="Tahoma;Bold"/>
          <w:sz w:val="22"/>
          <w:shd w:fill="auto" w:val="clear"/>
        </w:rPr>
        <w:t>- En el momento de la solicitud de la beca, no estar disfrutando de otra beca o ayuda, de la misma o análoga finalidad, así como no desarrollar una actividad laboral relacionada con el objeto de la beca.</w:t>
      </w:r>
    </w:p>
    <w:p>
      <w:pPr>
        <w:pStyle w:val="Cuerpodetexto"/>
        <w:jc w:val="both"/>
        <w:rPr>
          <w:rFonts w:ascii="Tahoma;Bold" w:hAnsi="Tahoma;Bold" w:cs="Tahoma;Bold"/>
          <w:sz w:val="22"/>
        </w:rPr>
      </w:pPr>
      <w:r>
        <w:rPr>
          <w:rFonts w:cs="Tahoma;Bold" w:ascii="Tahoma;Bold" w:hAnsi="Tahoma;Bold"/>
          <w:sz w:val="22"/>
        </w:rPr>
        <w:t>5.- No encontrarse incurso/a en ninguna de las circunstancias recogidas en el art. 13.2 de la Ley 38/2003, de 17 de noviembre, General de Subvenciones.</w:t>
      </w:r>
    </w:p>
    <w:p>
      <w:pPr>
        <w:pStyle w:val="Cuerpodetexto"/>
        <w:jc w:val="both"/>
        <w:rPr>
          <w:rFonts w:ascii="Tahoma;Bold" w:hAnsi="Tahoma;Bold" w:cs="Tahoma;Bold"/>
          <w:sz w:val="22"/>
        </w:rPr>
      </w:pPr>
      <w:r>
        <w:rPr>
          <w:rFonts w:cs="Tahoma;Bold" w:ascii="Tahoma;Bold" w:hAnsi="Tahoma;Bold"/>
          <w:sz w:val="22"/>
        </w:rPr>
        <w:t>6.- Estar al corriente en el cumplimiento de sus obligaciones tributarias y frente a la Seguridad social, lo que se acreditará mediante declaración responsable.</w:t>
      </w:r>
    </w:p>
    <w:p>
      <w:pPr>
        <w:pStyle w:val="Cuerpodetexto"/>
        <w:jc w:val="both"/>
        <w:rPr>
          <w:rFonts w:ascii="Tahoma;Bold" w:hAnsi="Tahoma;Bold" w:cs="Tahoma;Bold"/>
          <w:sz w:val="22"/>
        </w:rPr>
      </w:pPr>
      <w:r>
        <w:rPr>
          <w:rFonts w:cs="Tahoma;Bold" w:ascii="Tahoma;Bold" w:hAnsi="Tahoma;Bold"/>
          <w:sz w:val="22"/>
        </w:rPr>
        <w:t xml:space="preserve">7.- Tendrán preferencia para ser destinatarias de las becas aquellas personas que no hayan disfrutado de una beca del Ayuntamiento de Almassora, en cualquiera de sus modalidades, de ejercicios anteriores, con lo que en consecuencia se acudirá por el orden de baremación a una candidatura que ya haya disfrutado anteriormente de una beca del Ayuntamiento siempre y cuando se haya agotado previamente el listado de aquellas que no lo hayan disfrutado cualquiera que sea su puntuación, en su área de formación. </w:t>
      </w:r>
    </w:p>
    <w:p>
      <w:pPr>
        <w:pStyle w:val="Cuerpodetexto"/>
        <w:jc w:val="both"/>
        <w:rPr>
          <w:rFonts w:ascii="Tahoma;Bold" w:hAnsi="Tahoma;Bold" w:cs="Tahoma;Bold"/>
          <w:sz w:val="22"/>
        </w:rPr>
      </w:pPr>
      <w:r>
        <w:rPr>
          <w:rFonts w:cs="Tahoma;Bold" w:ascii="Tahoma;Bold" w:hAnsi="Tahoma;Bold"/>
          <w:sz w:val="22"/>
        </w:rPr>
        <w:t>8.- La presentes becas serán incompatibles con aquellas que se disfruten por el mismo objeto en  el mismo periodo o coincidan en el tiempo.</w:t>
      </w:r>
    </w:p>
    <w:p>
      <w:pPr>
        <w:pStyle w:val="Cuerpodetexto"/>
        <w:jc w:val="both"/>
        <w:rPr>
          <w:rFonts w:ascii="Tahoma;Bold" w:hAnsi="Tahoma;Bold" w:cs="Tahoma;Bold"/>
          <w:sz w:val="22"/>
          <w:u w:val="single"/>
        </w:rPr>
      </w:pPr>
      <w:r>
        <w:rPr>
          <w:rFonts w:cs="Tahoma;Bold" w:ascii="Tahoma;Bold" w:hAnsi="Tahoma;Bold"/>
          <w:sz w:val="22"/>
          <w:u w:val="single"/>
        </w:rPr>
        <w:t>BASE TERCERA.- Criterios de valoración</w:t>
      </w:r>
    </w:p>
    <w:p>
      <w:pPr>
        <w:pStyle w:val="Cuerpodetexto"/>
        <w:jc w:val="both"/>
        <w:rPr>
          <w:rFonts w:ascii="Tahoma;Bold" w:hAnsi="Tahoma;Bold" w:cs="Tahoma;Bold"/>
          <w:sz w:val="22"/>
        </w:rPr>
      </w:pPr>
      <w:r>
        <w:rPr>
          <w:rFonts w:cs="Tahoma;Bold" w:ascii="Tahoma;Bold" w:hAnsi="Tahoma;Bold"/>
          <w:sz w:val="22"/>
        </w:rPr>
        <w:t xml:space="preserve">Méritos a valorar: </w:t>
      </w:r>
    </w:p>
    <w:p>
      <w:pPr>
        <w:pStyle w:val="Cuerpodetexto"/>
        <w:jc w:val="both"/>
        <w:rPr>
          <w:rFonts w:ascii="Tahoma;Bold" w:hAnsi="Tahoma;Bold" w:cs="Tahoma;Bold"/>
          <w:color w:val="000000"/>
          <w:sz w:val="22"/>
        </w:rPr>
      </w:pPr>
      <w:r>
        <w:rPr>
          <w:rFonts w:cs="Tahoma;Bold" w:ascii="Tahoma;Bold" w:hAnsi="Tahoma;Bold"/>
          <w:color w:val="000000"/>
          <w:sz w:val="22"/>
        </w:rPr>
        <w:t>Los méritos alegados deberán presentarse junto con la instancia de solicitud, debidamente documentados.</w:t>
      </w:r>
    </w:p>
    <w:p>
      <w:pPr>
        <w:pStyle w:val="Cuerpodetexto"/>
        <w:jc w:val="both"/>
        <w:rPr>
          <w:rFonts w:ascii="Tahoma;Bold" w:hAnsi="Tahoma;Bold" w:cs="Tahoma;Bold"/>
          <w:color w:val="000000"/>
          <w:sz w:val="22"/>
        </w:rPr>
      </w:pPr>
      <w:r>
        <w:rPr>
          <w:rFonts w:cs="Tahoma;Bold" w:ascii="Tahoma;Bold" w:hAnsi="Tahoma;Bold"/>
          <w:color w:val="000000"/>
          <w:sz w:val="22"/>
        </w:rPr>
        <w:t>No se admitirán documentos que acrediten los méritos con posterioridad a la finalización del plazo de presentación de instancias.</w:t>
      </w:r>
    </w:p>
    <w:p>
      <w:pPr>
        <w:pStyle w:val="Cuerpodetexto"/>
        <w:jc w:val="both"/>
        <w:rPr>
          <w:rFonts w:ascii="Tahoma;Bold" w:hAnsi="Tahoma;Bold" w:cs="Tahoma;Bold"/>
          <w:color w:val="000000"/>
          <w:sz w:val="22"/>
        </w:rPr>
      </w:pPr>
      <w:r>
        <w:rPr>
          <w:rFonts w:cs="Tahoma;Bold" w:ascii="Tahoma;Bold" w:hAnsi="Tahoma;Bold"/>
          <w:color w:val="000000"/>
          <w:sz w:val="22"/>
        </w:rPr>
        <w:t>La baremación de los méritos será la siguiente:</w:t>
      </w:r>
    </w:p>
    <w:p>
      <w:pPr>
        <w:pStyle w:val="Cuerpodetexto"/>
        <w:jc w:val="both"/>
        <w:rPr/>
      </w:pPr>
      <w:r>
        <w:rPr>
          <w:rFonts w:cs="Tahoma;Bold" w:ascii="Tahoma;Bold" w:hAnsi="Tahoma;Bold"/>
          <w:color w:val="000000"/>
          <w:sz w:val="22"/>
          <w:u w:val="single"/>
        </w:rPr>
        <w:t>Mérito 1º.</w:t>
      </w:r>
      <w:r>
        <w:rPr>
          <w:color w:val="000000"/>
        </w:rPr>
        <w:t xml:space="preserve"> </w:t>
      </w:r>
      <w:r>
        <w:rPr>
          <w:rFonts w:cs="Tahoma;Bold" w:ascii="Tahoma;Bold" w:hAnsi="Tahoma;Bold"/>
          <w:color w:val="000000"/>
          <w:sz w:val="22"/>
        </w:rPr>
        <w:t>Nota media del expediente académico aportado (máximo 4 puntos)</w:t>
      </w:r>
    </w:p>
    <w:p>
      <w:pPr>
        <w:pStyle w:val="Cuerpodetexto"/>
        <w:jc w:val="both"/>
        <w:rPr>
          <w:rFonts w:ascii="Tahoma;Bold" w:hAnsi="Tahoma;Bold" w:cs="Tahoma;Bold"/>
          <w:color w:val="000000"/>
          <w:sz w:val="22"/>
        </w:rPr>
      </w:pPr>
      <w:r>
        <w:rPr>
          <w:rFonts w:cs="Tahoma;Bold" w:ascii="Tahoma;Bold" w:hAnsi="Tahoma;Bold"/>
          <w:color w:val="000000"/>
          <w:sz w:val="22"/>
        </w:rPr>
        <w:t>-De 5 a 5’99: 0,5 puntos</w:t>
      </w:r>
    </w:p>
    <w:p>
      <w:pPr>
        <w:pStyle w:val="Cuerpodetexto"/>
        <w:jc w:val="both"/>
        <w:rPr>
          <w:rFonts w:ascii="Tahoma;Bold" w:hAnsi="Tahoma;Bold" w:cs="Tahoma;Bold"/>
          <w:color w:val="000000"/>
          <w:sz w:val="22"/>
        </w:rPr>
      </w:pPr>
      <w:r>
        <w:rPr>
          <w:rFonts w:cs="Tahoma;Bold" w:ascii="Tahoma;Bold" w:hAnsi="Tahoma;Bold"/>
          <w:color w:val="000000"/>
          <w:sz w:val="22"/>
        </w:rPr>
        <w:t>-De 6 a 6’99: 1 puntos</w:t>
      </w:r>
    </w:p>
    <w:p>
      <w:pPr>
        <w:pStyle w:val="Cuerpodetexto"/>
        <w:jc w:val="both"/>
        <w:rPr>
          <w:rFonts w:ascii="Tahoma;Bold" w:hAnsi="Tahoma;Bold" w:cs="Tahoma;Bold"/>
          <w:color w:val="000000"/>
          <w:sz w:val="22"/>
        </w:rPr>
      </w:pPr>
      <w:r>
        <w:rPr>
          <w:rFonts w:cs="Tahoma;Bold" w:ascii="Tahoma;Bold" w:hAnsi="Tahoma;Bold"/>
          <w:color w:val="000000"/>
          <w:sz w:val="22"/>
        </w:rPr>
        <w:t>-De 7 a 7’99: 2 punto</w:t>
      </w:r>
    </w:p>
    <w:p>
      <w:pPr>
        <w:pStyle w:val="Cuerpodetexto"/>
        <w:jc w:val="both"/>
        <w:rPr>
          <w:rFonts w:ascii="Tahoma;Bold" w:hAnsi="Tahoma;Bold" w:cs="Tahoma;Bold"/>
          <w:color w:val="000000"/>
          <w:sz w:val="22"/>
        </w:rPr>
      </w:pPr>
      <w:r>
        <w:rPr>
          <w:rFonts w:cs="Tahoma;Bold" w:ascii="Tahoma;Bold" w:hAnsi="Tahoma;Bold"/>
          <w:color w:val="000000"/>
          <w:sz w:val="22"/>
        </w:rPr>
        <w:t>-De 8 a 8’99: 3 puntos</w:t>
      </w:r>
    </w:p>
    <w:p>
      <w:pPr>
        <w:pStyle w:val="Cuerpodetexto"/>
        <w:jc w:val="both"/>
        <w:rPr>
          <w:rFonts w:ascii="Tahoma;Bold" w:hAnsi="Tahoma;Bold" w:cs="Tahoma;Bold"/>
          <w:color w:val="000000"/>
          <w:sz w:val="22"/>
        </w:rPr>
      </w:pPr>
      <w:r>
        <w:rPr>
          <w:rFonts w:cs="Tahoma;Bold" w:ascii="Tahoma;Bold" w:hAnsi="Tahoma;Bold"/>
          <w:color w:val="000000"/>
          <w:sz w:val="22"/>
        </w:rPr>
        <w:t>-De 9 a 10: 4 puntos</w:t>
      </w:r>
    </w:p>
    <w:p>
      <w:pPr>
        <w:pStyle w:val="Cuerpodetexto"/>
        <w:jc w:val="both"/>
        <w:rPr>
          <w:rFonts w:ascii="Tahoma;Bold" w:hAnsi="Tahoma;Bold" w:cs="Tahoma;Bold"/>
          <w:color w:val="000000"/>
          <w:sz w:val="22"/>
        </w:rPr>
      </w:pPr>
      <w:r>
        <w:rPr>
          <w:rFonts w:cs="Tahoma;Bold" w:ascii="Tahoma;Bold" w:hAnsi="Tahoma;Bold"/>
          <w:color w:val="000000"/>
          <w:sz w:val="22"/>
        </w:rPr>
        <w:t>Se acreditará mediante copia del expediente académico del curso inmediatamente anterior al que se encuentre cursando en el momento de la solicitud, con indicación de la nota media el mismo. No se tomará en consideración aquellos expedientes académicos en los que no se indique la nota media. En el caso de estudiantes de segundo curso de un ciclo formativo, se deberá aportar un certificado que refleje las notas obtenidas en el primer curso o se promediará las notas obtenida en el primer curso reflejada en el expediente. En su caso, también se considerará como nota válida a efectos de la baremación la nota media obtenida en 4º de ESO, en 2º de bachillerato, en la prueba de acceso a un ciclo formativo o a la universidad, o en un ciclo formativo que dé acceso a la universidad.</w:t>
      </w:r>
    </w:p>
    <w:p>
      <w:pPr>
        <w:pStyle w:val="Cuerpodetexto"/>
        <w:jc w:val="both"/>
        <w:rPr/>
      </w:pPr>
      <w:r>
        <w:rPr>
          <w:rFonts w:cs="Tahoma;Bold" w:ascii="Tahoma;Bold" w:hAnsi="Tahoma;Bold"/>
          <w:color w:val="000000"/>
          <w:sz w:val="22"/>
          <w:u w:val="single"/>
        </w:rPr>
        <w:t>Mérito 2º</w:t>
      </w:r>
      <w:r>
        <w:rPr>
          <w:color w:val="000000"/>
        </w:rPr>
        <w:t xml:space="preserve"> </w:t>
      </w:r>
      <w:r>
        <w:rPr>
          <w:rFonts w:cs="Tahoma;Bold" w:ascii="Tahoma;Bold" w:hAnsi="Tahoma;Bold"/>
          <w:color w:val="000000"/>
          <w:sz w:val="22"/>
        </w:rPr>
        <w:t>Conocimiento de Valenciano (máximo 1,5 puntos)</w:t>
      </w:r>
    </w:p>
    <w:p>
      <w:pPr>
        <w:pStyle w:val="Cuerpodetexto"/>
        <w:jc w:val="both"/>
        <w:rPr/>
      </w:pPr>
      <w:r>
        <w:rPr>
          <w:rFonts w:cs="Tahoma;Bold" w:ascii="Tahoma;Bold" w:hAnsi="Tahoma;Bold"/>
          <w:color w:val="000000"/>
          <w:sz w:val="22"/>
        </w:rPr>
        <w:t xml:space="preserve">Título expedido u homologado por la </w:t>
      </w:r>
      <w:r>
        <w:rPr>
          <w:rFonts w:cs="Tahoma;Bold" w:ascii="Tahoma;Bold" w:hAnsi="Tahoma;Bold"/>
          <w:i/>
          <w:color w:val="000000"/>
          <w:sz w:val="22"/>
        </w:rPr>
        <w:t>Junta Qualificadora de Coneixements del Valencià</w:t>
      </w:r>
      <w:r>
        <w:rPr>
          <w:rFonts w:cs="Tahoma;Bold" w:ascii="Tahoma;Bold" w:hAnsi="Tahoma;Bold"/>
          <w:color w:val="000000"/>
          <w:sz w:val="22"/>
        </w:rPr>
        <w:t>. Se considerará válidos los certificados expedidos por la Conselleria d’Educació relativos a la presentación de solicitud para la expedición del Certificado de Conocimientos. En el supuesto de tener varios títulos sólo se computará el de nivel más alto.</w:t>
      </w:r>
    </w:p>
    <w:p>
      <w:pPr>
        <w:pStyle w:val="Cuerpodetexto"/>
        <w:jc w:val="both"/>
        <w:rPr>
          <w:rFonts w:ascii="Tahoma;Bold" w:hAnsi="Tahoma;Bold" w:cs="Tahoma;Bold"/>
          <w:color w:val="000000"/>
          <w:sz w:val="22"/>
          <w:szCs w:val="22"/>
        </w:rPr>
      </w:pPr>
      <w:r>
        <w:rPr>
          <w:rFonts w:cs="Tahoma;Bold" w:ascii="Tahoma;Bold" w:hAnsi="Tahoma;Bold"/>
          <w:color w:val="000000"/>
          <w:sz w:val="22"/>
          <w:szCs w:val="22"/>
        </w:rPr>
        <w:t>- A2: 0,50 puntos</w:t>
      </w:r>
    </w:p>
    <w:p>
      <w:pPr>
        <w:pStyle w:val="Cuerpodetexto"/>
        <w:rPr>
          <w:rFonts w:ascii="Tahoma;Bold" w:hAnsi="Tahoma;Bold" w:cs="Tahoma;Bold"/>
          <w:sz w:val="22"/>
          <w:szCs w:val="22"/>
        </w:rPr>
      </w:pPr>
      <w:r>
        <w:rPr>
          <w:rFonts w:cs="Tahoma;Bold" w:ascii="Tahoma;Bold" w:hAnsi="Tahoma;Bold"/>
          <w:sz w:val="22"/>
          <w:szCs w:val="22"/>
        </w:rPr>
        <w:t>- B1: 0,75 puntos</w:t>
      </w:r>
    </w:p>
    <w:p>
      <w:pPr>
        <w:pStyle w:val="Cuerpodetexto"/>
        <w:rPr>
          <w:rFonts w:ascii="Tahoma;Bold" w:hAnsi="Tahoma;Bold" w:cs="Tahoma;Bold"/>
          <w:sz w:val="22"/>
          <w:szCs w:val="22"/>
        </w:rPr>
      </w:pPr>
      <w:r>
        <w:rPr>
          <w:rFonts w:cs="Tahoma;Bold" w:ascii="Tahoma;Bold" w:hAnsi="Tahoma;Bold"/>
          <w:sz w:val="22"/>
          <w:szCs w:val="22"/>
        </w:rPr>
        <w:t>- B2: 1 punto</w:t>
      </w:r>
    </w:p>
    <w:p>
      <w:pPr>
        <w:pStyle w:val="Cuerpodetexto"/>
        <w:rPr>
          <w:rFonts w:ascii="Tahoma;Bold" w:hAnsi="Tahoma;Bold" w:cs="Tahoma;Bold"/>
          <w:sz w:val="22"/>
          <w:szCs w:val="22"/>
        </w:rPr>
      </w:pPr>
      <w:r>
        <w:rPr>
          <w:rFonts w:cs="Tahoma;Bold" w:ascii="Tahoma;Bold" w:hAnsi="Tahoma;Bold"/>
          <w:sz w:val="22"/>
          <w:szCs w:val="22"/>
        </w:rPr>
        <w:t>- C1: 1,25 puntos</w:t>
      </w:r>
    </w:p>
    <w:p>
      <w:pPr>
        <w:pStyle w:val="Cuerpodetexto"/>
        <w:rPr>
          <w:rFonts w:ascii="Tahoma;Bold" w:hAnsi="Tahoma;Bold" w:cs="Tahoma;Bold"/>
          <w:sz w:val="22"/>
          <w:szCs w:val="22"/>
        </w:rPr>
      </w:pPr>
      <w:r>
        <w:rPr>
          <w:rFonts w:cs="Tahoma;Bold" w:ascii="Tahoma;Bold" w:hAnsi="Tahoma;Bold"/>
          <w:sz w:val="22"/>
          <w:szCs w:val="22"/>
        </w:rPr>
        <w:t>- C2: 1,50 puntos</w:t>
      </w:r>
    </w:p>
    <w:p>
      <w:pPr>
        <w:pStyle w:val="Cuerpodetexto"/>
        <w:jc w:val="both"/>
        <w:rPr/>
      </w:pPr>
      <w:r>
        <w:rPr>
          <w:rFonts w:cs="Tahoma;Bold" w:ascii="Tahoma;Bold" w:hAnsi="Tahoma;Bold"/>
          <w:color w:val="000000"/>
          <w:sz w:val="22"/>
          <w:u w:val="single"/>
        </w:rPr>
        <w:t>Mérito 3º</w:t>
      </w:r>
      <w:r>
        <w:rPr>
          <w:color w:val="000000"/>
        </w:rPr>
        <w:t xml:space="preserve"> </w:t>
      </w:r>
      <w:r>
        <w:rPr>
          <w:rFonts w:cs="Tahoma;Bold" w:ascii="Tahoma;Bold" w:hAnsi="Tahoma;Bold"/>
          <w:color w:val="000000"/>
          <w:sz w:val="22"/>
        </w:rPr>
        <w:t>Otras titulaciones realizadas y relacionadas con el objeto de la beca (máximo 1 punto)</w:t>
      </w:r>
    </w:p>
    <w:p>
      <w:pPr>
        <w:pStyle w:val="Cuerpodetexto"/>
        <w:jc w:val="both"/>
        <w:rPr>
          <w:rFonts w:ascii="Tahoma;Bold" w:hAnsi="Tahoma;Bold" w:cs="Tahoma;Bold"/>
          <w:color w:val="000000"/>
          <w:sz w:val="22"/>
        </w:rPr>
      </w:pPr>
      <w:r>
        <w:rPr>
          <w:rFonts w:cs="Tahoma;Bold" w:ascii="Tahoma;Bold" w:hAnsi="Tahoma;Bold"/>
          <w:color w:val="000000"/>
          <w:sz w:val="22"/>
        </w:rPr>
        <w:t>- Ciclo formativos de grado medio o superior: 0.25 puntos</w:t>
      </w:r>
    </w:p>
    <w:p>
      <w:pPr>
        <w:pStyle w:val="Cuerpodetexto"/>
        <w:jc w:val="both"/>
        <w:rPr>
          <w:rFonts w:ascii="Tahoma;Bold" w:hAnsi="Tahoma;Bold" w:cs="Tahoma;Bold"/>
          <w:color w:val="000000"/>
          <w:sz w:val="22"/>
        </w:rPr>
      </w:pPr>
      <w:r>
        <w:rPr>
          <w:rFonts w:cs="Tahoma;Bold" w:ascii="Tahoma;Bold" w:hAnsi="Tahoma;Bold"/>
          <w:color w:val="000000"/>
          <w:sz w:val="22"/>
        </w:rPr>
        <w:t>- Magisterio o Diplomatura: 0.5 puntos</w:t>
      </w:r>
    </w:p>
    <w:p>
      <w:pPr>
        <w:pStyle w:val="Cuerpodetexto"/>
        <w:jc w:val="both"/>
        <w:rPr>
          <w:rFonts w:ascii="Tahoma;Bold" w:hAnsi="Tahoma;Bold" w:cs="Tahoma;Bold"/>
          <w:color w:val="000000"/>
          <w:sz w:val="22"/>
        </w:rPr>
      </w:pPr>
      <w:r>
        <w:rPr>
          <w:rFonts w:cs="Tahoma;Bold" w:ascii="Tahoma;Bold" w:hAnsi="Tahoma;Bold"/>
          <w:color w:val="000000"/>
          <w:sz w:val="22"/>
        </w:rPr>
        <w:t>- Licenciatura o Grado: 0.75 puntos</w:t>
      </w:r>
    </w:p>
    <w:p>
      <w:pPr>
        <w:pStyle w:val="Cuerpodetexto"/>
        <w:jc w:val="both"/>
        <w:rPr>
          <w:rFonts w:ascii="Tahoma;Bold" w:hAnsi="Tahoma;Bold" w:cs="Tahoma;Bold"/>
          <w:color w:val="000000"/>
          <w:sz w:val="22"/>
        </w:rPr>
      </w:pPr>
      <w:r>
        <w:rPr>
          <w:rFonts w:cs="Tahoma;Bold" w:ascii="Tahoma;Bold" w:hAnsi="Tahoma;Bold"/>
          <w:color w:val="000000"/>
          <w:sz w:val="22"/>
        </w:rPr>
        <w:t>- Postgrado o master: 1 punto</w:t>
      </w:r>
    </w:p>
    <w:p>
      <w:pPr>
        <w:pStyle w:val="Cuerpodetexto"/>
        <w:jc w:val="both"/>
        <w:rPr/>
      </w:pPr>
      <w:r>
        <w:rPr>
          <w:rFonts w:cs="Tahoma;Bold" w:ascii="Tahoma;Bold" w:hAnsi="Tahoma;Bold"/>
          <w:color w:val="000000"/>
          <w:sz w:val="22"/>
          <w:u w:val="single"/>
        </w:rPr>
        <w:t xml:space="preserve">Mérito 4º </w:t>
      </w:r>
      <w:r>
        <w:rPr>
          <w:rFonts w:cs="Tahoma;Bold" w:ascii="Tahoma;Bold" w:hAnsi="Tahoma;Bold"/>
          <w:color w:val="000000"/>
          <w:sz w:val="22"/>
        </w:rPr>
        <w:t>Discapacidad de la persona solicitante (máximo 1 punto)</w:t>
      </w:r>
    </w:p>
    <w:p>
      <w:pPr>
        <w:pStyle w:val="Cuerpodetexto"/>
        <w:jc w:val="both"/>
        <w:rPr>
          <w:rFonts w:ascii="Tahoma;Bold" w:hAnsi="Tahoma;Bold" w:cs="Tahoma;Bold"/>
          <w:color w:val="000000"/>
          <w:sz w:val="22"/>
        </w:rPr>
      </w:pPr>
      <w:r>
        <w:rPr>
          <w:rFonts w:cs="Tahoma;Bold" w:ascii="Tahoma;Bold" w:hAnsi="Tahoma;Bold"/>
          <w:color w:val="000000"/>
          <w:sz w:val="22"/>
        </w:rPr>
        <w:t>- Por grado de minusvalía superior al 33%: 1 punto</w:t>
      </w:r>
    </w:p>
    <w:p>
      <w:pPr>
        <w:pStyle w:val="Cuerpodetexto"/>
        <w:jc w:val="both"/>
        <w:rPr>
          <w:rFonts w:ascii="Tahoma;Bold" w:hAnsi="Tahoma;Bold" w:cs="Tahoma;Bold"/>
          <w:color w:val="000000"/>
          <w:sz w:val="22"/>
        </w:rPr>
      </w:pPr>
      <w:r>
        <w:rPr>
          <w:rFonts w:cs="Tahoma;Bold" w:ascii="Tahoma;Bold" w:hAnsi="Tahoma;Bold"/>
          <w:color w:val="000000"/>
          <w:sz w:val="22"/>
        </w:rPr>
        <w:t>Se acreditará mediante fotocopia compulsada del certificado emitido por la Conselleria de Bienestar Social acreditativo de discapacidad.</w:t>
      </w:r>
    </w:p>
    <w:p>
      <w:pPr>
        <w:pStyle w:val="Cuerpodetexto"/>
        <w:jc w:val="both"/>
        <w:rPr/>
      </w:pPr>
      <w:r>
        <w:rPr>
          <w:rFonts w:cs="Tahoma;Bold" w:ascii="Tahoma;Bold" w:hAnsi="Tahoma;Bold"/>
          <w:color w:val="000000"/>
          <w:sz w:val="22"/>
          <w:u w:val="single"/>
        </w:rPr>
        <w:t xml:space="preserve">Mérito 5º </w:t>
      </w:r>
      <w:r>
        <w:rPr>
          <w:rFonts w:cs="Tahoma;Bold" w:ascii="Tahoma;Bold" w:hAnsi="Tahoma;Bold"/>
          <w:color w:val="000000"/>
          <w:sz w:val="22"/>
        </w:rPr>
        <w:t>Conocimientos de idiomas comunitarios (máximo 1,5 puntos)</w:t>
      </w:r>
    </w:p>
    <w:p>
      <w:pPr>
        <w:pStyle w:val="Cuerpodetexto"/>
        <w:jc w:val="both"/>
        <w:rPr>
          <w:rFonts w:ascii="Tahoma;Bold" w:hAnsi="Tahoma;Bold" w:cs="Tahoma;Bold"/>
          <w:color w:val="000000"/>
          <w:sz w:val="22"/>
        </w:rPr>
      </w:pPr>
      <w:r>
        <w:rPr>
          <w:rFonts w:cs="Tahoma;Bold" w:ascii="Tahoma;Bold" w:hAnsi="Tahoma;Bold"/>
          <w:color w:val="000000"/>
          <w:sz w:val="22"/>
        </w:rPr>
        <w:t>Se calificarán 0.25 puntos por nivel superado correspondiente a los niveles definidos en el Marco Común Europeo de Referencia para las Lenguas.</w:t>
      </w:r>
    </w:p>
    <w:p>
      <w:pPr>
        <w:pStyle w:val="Cuerpodetexto"/>
        <w:jc w:val="both"/>
        <w:rPr>
          <w:rFonts w:ascii="Tahoma;Bold" w:hAnsi="Tahoma;Bold" w:cs="Tahoma;Bold"/>
          <w:color w:val="000000"/>
          <w:sz w:val="22"/>
        </w:rPr>
      </w:pPr>
      <w:r>
        <w:rPr>
          <w:rFonts w:cs="Tahoma;Bold" w:ascii="Tahoma;Bold" w:hAnsi="Tahoma;Bold"/>
          <w:color w:val="000000"/>
          <w:sz w:val="22"/>
        </w:rPr>
        <w:t>Dichos conocimientos deberán ser acreditados mediante títulos, diplomas y certificados expedidos por las Escuelas Oficiales de Idiomas, por las Universidades españolas que sigan el modelo de acreditación de exámenes de la Asociación de Centros de Lenguas de Educación Superior (ACLES), así como aquellos que se indican en el anexo de la Orden 93/2013, de 11 de noviembre, de la Conselleria de Educación, Cultura y Deporte, que modifica el anexo único del Decreto 61/3013, de 17 de mayo, del Consell.</w:t>
      </w:r>
    </w:p>
    <w:p>
      <w:pPr>
        <w:pStyle w:val="Cuerpodetexto"/>
        <w:jc w:val="both"/>
        <w:rPr/>
      </w:pPr>
      <w:r>
        <w:rPr>
          <w:rFonts w:cs="Tahoma;Bold" w:ascii="Tahoma;Bold" w:hAnsi="Tahoma;Bold"/>
          <w:color w:val="000000"/>
          <w:sz w:val="22"/>
          <w:u w:val="single"/>
        </w:rPr>
        <w:t>Mérito 6º</w:t>
      </w:r>
      <w:r>
        <w:rPr>
          <w:color w:val="000000"/>
        </w:rPr>
        <w:t xml:space="preserve"> </w:t>
      </w:r>
      <w:r>
        <w:rPr>
          <w:rFonts w:cs="Tahoma;Bold" w:ascii="Tahoma;Bold" w:hAnsi="Tahoma;Bold"/>
          <w:color w:val="000000"/>
          <w:sz w:val="22"/>
        </w:rPr>
        <w:t>Entrevista (máximo 3 puntos)</w:t>
      </w:r>
    </w:p>
    <w:p>
      <w:pPr>
        <w:pStyle w:val="Cuerpodetexto"/>
        <w:jc w:val="both"/>
        <w:rPr>
          <w:rFonts w:ascii="Tahoma;Bold" w:hAnsi="Tahoma;Bold" w:cs="Tahoma;Bold"/>
          <w:color w:val="000000"/>
          <w:sz w:val="22"/>
        </w:rPr>
      </w:pPr>
      <w:r>
        <w:rPr>
          <w:rFonts w:cs="Tahoma;Bold" w:ascii="Tahoma;Bold" w:hAnsi="Tahoma;Bold"/>
          <w:color w:val="000000"/>
          <w:sz w:val="22"/>
        </w:rPr>
        <w:t>El tribunal calificador realizará una entrevista curricular a cada uno de los/as aspirantes con el objeto de valorar la experiencia, idoneidad y aptitud de los mismos/as, en relación con las funciones a desarrollar. Así mismo, se valorarán los cursos y otros méritos del currículum no valorados anteriormente.</w:t>
      </w:r>
    </w:p>
    <w:p>
      <w:pPr>
        <w:pStyle w:val="Cuerpodetexto"/>
        <w:jc w:val="both"/>
        <w:rPr>
          <w:rFonts w:ascii="Tahoma;Bold" w:hAnsi="Tahoma;Bold" w:cs="Tahoma;Bold"/>
          <w:color w:val="000000"/>
          <w:sz w:val="22"/>
        </w:rPr>
      </w:pPr>
      <w:r>
        <w:rPr>
          <w:rFonts w:cs="Tahoma;Bold" w:ascii="Tahoma;Bold" w:hAnsi="Tahoma;Bold"/>
          <w:color w:val="000000"/>
          <w:sz w:val="22"/>
        </w:rPr>
        <w:t>La puntuación máxima a obtener por este apartado será de 3 puntos.</w:t>
      </w:r>
    </w:p>
    <w:p>
      <w:pPr>
        <w:pStyle w:val="Cuerpodetexto"/>
        <w:jc w:val="both"/>
        <w:rPr/>
      </w:pPr>
      <w:r>
        <w:rPr>
          <w:rFonts w:cs="Tahoma;Bold" w:ascii="Tahoma;Bold" w:hAnsi="Tahoma;Bold"/>
          <w:color w:val="000000"/>
          <w:sz w:val="22"/>
        </w:rPr>
        <w:t xml:space="preserve">En caso de empate de puntuaciones se </w:t>
      </w:r>
      <w:r>
        <w:rPr>
          <w:rFonts w:eastAsia="Times New Roman" w:cs="Tahoma;Bold" w:ascii="Tahoma;Bold" w:hAnsi="Tahoma;Bold"/>
          <w:color w:val="000000"/>
          <w:sz w:val="22"/>
          <w:szCs w:val="20"/>
          <w:lang w:val="es-ES" w:eastAsia="zh-CN" w:bidi="ar-SA"/>
        </w:rPr>
        <w:t>resolverá por que</w:t>
      </w:r>
      <w:r>
        <w:rPr>
          <w:rFonts w:cs="Tahoma;Bold" w:ascii="Tahoma;Bold" w:hAnsi="Tahoma;Bold"/>
          <w:color w:val="000000"/>
          <w:sz w:val="22"/>
        </w:rPr>
        <w:t xml:space="preserve"> la que tenga mejor puntuación por orden en los siguientes apartados:</w:t>
      </w:r>
    </w:p>
    <w:p>
      <w:pPr>
        <w:pStyle w:val="Cuerpodetexto"/>
        <w:jc w:val="both"/>
        <w:rPr>
          <w:rFonts w:ascii="Tahoma;Bold" w:hAnsi="Tahoma;Bold" w:cs="Tahoma;Bold"/>
          <w:color w:val="000000"/>
          <w:sz w:val="22"/>
        </w:rPr>
      </w:pPr>
      <w:r>
        <w:rPr>
          <w:rFonts w:cs="Tahoma;Bold" w:ascii="Tahoma;Bold" w:hAnsi="Tahoma;Bold"/>
          <w:color w:val="000000"/>
          <w:sz w:val="22"/>
        </w:rPr>
        <w:t xml:space="preserve">a) Nota media del expediente académico </w:t>
      </w:r>
    </w:p>
    <w:p>
      <w:pPr>
        <w:pStyle w:val="Cuerpodetexto"/>
        <w:jc w:val="both"/>
        <w:rPr>
          <w:rFonts w:ascii="Tahoma;Bold" w:hAnsi="Tahoma;Bold" w:cs="Tahoma;Bold"/>
          <w:color w:val="000000"/>
          <w:sz w:val="22"/>
        </w:rPr>
      </w:pPr>
      <w:r>
        <w:rPr>
          <w:rFonts w:cs="Tahoma;Bold" w:ascii="Tahoma;Bold" w:hAnsi="Tahoma;Bold"/>
          <w:color w:val="000000"/>
          <w:sz w:val="22"/>
        </w:rPr>
        <w:t>b) Discapacidad</w:t>
      </w:r>
    </w:p>
    <w:p>
      <w:pPr>
        <w:pStyle w:val="Cuerpodetexto"/>
        <w:jc w:val="both"/>
        <w:rPr>
          <w:rFonts w:ascii="Tahoma;Bold" w:hAnsi="Tahoma;Bold" w:cs="Tahoma;Bold"/>
          <w:sz w:val="22"/>
        </w:rPr>
      </w:pPr>
      <w:r>
        <w:rPr>
          <w:rFonts w:cs="Tahoma;Bold" w:ascii="Tahoma;Bold" w:hAnsi="Tahoma;Bold"/>
          <w:sz w:val="22"/>
        </w:rPr>
        <w:t>c) Entrevista</w:t>
      </w:r>
    </w:p>
    <w:p>
      <w:pPr>
        <w:pStyle w:val="Cuerpodetexto"/>
        <w:jc w:val="both"/>
        <w:rPr>
          <w:rFonts w:ascii="Tahoma;Bold" w:hAnsi="Tahoma;Bold" w:cs="Tahoma;Bold"/>
          <w:sz w:val="22"/>
          <w:u w:val="single"/>
        </w:rPr>
      </w:pPr>
      <w:r>
        <w:rPr>
          <w:rFonts w:cs="Tahoma;Bold" w:ascii="Tahoma;Bold" w:hAnsi="Tahoma;Bold"/>
          <w:sz w:val="22"/>
          <w:u w:val="single"/>
        </w:rPr>
        <w:t xml:space="preserve">BASE CUARTA. Dotación, pago, dedicación y duración de las becas. </w:t>
      </w:r>
    </w:p>
    <w:p>
      <w:pPr>
        <w:pStyle w:val="Cuerpodetexto"/>
        <w:jc w:val="both"/>
        <w:rPr>
          <w:rFonts w:ascii="Tahoma;Bold" w:hAnsi="Tahoma;Bold" w:cs="Tahoma;Bold"/>
          <w:sz w:val="22"/>
        </w:rPr>
      </w:pPr>
      <w:r>
        <w:rPr>
          <w:rFonts w:cs="Tahoma;Bold" w:ascii="Tahoma;Bold" w:hAnsi="Tahoma;Bold"/>
          <w:sz w:val="22"/>
        </w:rPr>
        <w:t xml:space="preserve">Cada una de las becas está dotada con un importe máximo de QUINIENTOS (500) EUROS brutos mensuales a abonar en periodos vencidos. En aquellos supuestos que impliquen un periodo inferior al mes natural, será la parte proporcional correspondiente. </w:t>
      </w:r>
    </w:p>
    <w:p>
      <w:pPr>
        <w:pStyle w:val="Cuerpodetexto"/>
        <w:jc w:val="both"/>
        <w:rPr>
          <w:rFonts w:ascii="Tahoma;Bold" w:hAnsi="Tahoma;Bold" w:cs="Tahoma;Bold"/>
          <w:sz w:val="22"/>
        </w:rPr>
      </w:pPr>
      <w:r>
        <w:rPr>
          <w:rFonts w:cs="Tahoma;Bold" w:ascii="Tahoma;Bold" w:hAnsi="Tahoma;Bold"/>
          <w:sz w:val="22"/>
        </w:rPr>
        <w:t xml:space="preserve">La dedicación de las personas becadas será, de VEINTE (20) HORAS semanales, incluidas, en su caso, las sesiones de formación y que deberán ser realizadas siguiendo las instrucciones del tutor. </w:t>
      </w:r>
    </w:p>
    <w:p>
      <w:pPr>
        <w:pStyle w:val="Cuerpodetexto"/>
        <w:jc w:val="both"/>
        <w:rPr/>
      </w:pPr>
      <w:r>
        <w:rPr>
          <w:rFonts w:cs="Tahoma;Bold" w:ascii="Tahoma;Bold" w:hAnsi="Tahoma;Bold"/>
          <w:sz w:val="22"/>
        </w:rPr>
        <w:t>Las becas tendrán una duración 3 meses según el área a iniciar en el periodo de julio a septiembre de 2022</w:t>
      </w:r>
      <w:r>
        <w:rPr>
          <w:rFonts w:cs="Tahoma;Bold" w:ascii="Tahoma;Bold" w:hAnsi="Tahoma;Bold"/>
          <w:sz w:val="22"/>
          <w:shd w:fill="auto" w:val="clear"/>
        </w:rPr>
        <w:t>.</w:t>
      </w:r>
    </w:p>
    <w:p>
      <w:pPr>
        <w:pStyle w:val="Cuerpodetexto"/>
        <w:jc w:val="both"/>
        <w:rPr>
          <w:rFonts w:ascii="Tahoma;Bold" w:hAnsi="Tahoma;Bold" w:cs="Tahoma;Bold"/>
          <w:sz w:val="22"/>
          <w:u w:val="single"/>
        </w:rPr>
      </w:pPr>
      <w:r>
        <w:rPr>
          <w:rFonts w:cs="Tahoma;Bold" w:ascii="Tahoma;Bold" w:hAnsi="Tahoma;Bold"/>
          <w:sz w:val="22"/>
          <w:u w:val="single"/>
        </w:rPr>
        <w:t xml:space="preserve">BASE QUINTA. Plazo y lugar de presentación de solicitudes, y documentación a aportar junto a las mismas. </w:t>
      </w:r>
    </w:p>
    <w:p>
      <w:pPr>
        <w:pStyle w:val="Cuerpodetexto"/>
        <w:jc w:val="both"/>
        <w:rPr>
          <w:rFonts w:ascii="Tahoma;Bold" w:hAnsi="Tahoma;Bold" w:cs="Tahoma;Bold"/>
          <w:sz w:val="22"/>
        </w:rPr>
      </w:pPr>
      <w:r>
        <w:rPr>
          <w:rFonts w:cs="Tahoma;Bold" w:ascii="Tahoma;Bold" w:hAnsi="Tahoma;Bold"/>
          <w:sz w:val="22"/>
        </w:rPr>
        <w:t xml:space="preserve">El plazo de exposición y presentación de solicitudes será de 10 días hábiles contados a partir del día siguiente a la publicación de las presente Bases en el Boletín Oficial de la Provincia. Igualmente se publicarán a título informativo en la página Web del Ayuntamiento de Almassora (www.almassora.es). </w:t>
      </w:r>
    </w:p>
    <w:p>
      <w:pPr>
        <w:pStyle w:val="Cuerpodetexto"/>
        <w:jc w:val="both"/>
        <w:rPr>
          <w:rFonts w:ascii="Tahoma;Bold" w:hAnsi="Tahoma;Bold" w:cs="Tahoma;Bold"/>
          <w:sz w:val="22"/>
        </w:rPr>
      </w:pPr>
      <w:r>
        <w:rPr>
          <w:rFonts w:cs="Tahoma;Bold" w:ascii="Tahoma;Bold" w:hAnsi="Tahoma;Bold"/>
          <w:sz w:val="22"/>
        </w:rPr>
        <w:t xml:space="preserve">Las solicitudes, que estarán disponibles en la página web municipal, www.almassora.es, se presentarán telematicamente siguiendo las instrucciones previstas en el anexo I o bien en el registro de entrada del Ayuntamiento en las oficinas del SIAC, o en cualquiera de las formas previstas en el art. 16.4 de la Ley 39/2015, de 1 de octubre, de Procedimiento Común de las Administraciones Públicas, en las que se deberá de indicar el área/áreas de actividad a las que se opta y a la que se acompañará la siguiente documentación: </w:t>
      </w:r>
    </w:p>
    <w:p>
      <w:pPr>
        <w:pStyle w:val="Cuerpodetexto"/>
        <w:jc w:val="both"/>
        <w:rPr>
          <w:rFonts w:ascii="Tahoma;Bold" w:hAnsi="Tahoma;Bold" w:cs="Tahoma;Bold"/>
          <w:sz w:val="22"/>
        </w:rPr>
      </w:pPr>
      <w:r>
        <w:rPr>
          <w:rFonts w:cs="Tahoma;Bold" w:ascii="Tahoma;Bold" w:hAnsi="Tahoma;Bold"/>
          <w:sz w:val="22"/>
        </w:rPr>
        <w:t>1.- En caso de no autorizarse al Ayuntamiento para acceder a la documentación identificativa de la persona aspirante, se deberá presentar fotocopia del DNI o documentación acreditativa equivalente.</w:t>
      </w:r>
    </w:p>
    <w:p>
      <w:pPr>
        <w:pStyle w:val="Cuerpodetexto"/>
        <w:jc w:val="both"/>
        <w:rPr>
          <w:rFonts w:ascii="Tahoma;Bold" w:hAnsi="Tahoma;Bold" w:cs="Tahoma;Bold"/>
          <w:sz w:val="22"/>
        </w:rPr>
      </w:pPr>
      <w:r>
        <w:rPr>
          <w:rFonts w:cs="Tahoma;Bold" w:ascii="Tahoma;Bold" w:hAnsi="Tahoma;Bold"/>
          <w:sz w:val="22"/>
        </w:rPr>
        <w:t xml:space="preserve">2.- Solicitud general de participación debidamente cumplimentada de acuerdo con el modelo que se podrá a disposición de los interesados en el página web del Ayuntamiento “www. Almassora.es” </w:t>
      </w:r>
    </w:p>
    <w:p>
      <w:pPr>
        <w:pStyle w:val="Cuerpodetexto"/>
        <w:jc w:val="both"/>
        <w:rPr>
          <w:rFonts w:ascii="Tahoma;Bold" w:hAnsi="Tahoma;Bold" w:cs="Tahoma;Bold"/>
          <w:sz w:val="22"/>
        </w:rPr>
      </w:pPr>
      <w:r>
        <w:rPr>
          <w:rFonts w:cs="Tahoma;Bold" w:ascii="Tahoma;Bold" w:hAnsi="Tahoma;Bold"/>
          <w:sz w:val="22"/>
        </w:rPr>
        <w:t xml:space="preserve">3.- Declaración responsable de no incurrir en ninguna de las circunstancias recogidas en el artículo 13.2 de la Ley General de Subvenciones, realizada mediante declaración responsable o a través de cualquier de los medios establecidos en el artículo 13.7 de dicha Ley y artículos concordantes de su reglamento. </w:t>
      </w:r>
    </w:p>
    <w:p>
      <w:pPr>
        <w:pStyle w:val="Cuerpodetexto"/>
        <w:jc w:val="both"/>
        <w:rPr>
          <w:rFonts w:ascii="Tahoma;Bold" w:hAnsi="Tahoma;Bold" w:cs="Tahoma;Bold"/>
          <w:sz w:val="22"/>
        </w:rPr>
      </w:pPr>
      <w:r>
        <w:rPr>
          <w:rFonts w:cs="Tahoma;Bold" w:ascii="Tahoma;Bold" w:hAnsi="Tahoma;Bold"/>
          <w:sz w:val="22"/>
        </w:rPr>
        <w:t xml:space="preserve">4.- Declaración responsable de no estar disfrutando en el momento de la solicitud de la beca, de otra beca o ayuda, de la misma o análoga finalidad, así como no estar desarrollando una actividad laboral relacionada con el objeto de la beca. </w:t>
      </w:r>
    </w:p>
    <w:p>
      <w:pPr>
        <w:pStyle w:val="Cuerpodetexto"/>
        <w:jc w:val="both"/>
        <w:rPr>
          <w:rFonts w:ascii="Tahoma;Bold" w:hAnsi="Tahoma;Bold" w:cs="Tahoma;Bold"/>
          <w:sz w:val="22"/>
        </w:rPr>
      </w:pPr>
      <w:r>
        <w:rPr>
          <w:rFonts w:cs="Tahoma;Bold" w:ascii="Tahoma;Bold" w:hAnsi="Tahoma;Bold"/>
          <w:sz w:val="22"/>
        </w:rPr>
        <w:t xml:space="preserve">5.- Declaración responsable en relación al disfrute de becas del Ayuntamiento, en cualquiera de sus modalidades, en ejercicios anteriores. </w:t>
      </w:r>
    </w:p>
    <w:p>
      <w:pPr>
        <w:pStyle w:val="Cuerpodetexto"/>
        <w:jc w:val="both"/>
        <w:rPr>
          <w:rFonts w:ascii="Tahoma;Bold" w:hAnsi="Tahoma;Bold" w:cs="Tahoma;Bold"/>
          <w:sz w:val="22"/>
        </w:rPr>
      </w:pPr>
      <w:r>
        <w:rPr>
          <w:rFonts w:cs="Tahoma;Bold" w:ascii="Tahoma;Bold" w:hAnsi="Tahoma;Bold"/>
          <w:sz w:val="22"/>
        </w:rPr>
        <w:t>6.- Documentación acreditativa de estar cursando alguna de las enseñanzas oficiales requeridas según la plaza a la que se opte.</w:t>
      </w:r>
    </w:p>
    <w:p>
      <w:pPr>
        <w:pStyle w:val="Cuerpodetexto"/>
        <w:jc w:val="both"/>
        <w:rPr>
          <w:rFonts w:ascii="Tahoma;Bold" w:hAnsi="Tahoma;Bold" w:cs="Tahoma;Bold"/>
          <w:sz w:val="22"/>
        </w:rPr>
      </w:pPr>
      <w:r>
        <w:rPr>
          <w:rFonts w:cs="Tahoma;Bold" w:ascii="Tahoma;Bold" w:hAnsi="Tahoma;Bold"/>
          <w:sz w:val="22"/>
        </w:rPr>
        <w:t xml:space="preserve">7.- Fotocopia de los documentos que acrediten los méritos. </w:t>
      </w:r>
    </w:p>
    <w:p>
      <w:pPr>
        <w:pStyle w:val="Cuerpodetexto"/>
        <w:jc w:val="both"/>
        <w:rPr>
          <w:rFonts w:ascii="Tahoma;Bold" w:hAnsi="Tahoma;Bold" w:cs="Tahoma;Bold"/>
          <w:sz w:val="22"/>
        </w:rPr>
      </w:pPr>
      <w:r>
        <w:rPr>
          <w:rFonts w:cs="Tahoma;Bold" w:ascii="Tahoma;Bold" w:hAnsi="Tahoma;Bold"/>
          <w:sz w:val="22"/>
        </w:rPr>
        <w:t xml:space="preserve">Todos los documentos se acreditarán documentalmente. </w:t>
      </w:r>
    </w:p>
    <w:p>
      <w:pPr>
        <w:pStyle w:val="Cuerpodetexto"/>
        <w:jc w:val="both"/>
        <w:rPr/>
      </w:pPr>
      <w:r>
        <w:rPr>
          <w:rFonts w:cs="Tahoma;Bold" w:ascii="Tahoma;Bold" w:hAnsi="Tahoma;Bold"/>
          <w:sz w:val="22"/>
        </w:rPr>
        <w:t>Finalizado el plazo de presentación de solicitudes, se formulará por la instrucción  la lista provisional de admitidos/as y excluidos/as, que será publicada en el Tablón de Anuncios electrónico del Ayuntamiento y en la página Web del Ayuntamiento de Almassora (</w:t>
      </w:r>
      <w:hyperlink r:id="rId2">
        <w:r>
          <w:rPr>
            <w:rStyle w:val="EnlacedeInternet"/>
            <w:rFonts w:cs="Tahoma;Bold" w:ascii="Tahoma;Bold" w:hAnsi="Tahoma;Bold"/>
            <w:sz w:val="22"/>
          </w:rPr>
          <w:t>www.almassora.es</w:t>
        </w:r>
      </w:hyperlink>
      <w:r>
        <w:rPr>
          <w:rFonts w:cs="Tahoma;Bold" w:ascii="Tahoma;Bold" w:hAnsi="Tahoma;Bold"/>
          <w:sz w:val="22"/>
        </w:rPr>
        <w:t xml:space="preserve"> ). </w:t>
      </w:r>
    </w:p>
    <w:p>
      <w:pPr>
        <w:pStyle w:val="Cuerpodetexto"/>
        <w:jc w:val="both"/>
        <w:rPr/>
      </w:pPr>
      <w:r>
        <w:rPr>
          <w:rFonts w:cs="Tahoma;Bold" w:ascii="Tahoma;Bold" w:hAnsi="Tahoma;Bold"/>
          <w:sz w:val="22"/>
        </w:rPr>
        <w:t xml:space="preserve">Cuando la solicitud no reúna los requisitos señalados en el artículo 68 de la Ley 39/2015, de 1 de octubre, de Procedimiento Administrativo Común de las Administraciones Públicas, o no se acompañe la documentación que de acuerdo con estas bases resulte exigible, se requerirá al interesado, mediante publicación en el Tablón de Anuncios del Ayuntamiento y en la página Web del Ayuntamiento del Ayuntamiento, </w:t>
      </w:r>
      <w:hyperlink r:id="rId3">
        <w:r>
          <w:rPr>
            <w:rStyle w:val="EnlacedeInternet"/>
            <w:rFonts w:cs="Tahoma;Bold" w:ascii="Tahoma;Bold" w:hAnsi="Tahoma;Bold"/>
            <w:sz w:val="22"/>
          </w:rPr>
          <w:t>www.almassora.es</w:t>
        </w:r>
      </w:hyperlink>
      <w:r>
        <w:rPr>
          <w:rFonts w:cs="Tahoma;Bold" w:ascii="Tahoma;Bold" w:hAnsi="Tahoma;Bold"/>
          <w:sz w:val="22"/>
        </w:rPr>
        <w:t>, para que en el plazo de</w:t>
      </w:r>
      <w:r>
        <w:rPr>
          <w:rFonts w:cs="Tahoma;Bold" w:ascii="Tahoma;Bold" w:hAnsi="Tahoma;Bold"/>
          <w:sz w:val="22"/>
          <w:shd w:fill="auto" w:val="clear"/>
        </w:rPr>
        <w:t xml:space="preserve"> 5 </w:t>
      </w:r>
      <w:r>
        <w:rPr>
          <w:rFonts w:cs="Tahoma;Bold" w:ascii="Tahoma;Bold" w:hAnsi="Tahoma;Bold"/>
          <w:sz w:val="22"/>
        </w:rPr>
        <w:t xml:space="preserve">días hábiles, subsane la falta o acompañe los documentos preceptivos, con indicación de que, si así no lo hiciere, se le tendrá por desistido de su petición. </w:t>
      </w:r>
    </w:p>
    <w:p>
      <w:pPr>
        <w:pStyle w:val="Cuerpodetexto"/>
        <w:jc w:val="both"/>
        <w:rPr>
          <w:rFonts w:ascii="Tahoma;Bold" w:hAnsi="Tahoma;Bold" w:cs="Tahoma;Bold"/>
          <w:sz w:val="22"/>
        </w:rPr>
      </w:pPr>
      <w:r>
        <w:rPr>
          <w:rFonts w:cs="Tahoma;Bold" w:ascii="Tahoma;Bold" w:hAnsi="Tahoma;Bold"/>
          <w:sz w:val="22"/>
        </w:rPr>
        <w:t xml:space="preserve">Finalizado dicho plazo y resueltas las reclamaciones se formulará lista definitiva de admitidos/as en el Tablón de Anuncios del Ayuntamiento y en la página Web del Ayuntamiento de Almassora (www.almassora.es). </w:t>
      </w:r>
    </w:p>
    <w:p>
      <w:pPr>
        <w:pStyle w:val="Cuerpodetexto"/>
        <w:jc w:val="both"/>
        <w:rPr>
          <w:rFonts w:ascii="Tahoma;Bold" w:hAnsi="Tahoma;Bold" w:cs="Tahoma;Bold"/>
          <w:sz w:val="22"/>
          <w:u w:val="single"/>
        </w:rPr>
      </w:pPr>
      <w:r>
        <w:rPr>
          <w:rFonts w:cs="Tahoma;Bold" w:ascii="Tahoma;Bold" w:hAnsi="Tahoma;Bold"/>
          <w:sz w:val="22"/>
          <w:u w:val="single"/>
        </w:rPr>
        <w:t xml:space="preserve">BASE SEXTA. Órgano instructor, comisión evaluadora, concesión y seguimiento de las becas </w:t>
      </w:r>
    </w:p>
    <w:p>
      <w:pPr>
        <w:pStyle w:val="Cuerpodetexto"/>
        <w:jc w:val="both"/>
        <w:rPr>
          <w:rFonts w:ascii="Tahoma;Bold" w:hAnsi="Tahoma;Bold" w:cs="Tahoma;Bold"/>
          <w:color w:val="000000"/>
          <w:sz w:val="22"/>
        </w:rPr>
      </w:pPr>
      <w:r>
        <w:rPr>
          <w:rFonts w:cs="Tahoma;Bold" w:ascii="Tahoma;Bold" w:hAnsi="Tahoma;Bold"/>
          <w:color w:val="000000"/>
          <w:sz w:val="22"/>
        </w:rPr>
        <w:t>Se nombra como órgano instructor a Marta López Segura, Adjunta de Sección de Recursos Humanos.</w:t>
      </w:r>
    </w:p>
    <w:p>
      <w:pPr>
        <w:pStyle w:val="Cuerpodetexto"/>
        <w:jc w:val="both"/>
        <w:rPr>
          <w:rFonts w:ascii="Tahoma;Bold" w:hAnsi="Tahoma;Bold" w:cs="Tahoma;Bold"/>
          <w:color w:val="000000"/>
          <w:sz w:val="22"/>
        </w:rPr>
      </w:pPr>
      <w:r>
        <w:rPr>
          <w:rFonts w:cs="Tahoma;Bold" w:ascii="Tahoma;Bold" w:hAnsi="Tahoma;Bold"/>
          <w:color w:val="000000"/>
          <w:sz w:val="22"/>
        </w:rPr>
        <w:t>Para el examen de las solicitudes de becas se constituirá una comisión evaluadora que estará integrada por las siguientes personas miembros:</w:t>
      </w:r>
    </w:p>
    <w:p>
      <w:pPr>
        <w:pStyle w:val="Normal"/>
        <w:autoSpaceDE w:val="false"/>
        <w:jc w:val="both"/>
        <w:rPr/>
      </w:pPr>
      <w:r>
        <w:rPr>
          <w:rFonts w:cs="Tahoma;Bold" w:ascii="Tahoma;Bold" w:hAnsi="Tahoma;Bold"/>
          <w:color w:val="000000"/>
          <w:sz w:val="22"/>
          <w:szCs w:val="22"/>
        </w:rPr>
        <w:t xml:space="preserve">PRESIDENCIA: Clara Ester Tomás Mallén </w:t>
      </w:r>
      <w:r>
        <w:rPr>
          <w:rFonts w:eastAsia="Times New Roman" w:cs="Tahoma;Bold" w:ascii="Tahoma;Bold" w:hAnsi="Tahoma;Bold"/>
          <w:color w:val="000000"/>
          <w:sz w:val="22"/>
          <w:szCs w:val="22"/>
          <w:lang w:val="es-ES" w:eastAsia="zh-CN" w:bidi="ar-SA"/>
        </w:rPr>
        <w:t>Jefa del Área de Servicios a las Personas</w:t>
      </w:r>
      <w:r>
        <w:rPr>
          <w:rFonts w:cs="Tahoma;Bold" w:ascii="Tahoma;Bold" w:hAnsi="Tahoma;Bold"/>
          <w:color w:val="000000"/>
          <w:sz w:val="22"/>
          <w:szCs w:val="22"/>
        </w:rPr>
        <w:t>; suplente: José Manuel Clausell Estelles, Adjunto de Sección de Obras y Planeamiento.</w:t>
      </w:r>
    </w:p>
    <w:p>
      <w:pPr>
        <w:pStyle w:val="Normal"/>
        <w:autoSpaceDE w:val="false"/>
        <w:jc w:val="both"/>
        <w:rPr>
          <w:rFonts w:ascii="Tahoma;Bold" w:hAnsi="Tahoma;Bold" w:cs="Tahoma;Bold"/>
          <w:color w:val="000000"/>
          <w:sz w:val="22"/>
          <w:szCs w:val="22"/>
        </w:rPr>
      </w:pPr>
      <w:r>
        <w:rPr>
          <w:rFonts w:cs="Tahoma;Bold" w:ascii="Tahoma;Bold" w:hAnsi="Tahoma;Bold"/>
          <w:color w:val="000000"/>
          <w:sz w:val="22"/>
          <w:szCs w:val="22"/>
        </w:rPr>
        <w:t xml:space="preserve">SECRETARIA: Por delegación Esther Santolaria Vergara, Animadora del departamento de Juventud. </w:t>
      </w:r>
    </w:p>
    <w:p>
      <w:pPr>
        <w:pStyle w:val="Cuerpodetexto"/>
        <w:jc w:val="both"/>
        <w:rPr>
          <w:rFonts w:ascii="Tahoma;Bold" w:hAnsi="Tahoma;Bold" w:cs="Tahoma;Bold"/>
          <w:color w:val="000000"/>
          <w:sz w:val="22"/>
          <w:szCs w:val="22"/>
        </w:rPr>
      </w:pPr>
      <w:r>
        <w:rPr>
          <w:rFonts w:cs="Tahoma;Bold" w:ascii="Tahoma;Bold" w:hAnsi="Tahoma;Bold"/>
          <w:color w:val="000000"/>
          <w:sz w:val="22"/>
          <w:szCs w:val="22"/>
        </w:rPr>
        <w:t>VOCALIAS: Maribel Martinavarro Carda, Adjunta de Sección de Gestión Tributaria y Presupuestaria; Francisco García Pascual, Técnico Medio de Informática y  M.ª Antonia Fernández Muñoz, Coordinadora del SIAC.</w:t>
      </w:r>
    </w:p>
    <w:p>
      <w:pPr>
        <w:pStyle w:val="Cuerpodetexto"/>
        <w:jc w:val="both"/>
        <w:rPr>
          <w:rFonts w:ascii="Tahoma;Bold" w:hAnsi="Tahoma;Bold" w:cs="Tahoma;Bold"/>
          <w:color w:val="000000"/>
          <w:sz w:val="22"/>
        </w:rPr>
      </w:pPr>
      <w:r>
        <w:rPr>
          <w:rFonts w:cs="Tahoma;Bold" w:ascii="Tahoma;Bold" w:hAnsi="Tahoma;Bold"/>
          <w:color w:val="000000"/>
          <w:sz w:val="22"/>
        </w:rPr>
        <w:t>La comisión evaluadora tiene facultades para realizar y recabar cuantas comprobaciones e informes técnicos de las distintas áreas que estime necesarios para la mejor calificación de los méritos presentados.</w:t>
      </w:r>
    </w:p>
    <w:p>
      <w:pPr>
        <w:pStyle w:val="Cuerpodetexto"/>
        <w:jc w:val="both"/>
        <w:rPr>
          <w:rFonts w:ascii="Tahoma;Bold" w:hAnsi="Tahoma;Bold" w:cs="Tahoma;Bold"/>
          <w:color w:val="000000"/>
          <w:sz w:val="22"/>
        </w:rPr>
      </w:pPr>
      <w:r>
        <w:rPr>
          <w:rFonts w:cs="Tahoma;Bold" w:ascii="Tahoma;Bold" w:hAnsi="Tahoma;Bold"/>
          <w:color w:val="000000"/>
          <w:sz w:val="22"/>
        </w:rPr>
        <w:t>Una vez finalizado el correspondiente estudio de los expedientes de cada uno de las candidaturas, la comisión evaluadora presentará la valoración de méritos al órgano instructor que formulará propuesta de adjudicación de las becas.</w:t>
      </w:r>
    </w:p>
    <w:p>
      <w:pPr>
        <w:pStyle w:val="Cuerpodetexto"/>
        <w:jc w:val="both"/>
        <w:rPr/>
      </w:pPr>
      <w:r>
        <w:rPr>
          <w:rFonts w:cs="Tahoma;Bold" w:ascii="Tahoma;Bold" w:hAnsi="Tahoma;Bold"/>
          <w:color w:val="000000"/>
          <w:sz w:val="22"/>
        </w:rPr>
        <w:t xml:space="preserve">Contra dicha propuesta de resolución se podrán presentar reclamaciones en el plazo de 5 días </w:t>
      </w:r>
      <w:r>
        <w:rPr>
          <w:rFonts w:eastAsia="Times New Roman" w:cs="Tahoma;Bold" w:ascii="Tahoma;Bold" w:hAnsi="Tahoma;Bold"/>
          <w:color w:val="000000"/>
          <w:sz w:val="22"/>
          <w:szCs w:val="20"/>
          <w:lang w:val="es-ES" w:eastAsia="zh-CN" w:bidi="ar-SA"/>
        </w:rPr>
        <w:t>hábiles</w:t>
      </w:r>
      <w:r>
        <w:rPr>
          <w:rFonts w:cs="Tahoma;Bold" w:ascii="Tahoma;Bold" w:hAnsi="Tahoma;Bold"/>
          <w:color w:val="000000"/>
          <w:sz w:val="22"/>
        </w:rPr>
        <w:t xml:space="preserve">. </w:t>
      </w:r>
    </w:p>
    <w:p>
      <w:pPr>
        <w:pStyle w:val="Cuerpodetexto"/>
        <w:jc w:val="both"/>
        <w:rPr/>
      </w:pPr>
      <w:r>
        <w:rPr>
          <w:rFonts w:cs="Tahoma;Bold" w:ascii="Tahoma;Bold" w:hAnsi="Tahoma;Bold"/>
          <w:color w:val="000000"/>
          <w:sz w:val="22"/>
        </w:rPr>
        <w:t>La resolución de concesión de las becas resolverá las reclamaciones presentadas y concederá las mismas e igualmente puede declarar desierta la cobertura de la beca por no presentación de candidatos o si el perfil de los solicitantes no se adecúa a las características concretas necesarias para el correcto desarrollo de la misma, en este caso podrá incrementarse en igual número las otras áreas de actividad, sin exceder en ningún caso el número máximo de</w:t>
      </w:r>
      <w:r>
        <w:rPr>
          <w:rFonts w:cs="Tahoma;Bold" w:ascii="Tahoma;Bold" w:hAnsi="Tahoma;Bold"/>
          <w:color w:val="000000"/>
          <w:sz w:val="22"/>
          <w:shd w:fill="auto" w:val="clear"/>
        </w:rPr>
        <w:t xml:space="preserve"> </w:t>
      </w:r>
      <w:r>
        <w:rPr>
          <w:rFonts w:eastAsia="Times New Roman" w:cs="Tahoma;Bold" w:ascii="Tahoma;Bold" w:hAnsi="Tahoma;Bold"/>
          <w:color w:val="000000"/>
          <w:sz w:val="22"/>
          <w:szCs w:val="20"/>
          <w:shd w:fill="auto" w:val="clear"/>
          <w:lang w:val="es-ES" w:eastAsia="zh-CN" w:bidi="ar-SA"/>
        </w:rPr>
        <w:t>doce</w:t>
      </w:r>
      <w:r>
        <w:rPr>
          <w:rFonts w:cs="Tahoma;Bold" w:ascii="Tahoma;Bold" w:hAnsi="Tahoma;Bold"/>
          <w:color w:val="000000"/>
          <w:sz w:val="22"/>
          <w:shd w:fill="auto" w:val="clear"/>
        </w:rPr>
        <w:t xml:space="preserve"> beca</w:t>
      </w:r>
      <w:r>
        <w:rPr>
          <w:rFonts w:cs="Tahoma;Bold" w:ascii="Tahoma;Bold" w:hAnsi="Tahoma;Bold"/>
          <w:color w:val="000000"/>
          <w:sz w:val="22"/>
        </w:rPr>
        <w:t>s.</w:t>
      </w:r>
    </w:p>
    <w:p>
      <w:pPr>
        <w:pStyle w:val="Cuerpodetexto"/>
        <w:jc w:val="both"/>
        <w:rPr/>
      </w:pPr>
      <w:r>
        <w:rPr>
          <w:rFonts w:cs="Tahoma;Bold" w:ascii="Tahoma;Bold" w:hAnsi="Tahoma;Bold"/>
          <w:color w:val="000000"/>
          <w:sz w:val="22"/>
        </w:rPr>
        <w:t>La resolución de las becas se efectuará por decreto de la Alcaldía de conformidad con el art. 21 de la Ley 7/1985, de 2 de abril y se publicará en el Tablón de anuncios, en la página web municipal (</w:t>
      </w:r>
      <w:hyperlink r:id="rId4">
        <w:r>
          <w:rPr>
            <w:rStyle w:val="EnlacedeInternet"/>
            <w:rFonts w:cs="Tahoma;Bold" w:ascii="Tahoma;Bold" w:hAnsi="Tahoma;Bold"/>
            <w:sz w:val="22"/>
          </w:rPr>
          <w:t>www.almassora.es</w:t>
        </w:r>
      </w:hyperlink>
      <w:r>
        <w:rPr>
          <w:rFonts w:cs="Tahoma;Bold" w:ascii="Tahoma;Bold" w:hAnsi="Tahoma;Bold"/>
          <w:color w:val="000000"/>
          <w:sz w:val="22"/>
        </w:rPr>
        <w:t>), así como en la BDNS tanto la resolución de las becas, como su convocatoria.</w:t>
      </w:r>
    </w:p>
    <w:p>
      <w:pPr>
        <w:pStyle w:val="Cuerpodetexto"/>
        <w:jc w:val="both"/>
        <w:rPr>
          <w:rFonts w:ascii="Tahoma;Bold" w:hAnsi="Tahoma;Bold" w:cs="Tahoma;Bold"/>
          <w:sz w:val="22"/>
        </w:rPr>
      </w:pPr>
      <w:r>
        <w:rPr>
          <w:rFonts w:cs="Tahoma;Bold" w:ascii="Tahoma;Bold" w:hAnsi="Tahoma;Bold"/>
          <w:sz w:val="22"/>
        </w:rPr>
        <w:t>La entidad local nombrará uno o varios tutores/tutoras que realizaran el seguimiento, coordinación y ordenarán la actividad de formación del personal becario y el tiempo de dedicación a dichas actividades.</w:t>
      </w:r>
    </w:p>
    <w:p>
      <w:pPr>
        <w:pStyle w:val="Cuerpodetexto"/>
        <w:jc w:val="both"/>
        <w:rPr>
          <w:rFonts w:ascii="Tahoma;Bold" w:hAnsi="Tahoma;Bold" w:cs="Tahoma;Bold"/>
          <w:sz w:val="22"/>
          <w:u w:val="single"/>
        </w:rPr>
      </w:pPr>
      <w:r>
        <w:rPr>
          <w:rFonts w:cs="Tahoma;Bold" w:ascii="Tahoma;Bold" w:hAnsi="Tahoma;Bold"/>
          <w:sz w:val="22"/>
          <w:u w:val="single"/>
        </w:rPr>
        <w:t xml:space="preserve">BASE SÉPTIMA. Derechos y obligaciones de las personas becadas, e incidencias. </w:t>
      </w:r>
    </w:p>
    <w:p>
      <w:pPr>
        <w:pStyle w:val="Cuerpodetexto"/>
        <w:jc w:val="both"/>
        <w:rPr>
          <w:rFonts w:ascii="Tahoma;Bold" w:hAnsi="Tahoma;Bold" w:cs="Tahoma;Bold"/>
          <w:sz w:val="22"/>
        </w:rPr>
      </w:pPr>
      <w:r>
        <w:rPr>
          <w:rFonts w:cs="Tahoma;Bold" w:ascii="Tahoma;Bold" w:hAnsi="Tahoma;Bold"/>
          <w:sz w:val="22"/>
        </w:rPr>
        <w:t xml:space="preserve">1. La participación de personas becadas en este programa de becas tiene carácter formativo, sin que esta actividad constituya en ningún momento una relación laboral entre dicho personal y esta entidad local. </w:t>
      </w:r>
    </w:p>
    <w:p>
      <w:pPr>
        <w:pStyle w:val="Cuerpodetexto"/>
        <w:jc w:val="both"/>
        <w:rPr>
          <w:rFonts w:ascii="Tahoma;Bold" w:hAnsi="Tahoma;Bold" w:cs="Tahoma;Bold"/>
          <w:sz w:val="22"/>
        </w:rPr>
      </w:pPr>
      <w:r>
        <w:rPr>
          <w:rFonts w:cs="Tahoma;Bold" w:ascii="Tahoma;Bold" w:hAnsi="Tahoma;Bold"/>
          <w:sz w:val="22"/>
        </w:rPr>
        <w:t xml:space="preserve">2. Al personal becario, como perceptor de subvenciones públicas, le resultará de aplicación las obligaciones recogidas en el artículo 14 de la Ley General de Subvenciones. </w:t>
      </w:r>
    </w:p>
    <w:p>
      <w:pPr>
        <w:pStyle w:val="Cuerpodetexto"/>
        <w:jc w:val="both"/>
        <w:rPr>
          <w:rFonts w:ascii="Tahoma;Bold" w:hAnsi="Tahoma;Bold" w:cs="Tahoma;Bold"/>
          <w:sz w:val="22"/>
        </w:rPr>
      </w:pPr>
      <w:r>
        <w:rPr>
          <w:rFonts w:cs="Tahoma;Bold" w:ascii="Tahoma;Bold" w:hAnsi="Tahoma;Bold"/>
          <w:sz w:val="22"/>
        </w:rPr>
        <w:t xml:space="preserve">5. Son obligaciones del personal becario: </w:t>
      </w:r>
    </w:p>
    <w:p>
      <w:pPr>
        <w:pStyle w:val="Cuerpodetexto"/>
        <w:jc w:val="both"/>
        <w:rPr>
          <w:rFonts w:ascii="Tahoma;Bold" w:hAnsi="Tahoma;Bold" w:cs="Tahoma;Bold"/>
          <w:sz w:val="22"/>
        </w:rPr>
      </w:pPr>
      <w:r>
        <w:rPr>
          <w:rFonts w:cs="Tahoma;Bold" w:ascii="Tahoma;Bold" w:hAnsi="Tahoma;Bold"/>
          <w:sz w:val="22"/>
        </w:rPr>
        <w:t xml:space="preserve">a) Desarrollar sus actividades en las dependencias municipales que le sean indicadas por la tutoría. </w:t>
      </w:r>
    </w:p>
    <w:p>
      <w:pPr>
        <w:pStyle w:val="Cuerpodetexto"/>
        <w:jc w:val="both"/>
        <w:rPr>
          <w:rFonts w:ascii="Tahoma;Bold" w:hAnsi="Tahoma;Bold" w:cs="Tahoma;Bold"/>
          <w:sz w:val="22"/>
        </w:rPr>
      </w:pPr>
      <w:r>
        <w:rPr>
          <w:rFonts w:cs="Tahoma;Bold" w:ascii="Tahoma;Bold" w:hAnsi="Tahoma;Bold"/>
          <w:sz w:val="22"/>
        </w:rPr>
        <w:t xml:space="preserve">b) Tener la dedicación que se establece en las bases de estas becas, que deberán ser realizadas siguiendo las indicaciones del tutor o tutora </w:t>
      </w:r>
    </w:p>
    <w:p>
      <w:pPr>
        <w:pStyle w:val="Cuerpodetexto"/>
        <w:jc w:val="both"/>
        <w:rPr>
          <w:rFonts w:ascii="Tahoma;Bold" w:hAnsi="Tahoma;Bold" w:cs="Tahoma;Bold"/>
          <w:sz w:val="22"/>
        </w:rPr>
      </w:pPr>
      <w:r>
        <w:rPr>
          <w:rFonts w:cs="Tahoma;Bold" w:ascii="Tahoma;Bold" w:hAnsi="Tahoma;Bold"/>
          <w:sz w:val="22"/>
        </w:rPr>
        <w:t xml:space="preserve">c) Realizar las actividades y cumplir los objetivos marcados por la tutoría. </w:t>
      </w:r>
    </w:p>
    <w:p>
      <w:pPr>
        <w:pStyle w:val="Cuerpodetexto"/>
        <w:jc w:val="both"/>
        <w:rPr>
          <w:rFonts w:ascii="Tahoma;Bold" w:hAnsi="Tahoma;Bold" w:cs="Tahoma;Bold"/>
          <w:sz w:val="22"/>
        </w:rPr>
      </w:pPr>
      <w:r>
        <w:rPr>
          <w:rFonts w:cs="Tahoma;Bold" w:ascii="Tahoma;Bold" w:hAnsi="Tahoma;Bold"/>
          <w:sz w:val="22"/>
        </w:rPr>
        <w:t xml:space="preserve">d) Elaborar memoria de actividades que deberá ser aprobada por la tutoría. </w:t>
      </w:r>
    </w:p>
    <w:p>
      <w:pPr>
        <w:pStyle w:val="Cuerpodetexto"/>
        <w:jc w:val="both"/>
        <w:rPr>
          <w:rFonts w:ascii="Tahoma;Bold" w:hAnsi="Tahoma;Bold" w:cs="Tahoma;Bold"/>
          <w:sz w:val="22"/>
        </w:rPr>
      </w:pPr>
      <w:r>
        <w:rPr>
          <w:rFonts w:cs="Tahoma;Bold" w:ascii="Tahoma;Bold" w:hAnsi="Tahoma;Bold"/>
          <w:sz w:val="22"/>
        </w:rPr>
        <w:t>e) A comunicar a la administración cualquier cambio relacionado con la beca, que se produzca durante el periodo de disfrute de la misma.</w:t>
      </w:r>
    </w:p>
    <w:p>
      <w:pPr>
        <w:pStyle w:val="Cuerpodetexto"/>
        <w:jc w:val="both"/>
        <w:rPr>
          <w:rFonts w:ascii="Tahoma;Bold" w:hAnsi="Tahoma;Bold" w:cs="Tahoma;Bold"/>
          <w:sz w:val="22"/>
        </w:rPr>
      </w:pPr>
      <w:r>
        <w:rPr>
          <w:rFonts w:cs="Tahoma;Bold" w:ascii="Tahoma;Bold" w:hAnsi="Tahoma;Bold"/>
          <w:sz w:val="22"/>
        </w:rPr>
        <w:t xml:space="preserve">6. Los tutores o tutoras ordenarán las actividades de formación del personal becario y organizarán el tiempo de dedicación a dichas actividades, que será de 20 horas semanales, que deberán realizarse atendiendo al régimen de funcionamiento del centro donde se realice la beca. </w:t>
      </w:r>
    </w:p>
    <w:p>
      <w:pPr>
        <w:pStyle w:val="Cuerpodetexto"/>
        <w:jc w:val="both"/>
        <w:rPr>
          <w:rFonts w:ascii="Tahoma;Bold" w:hAnsi="Tahoma;Bold" w:cs="Tahoma;Bold"/>
          <w:sz w:val="22"/>
        </w:rPr>
      </w:pPr>
      <w:r>
        <w:rPr>
          <w:rFonts w:cs="Tahoma;Bold" w:ascii="Tahoma;Bold" w:hAnsi="Tahoma;Bold"/>
          <w:sz w:val="22"/>
        </w:rPr>
        <w:t xml:space="preserve">7. El incumplimiento sin causa justificada de las condiciones establecidas en la presente convocatoria podrá dejar sin efecto la concesión de la beca, debiendo proceder al reintegro, en su caso, de las cantidades percibidas hasta el momento. </w:t>
      </w:r>
    </w:p>
    <w:p>
      <w:pPr>
        <w:pStyle w:val="Cuerpodetexto"/>
        <w:jc w:val="both"/>
        <w:rPr>
          <w:rFonts w:ascii="Tahoma;Bold" w:hAnsi="Tahoma;Bold" w:cs="Tahoma;Bold"/>
          <w:sz w:val="22"/>
        </w:rPr>
      </w:pPr>
      <w:r>
        <w:rPr>
          <w:rFonts w:cs="Tahoma;Bold" w:ascii="Tahoma;Bold" w:hAnsi="Tahoma;Bold"/>
          <w:sz w:val="22"/>
        </w:rPr>
        <w:t xml:space="preserve">8. Ante las renuncias o bajas, se podrá proceder a cubrir la beca por el tiempo restante, según el orden de puntuación que haya resultado del proceso de selección. </w:t>
      </w:r>
    </w:p>
    <w:p>
      <w:pPr>
        <w:pStyle w:val="Cuerpodetexto"/>
        <w:jc w:val="both"/>
        <w:rPr>
          <w:rFonts w:ascii="Tahoma;Bold" w:hAnsi="Tahoma;Bold" w:cs="Tahoma;Bold"/>
          <w:sz w:val="22"/>
          <w:u w:val="single"/>
        </w:rPr>
      </w:pPr>
      <w:r>
        <w:rPr>
          <w:rFonts w:cs="Tahoma;Bold" w:ascii="Tahoma;Bold" w:hAnsi="Tahoma;Bold"/>
          <w:sz w:val="22"/>
          <w:u w:val="single"/>
        </w:rPr>
        <w:t>BASE OCTAVA: Vacantes</w:t>
      </w:r>
    </w:p>
    <w:p>
      <w:pPr>
        <w:pStyle w:val="Cuerpodetexto"/>
        <w:jc w:val="both"/>
        <w:rPr>
          <w:rFonts w:ascii="Tahoma;Bold" w:hAnsi="Tahoma;Bold" w:cs="Tahoma;Bold"/>
          <w:sz w:val="22"/>
        </w:rPr>
      </w:pPr>
      <w:r>
        <w:rPr>
          <w:rFonts w:cs="Tahoma;Bold" w:ascii="Tahoma;Bold" w:hAnsi="Tahoma;Bold"/>
          <w:sz w:val="22"/>
        </w:rPr>
        <w:t>En caso de que la persona propuesta para la concesión de la beca renunciase a la misma o no pudiera ser adjudicatario/a, se acudirá al/la siguiente en puntuación dentro del área de formación,  ya que se otorga preferencia a la asignación de las becas previstas en cada una de las áreas.</w:t>
      </w:r>
    </w:p>
    <w:p>
      <w:pPr>
        <w:pStyle w:val="Cuerpodetexto"/>
        <w:jc w:val="both"/>
        <w:rPr>
          <w:rFonts w:ascii="Tahoma;Bold" w:hAnsi="Tahoma;Bold" w:cs="Tahoma;Bold"/>
          <w:sz w:val="22"/>
        </w:rPr>
      </w:pPr>
      <w:r>
        <w:rPr>
          <w:rFonts w:cs="Tahoma;Bold" w:ascii="Tahoma;Bold" w:hAnsi="Tahoma;Bold"/>
          <w:sz w:val="22"/>
        </w:rPr>
        <w:t>En caso de que alguna área quede desierta, se podrán ampliar la concesión de becas en el área  que tenga personas candidatas de reserva ( hasta el máximo de plazas que se convocan), siempre atendiendo a los requisitos de titulación, así como al orden de puntuación que haya resultado del proceso de selección, teniendo en cuenta lo establecido en la base segunda apartado 7º que se aplica al personal candidato de cada área. La selección del área que incrementará las becas concedidas en base a lo anterior, se determinará en función de la posibilidad de la organización en asumir las nuevas tutorizaciones.</w:t>
      </w:r>
    </w:p>
    <w:p>
      <w:pPr>
        <w:pStyle w:val="Cuerpodetexto"/>
        <w:jc w:val="both"/>
        <w:rPr/>
      </w:pPr>
      <w:r>
        <w:rPr>
          <w:rFonts w:eastAsia="Tahoma;Bold" w:cs="Tahoma;Bold" w:ascii="Tahoma;Bold" w:hAnsi="Tahoma;Bold"/>
          <w:sz w:val="22"/>
        </w:rPr>
        <w:t xml:space="preserve"> </w:t>
      </w:r>
      <w:r>
        <w:rPr>
          <w:rFonts w:cs="Tahoma;Bold" w:ascii="Tahoma;Bold" w:hAnsi="Tahoma;Bold"/>
          <w:sz w:val="22"/>
          <w:u w:val="single"/>
        </w:rPr>
        <w:t>BASE NOVENA: Presupuesto</w:t>
      </w:r>
    </w:p>
    <w:p>
      <w:pPr>
        <w:pStyle w:val="Cuerpodetexto"/>
        <w:jc w:val="both"/>
        <w:rPr>
          <w:rFonts w:ascii="Tahoma;Bold" w:hAnsi="Tahoma;Bold" w:cs="Tahoma;Bold"/>
          <w:sz w:val="22"/>
        </w:rPr>
      </w:pPr>
      <w:r>
        <w:rPr>
          <w:rFonts w:cs="Tahoma;Bold" w:ascii="Tahoma;Bold" w:hAnsi="Tahoma;Bold"/>
          <w:sz w:val="22"/>
        </w:rPr>
        <w:t>El presupuesto de gastos de la presente convocatoria se financiará con cargo a las siguientes partidas de gastos del presupuesto del año 2022:</w:t>
      </w:r>
    </w:p>
    <w:p>
      <w:pPr>
        <w:pStyle w:val="Cuerpodetexto"/>
        <w:jc w:val="both"/>
        <w:rPr/>
      </w:pPr>
      <w:r>
        <w:rPr>
          <w:rFonts w:cs="Tahoma;Bold" w:ascii="Tahoma;Bold" w:hAnsi="Tahoma;Bold"/>
          <w:sz w:val="22"/>
          <w:shd w:fill="auto" w:val="clear"/>
        </w:rPr>
        <w:t xml:space="preserve">-partida 03.920.488, operación A número </w:t>
      </w:r>
      <w:r>
        <w:rPr>
          <w:rFonts w:eastAsia="Times New Roman" w:cs="Tahoma;Bold" w:ascii="Tahoma;Bold" w:hAnsi="Tahoma;Bold"/>
          <w:color w:val="000000"/>
          <w:kern w:val="2"/>
          <w:sz w:val="22"/>
          <w:szCs w:val="20"/>
          <w:shd w:fill="auto" w:val="clear"/>
          <w:lang w:val="es-ES" w:eastAsia="zh-CN" w:bidi="ar-SA"/>
        </w:rPr>
        <w:t>10426</w:t>
      </w:r>
      <w:r>
        <w:rPr>
          <w:rFonts w:cs="Tahoma;Bold" w:ascii="Tahoma;Bold" w:hAnsi="Tahoma;Bold"/>
          <w:sz w:val="22"/>
          <w:shd w:fill="auto" w:val="clear"/>
        </w:rPr>
        <w:t xml:space="preserve"> por importe de 18.000 €</w:t>
      </w:r>
    </w:p>
    <w:p>
      <w:pPr>
        <w:pStyle w:val="Cuerpodetexto"/>
        <w:jc w:val="both"/>
        <w:rPr>
          <w:rFonts w:ascii="Tahoma;Bold" w:hAnsi="Tahoma;Bold" w:cs="Tahoma;Bold"/>
          <w:sz w:val="22"/>
          <w:u w:val="single"/>
          <w:shd w:fill="auto" w:val="clear"/>
        </w:rPr>
      </w:pPr>
      <w:r>
        <w:rPr>
          <w:rFonts w:cs="Tahoma;Bold" w:ascii="Tahoma;Bold" w:hAnsi="Tahoma;Bold"/>
          <w:sz w:val="22"/>
          <w:u w:val="single"/>
          <w:shd w:fill="auto" w:val="clear"/>
        </w:rPr>
        <w:t xml:space="preserve">BASE DÉCIMA: Protección de datos </w:t>
      </w:r>
    </w:p>
    <w:tbl>
      <w:tblPr>
        <w:tblW w:w="10645" w:type="dxa"/>
        <w:jc w:val="start"/>
        <w:tblInd w:w="-658" w:type="dxa"/>
        <w:tblLayout w:type="fixed"/>
        <w:tblCellMar>
          <w:top w:w="0" w:type="dxa"/>
          <w:start w:w="108" w:type="dxa"/>
          <w:bottom w:w="28" w:type="dxa"/>
          <w:end w:w="108" w:type="dxa"/>
        </w:tblCellMar>
      </w:tblPr>
      <w:tblGrid>
        <w:gridCol w:w="2100"/>
        <w:gridCol w:w="3043"/>
        <w:gridCol w:w="5502"/>
      </w:tblGrid>
      <w:tr>
        <w:trPr/>
        <w:tc>
          <w:tcPr>
            <w:tcW w:w="2100" w:type="dxa"/>
            <w:tcBorders>
              <w:top w:val="single" w:sz="4" w:space="0" w:color="000000"/>
              <w:start w:val="single" w:sz="8" w:space="0" w:color="000000"/>
              <w:bottom w:val="single" w:sz="8" w:space="0" w:color="000000"/>
            </w:tcBorders>
          </w:tcPr>
          <w:p>
            <w:pPr>
              <w:pStyle w:val="TableContentsuser"/>
              <w:spacing w:lineRule="auto" w:line="240" w:before="0" w:after="0"/>
              <w:ind w:start="0" w:end="0" w:hanging="0"/>
              <w:jc w:val="both"/>
              <w:rPr>
                <w:rFonts w:ascii="Tahoma;Bold" w:hAnsi="Tahoma;Bold" w:cs="Tahoma;Bold"/>
                <w:b/>
                <w:b/>
                <w:sz w:val="22"/>
                <w:szCs w:val="22"/>
              </w:rPr>
            </w:pPr>
            <w:r>
              <w:rPr>
                <w:rFonts w:cs="Tahoma;Bold" w:ascii="Tahoma;Bold" w:hAnsi="Tahoma;Bold"/>
                <w:b/>
                <w:sz w:val="22"/>
                <w:szCs w:val="22"/>
              </w:rPr>
              <w:t>Responsable</w:t>
            </w:r>
          </w:p>
          <w:p>
            <w:pPr>
              <w:pStyle w:val="TableContentsuser"/>
              <w:spacing w:lineRule="auto" w:line="240" w:before="0" w:after="0"/>
              <w:ind w:start="0" w:end="0" w:hanging="0"/>
              <w:jc w:val="both"/>
              <w:rPr>
                <w:rFonts w:ascii="Tahoma;Bold" w:hAnsi="Tahoma;Bold" w:cs="Tahoma;Bold"/>
                <w:b/>
                <w:b/>
                <w:sz w:val="22"/>
                <w:szCs w:val="22"/>
              </w:rPr>
            </w:pPr>
            <w:r>
              <w:rPr>
                <w:rFonts w:cs="Tahoma;Bold" w:ascii="Tahoma;Bold" w:hAnsi="Tahoma;Bold"/>
                <w:b/>
                <w:sz w:val="22"/>
                <w:szCs w:val="22"/>
              </w:rPr>
              <w:t>del tratamiento</w:t>
            </w:r>
          </w:p>
        </w:tc>
        <w:tc>
          <w:tcPr>
            <w:tcW w:w="8545" w:type="dxa"/>
            <w:gridSpan w:val="2"/>
            <w:tcBorders>
              <w:top w:val="single" w:sz="4" w:space="0" w:color="000000"/>
              <w:start w:val="single" w:sz="8" w:space="0" w:color="000000"/>
              <w:bottom w:val="single" w:sz="8" w:space="0" w:color="000000"/>
              <w:end w:val="single" w:sz="8" w:space="0" w:color="000000"/>
            </w:tcBorders>
            <w:tcMar>
              <w:start w:w="0" w:type="dxa"/>
            </w:tcMar>
          </w:tcPr>
          <w:p>
            <w:pPr>
              <w:pStyle w:val="TableContentsuser"/>
              <w:spacing w:lineRule="auto" w:line="240" w:before="0" w:after="0"/>
              <w:ind w:start="0" w:end="0" w:hanging="0"/>
              <w:jc w:val="both"/>
              <w:rPr>
                <w:rFonts w:ascii="Tahoma;Bold" w:hAnsi="Tahoma;Bold" w:cs="Tahoma;Bold"/>
                <w:sz w:val="22"/>
                <w:szCs w:val="22"/>
              </w:rPr>
            </w:pPr>
            <w:r>
              <w:rPr>
                <w:rFonts w:cs="Tahoma;Bold" w:ascii="Tahoma;Bold" w:hAnsi="Tahoma;Bold"/>
                <w:sz w:val="22"/>
                <w:szCs w:val="22"/>
              </w:rPr>
              <w:t>NOMBRE ENTIDAD: Ayuntamiento de Almassora</w:t>
            </w:r>
          </w:p>
          <w:p>
            <w:pPr>
              <w:pStyle w:val="TableContentsuser"/>
              <w:spacing w:lineRule="auto" w:line="240" w:before="0" w:after="0"/>
              <w:ind w:start="0" w:end="0" w:hanging="0"/>
              <w:jc w:val="both"/>
              <w:rPr>
                <w:rFonts w:ascii="Tahoma;Bold" w:hAnsi="Tahoma;Bold" w:cs="Tahoma;Bold"/>
                <w:sz w:val="22"/>
                <w:szCs w:val="22"/>
              </w:rPr>
            </w:pPr>
            <w:r>
              <w:rPr>
                <w:rFonts w:cs="Tahoma;Bold" w:ascii="Tahoma;Bold" w:hAnsi="Tahoma;Bold"/>
                <w:sz w:val="22"/>
                <w:szCs w:val="22"/>
              </w:rPr>
              <w:t>DIRECCION: Plaza Pere Cornell, nº1</w:t>
            </w:r>
          </w:p>
          <w:p>
            <w:pPr>
              <w:pStyle w:val="TableContentsuser"/>
              <w:spacing w:lineRule="auto" w:line="240" w:before="0" w:after="0"/>
              <w:ind w:start="0" w:end="0" w:hanging="0"/>
              <w:jc w:val="both"/>
              <w:rPr>
                <w:rFonts w:ascii="Tahoma;Bold" w:hAnsi="Tahoma;Bold" w:cs="Tahoma;Bold"/>
                <w:sz w:val="22"/>
                <w:szCs w:val="22"/>
              </w:rPr>
            </w:pPr>
            <w:r>
              <w:rPr>
                <w:rFonts w:cs="Tahoma;Bold" w:ascii="Tahoma;Bold" w:hAnsi="Tahoma;Bold"/>
                <w:sz w:val="22"/>
                <w:szCs w:val="22"/>
              </w:rPr>
              <w:t>Tlfn:96456000  E-mail: e-ajuntament@almassora.es</w:t>
            </w:r>
          </w:p>
        </w:tc>
      </w:tr>
      <w:tr>
        <w:trPr/>
        <w:tc>
          <w:tcPr>
            <w:tcW w:w="2100" w:type="dxa"/>
            <w:tcBorders>
              <w:start w:val="single" w:sz="8" w:space="0" w:color="000000"/>
              <w:bottom w:val="single" w:sz="8" w:space="0" w:color="000000"/>
            </w:tcBorders>
          </w:tcPr>
          <w:p>
            <w:pPr>
              <w:pStyle w:val="TableContentsuser"/>
              <w:snapToGrid w:val="false"/>
              <w:spacing w:lineRule="auto" w:line="240" w:before="0" w:after="0"/>
              <w:ind w:start="0" w:end="0" w:hanging="0"/>
              <w:jc w:val="both"/>
              <w:rPr>
                <w:rFonts w:ascii="Tahoma;Bold" w:hAnsi="Tahoma;Bold" w:cs="Tahoma;Bold"/>
                <w:sz w:val="22"/>
                <w:szCs w:val="22"/>
              </w:rPr>
            </w:pPr>
            <w:r>
              <w:rPr>
                <w:rFonts w:cs="Tahoma;Bold" w:ascii="Tahoma;Bold" w:hAnsi="Tahoma;Bold"/>
                <w:sz w:val="22"/>
                <w:szCs w:val="22"/>
              </w:rPr>
            </w:r>
          </w:p>
        </w:tc>
        <w:tc>
          <w:tcPr>
            <w:tcW w:w="3043" w:type="dxa"/>
            <w:tcBorders>
              <w:start w:val="single" w:sz="8" w:space="0" w:color="000000"/>
              <w:bottom w:val="single" w:sz="8" w:space="0" w:color="000000"/>
            </w:tcBorders>
            <w:tcMar>
              <w:start w:w="0" w:type="dxa"/>
            </w:tcMar>
          </w:tcPr>
          <w:p>
            <w:pPr>
              <w:pStyle w:val="TableContentsuser"/>
              <w:snapToGrid w:val="false"/>
              <w:spacing w:lineRule="auto" w:line="240" w:before="0" w:after="0"/>
              <w:ind w:start="0" w:end="0" w:hanging="0"/>
              <w:jc w:val="both"/>
              <w:rPr>
                <w:rFonts w:ascii="Tahoma;Bold" w:hAnsi="Tahoma;Bold" w:cs="Tahoma;Bold"/>
                <w:sz w:val="22"/>
                <w:szCs w:val="22"/>
              </w:rPr>
            </w:pPr>
            <w:r>
              <w:rPr>
                <w:rFonts w:cs="Tahoma;Bold" w:ascii="Tahoma;Bold" w:hAnsi="Tahoma;Bold"/>
                <w:sz w:val="22"/>
                <w:szCs w:val="22"/>
              </w:rPr>
            </w:r>
          </w:p>
        </w:tc>
        <w:tc>
          <w:tcPr>
            <w:tcW w:w="5502" w:type="dxa"/>
            <w:tcBorders>
              <w:start w:val="single" w:sz="8" w:space="0" w:color="000000"/>
              <w:bottom w:val="single" w:sz="8" w:space="0" w:color="000000"/>
              <w:end w:val="single" w:sz="8" w:space="0" w:color="000000"/>
            </w:tcBorders>
            <w:tcMar>
              <w:start w:w="10" w:type="dxa"/>
              <w:bottom w:w="0" w:type="dxa"/>
              <w:end w:w="10" w:type="dxa"/>
            </w:tcMar>
          </w:tcPr>
          <w:p>
            <w:pPr>
              <w:pStyle w:val="TableContentsuser"/>
              <w:spacing w:lineRule="auto" w:line="240" w:before="0" w:after="0"/>
              <w:ind w:start="0" w:end="0" w:hanging="0"/>
              <w:jc w:val="both"/>
              <w:rPr>
                <w:rFonts w:ascii="Tahoma;Bold" w:hAnsi="Tahoma;Bold" w:cs="Tahoma;Bold"/>
                <w:b/>
                <w:b/>
                <w:sz w:val="22"/>
                <w:szCs w:val="22"/>
              </w:rPr>
            </w:pPr>
            <w:r>
              <w:rPr>
                <w:rFonts w:cs="Tahoma;Bold" w:ascii="Tahoma;Bold" w:hAnsi="Tahoma;Bold"/>
                <w:b/>
                <w:sz w:val="22"/>
                <w:szCs w:val="22"/>
              </w:rPr>
              <w:t>Plazo de conservación</w:t>
            </w:r>
          </w:p>
        </w:tc>
      </w:tr>
      <w:tr>
        <w:trPr/>
        <w:tc>
          <w:tcPr>
            <w:tcW w:w="2100" w:type="dxa"/>
            <w:tcBorders>
              <w:start w:val="single" w:sz="8" w:space="0" w:color="000000"/>
              <w:bottom w:val="single" w:sz="8" w:space="0" w:color="000000"/>
            </w:tcBorders>
          </w:tcPr>
          <w:p>
            <w:pPr>
              <w:pStyle w:val="TableContentsuser"/>
              <w:spacing w:lineRule="auto" w:line="240" w:before="0" w:after="0"/>
              <w:ind w:start="0" w:end="0" w:hanging="0"/>
              <w:jc w:val="both"/>
              <w:rPr>
                <w:rFonts w:ascii="Tahoma;Bold" w:hAnsi="Tahoma;Bold" w:cs="Tahoma;Bold"/>
                <w:b/>
                <w:b/>
                <w:sz w:val="22"/>
                <w:szCs w:val="22"/>
              </w:rPr>
            </w:pPr>
            <w:r>
              <w:rPr>
                <w:rFonts w:cs="Tahoma;Bold" w:ascii="Tahoma;Bold" w:hAnsi="Tahoma;Bold"/>
                <w:b/>
                <w:sz w:val="22"/>
                <w:szCs w:val="22"/>
              </w:rPr>
              <w:t>Usos y finalidades de los datos</w:t>
            </w:r>
          </w:p>
        </w:tc>
        <w:tc>
          <w:tcPr>
            <w:tcW w:w="3043" w:type="dxa"/>
            <w:tcBorders>
              <w:start w:val="single" w:sz="8" w:space="0" w:color="000000"/>
              <w:bottom w:val="single" w:sz="8" w:space="0" w:color="000000"/>
            </w:tcBorders>
            <w:tcMar>
              <w:start w:w="0" w:type="dxa"/>
            </w:tcMar>
          </w:tcPr>
          <w:p>
            <w:pPr>
              <w:pStyle w:val="TableContentsuser"/>
              <w:spacing w:lineRule="auto" w:line="240" w:before="0" w:after="0"/>
              <w:ind w:start="0" w:end="0" w:hanging="0"/>
              <w:jc w:val="both"/>
              <w:rPr>
                <w:rFonts w:ascii="Tahoma;Bold" w:hAnsi="Tahoma;Bold" w:cs="Tahoma;Bold"/>
                <w:sz w:val="22"/>
                <w:szCs w:val="22"/>
              </w:rPr>
            </w:pPr>
            <w:r>
              <w:rPr>
                <w:rFonts w:cs="Tahoma;Bold" w:ascii="Tahoma;Bold" w:hAnsi="Tahoma;Bold"/>
                <w:sz w:val="22"/>
                <w:szCs w:val="22"/>
              </w:rPr>
              <w:t>La finalidad por la cual se recaban sus datos de carácter personal es para hacerle partícipe del proceso de concesión de becas formativas mediante procedimiento de concurrencia competitiva que está llevando a cabo el AYUNTAMIENTO DE ALMASSORA.</w:t>
            </w:r>
          </w:p>
        </w:tc>
        <w:tc>
          <w:tcPr>
            <w:tcW w:w="5502" w:type="dxa"/>
            <w:tcBorders>
              <w:start w:val="single" w:sz="8" w:space="0" w:color="000000"/>
              <w:bottom w:val="single" w:sz="8" w:space="0" w:color="000000"/>
              <w:end w:val="single" w:sz="8" w:space="0" w:color="000000"/>
            </w:tcBorders>
            <w:tcMar>
              <w:start w:w="10" w:type="dxa"/>
              <w:bottom w:w="0" w:type="dxa"/>
              <w:end w:w="10" w:type="dxa"/>
            </w:tcMar>
          </w:tcPr>
          <w:p>
            <w:pPr>
              <w:pStyle w:val="TableContentsuser"/>
              <w:spacing w:lineRule="auto" w:line="240" w:before="0" w:after="0"/>
              <w:ind w:start="0" w:end="0" w:hanging="0"/>
              <w:jc w:val="both"/>
              <w:rPr>
                <w:rFonts w:ascii="Tahoma;Bold" w:hAnsi="Tahoma;Bold" w:cs="Tahoma;Bold"/>
                <w:sz w:val="22"/>
                <w:szCs w:val="22"/>
              </w:rPr>
            </w:pPr>
            <w:r>
              <w:rPr>
                <w:rFonts w:cs="Tahoma;Bold" w:ascii="Tahoma;Bold" w:hAnsi="Tahoma;Bold"/>
                <w:sz w:val="22"/>
                <w:szCs w:val="22"/>
              </w:rPr>
              <w:t>Por regla general, los datos relativos a este uso serán conservados durante el plazo en el cual el proceso de selección pueda ser impugnado en vía administrativa o judicial.</w:t>
            </w:r>
          </w:p>
        </w:tc>
      </w:tr>
      <w:tr>
        <w:trPr/>
        <w:tc>
          <w:tcPr>
            <w:tcW w:w="2100" w:type="dxa"/>
            <w:tcBorders>
              <w:start w:val="single" w:sz="8" w:space="0" w:color="000000"/>
              <w:bottom w:val="single" w:sz="8" w:space="0" w:color="000000"/>
            </w:tcBorders>
          </w:tcPr>
          <w:p>
            <w:pPr>
              <w:pStyle w:val="TableContentsuser"/>
              <w:spacing w:lineRule="auto" w:line="240" w:before="0" w:after="0"/>
              <w:ind w:start="0" w:end="0" w:hanging="0"/>
              <w:jc w:val="both"/>
              <w:rPr>
                <w:rFonts w:ascii="Tahoma;Bold" w:hAnsi="Tahoma;Bold" w:cs="Tahoma;Bold"/>
                <w:b/>
                <w:b/>
                <w:sz w:val="22"/>
                <w:szCs w:val="22"/>
              </w:rPr>
            </w:pPr>
            <w:r>
              <w:rPr>
                <w:rFonts w:cs="Tahoma;Bold" w:ascii="Tahoma;Bold" w:hAnsi="Tahoma;Bold"/>
                <w:b/>
                <w:sz w:val="22"/>
                <w:szCs w:val="22"/>
              </w:rPr>
              <w:t>Legitimación</w:t>
            </w:r>
          </w:p>
        </w:tc>
        <w:tc>
          <w:tcPr>
            <w:tcW w:w="8545" w:type="dxa"/>
            <w:gridSpan w:val="2"/>
            <w:tcBorders>
              <w:start w:val="single" w:sz="8" w:space="0" w:color="000000"/>
              <w:bottom w:val="single" w:sz="8" w:space="0" w:color="000000"/>
              <w:end w:val="single" w:sz="8" w:space="0" w:color="000000"/>
            </w:tcBorders>
            <w:tcMar>
              <w:start w:w="0" w:type="dxa"/>
            </w:tcMar>
          </w:tcPr>
          <w:p>
            <w:pPr>
              <w:pStyle w:val="TableContentsuser"/>
              <w:spacing w:lineRule="auto" w:line="240" w:before="0" w:after="0"/>
              <w:ind w:start="0" w:end="0" w:hanging="0"/>
              <w:jc w:val="both"/>
              <w:rPr>
                <w:rFonts w:ascii="Tahoma;Bold" w:hAnsi="Tahoma;Bold" w:cs="Tahoma;Bold"/>
                <w:sz w:val="22"/>
                <w:szCs w:val="22"/>
              </w:rPr>
            </w:pPr>
            <w:r>
              <w:rPr>
                <w:rFonts w:cs="Tahoma;Bold" w:ascii="Tahoma;Bold" w:hAnsi="Tahoma;Bold"/>
                <w:sz w:val="22"/>
                <w:szCs w:val="22"/>
              </w:rPr>
              <w:t>Los datos son tratados en base al consentimiento prestado por el/la interesado/a.</w:t>
            </w:r>
          </w:p>
        </w:tc>
      </w:tr>
      <w:tr>
        <w:trPr/>
        <w:tc>
          <w:tcPr>
            <w:tcW w:w="2100" w:type="dxa"/>
            <w:tcBorders>
              <w:start w:val="single" w:sz="8" w:space="0" w:color="000000"/>
              <w:bottom w:val="single" w:sz="4" w:space="0" w:color="000000"/>
            </w:tcBorders>
          </w:tcPr>
          <w:p>
            <w:pPr>
              <w:pStyle w:val="TableContentsuser"/>
              <w:spacing w:lineRule="auto" w:line="240" w:before="0" w:after="0"/>
              <w:ind w:start="0" w:end="0" w:hanging="0"/>
              <w:jc w:val="both"/>
              <w:rPr>
                <w:rFonts w:ascii="Tahoma;Bold" w:hAnsi="Tahoma;Bold" w:cs="Tahoma;Bold"/>
                <w:b/>
                <w:b/>
                <w:sz w:val="22"/>
                <w:szCs w:val="22"/>
              </w:rPr>
            </w:pPr>
            <w:r>
              <w:rPr>
                <w:rFonts w:cs="Tahoma;Bold" w:ascii="Tahoma;Bold" w:hAnsi="Tahoma;Bold"/>
                <w:b/>
                <w:sz w:val="22"/>
                <w:szCs w:val="22"/>
              </w:rPr>
              <w:t>Destinatarios de los datos (cesiones o transferencias)</w:t>
            </w:r>
          </w:p>
        </w:tc>
        <w:tc>
          <w:tcPr>
            <w:tcW w:w="8545" w:type="dxa"/>
            <w:gridSpan w:val="2"/>
            <w:tcBorders>
              <w:start w:val="single" w:sz="8" w:space="0" w:color="000000"/>
              <w:bottom w:val="single" w:sz="4" w:space="0" w:color="000000"/>
              <w:end w:val="single" w:sz="8" w:space="0" w:color="000000"/>
            </w:tcBorders>
            <w:tcMar>
              <w:start w:w="0" w:type="dxa"/>
            </w:tcMar>
          </w:tcPr>
          <w:p>
            <w:pPr>
              <w:pStyle w:val="TableContentsuser"/>
              <w:spacing w:lineRule="auto" w:line="240" w:before="0" w:after="0"/>
              <w:ind w:start="0" w:end="0" w:hanging="0"/>
              <w:jc w:val="both"/>
              <w:rPr>
                <w:rFonts w:ascii="Tahoma;Bold" w:hAnsi="Tahoma;Bold" w:cs="Tahoma;Bold"/>
                <w:sz w:val="22"/>
                <w:szCs w:val="22"/>
              </w:rPr>
            </w:pPr>
            <w:r>
              <w:rPr>
                <w:rFonts w:cs="Tahoma;Bold" w:ascii="Tahoma;Bold" w:hAnsi="Tahoma;Bold"/>
                <w:sz w:val="22"/>
                <w:szCs w:val="22"/>
              </w:rPr>
              <w:t>- Tribunales de selección y, en caso de reclamación se transmitirán dichos datos a los juzgados y Tribunales competentes.</w:t>
            </w:r>
          </w:p>
          <w:p>
            <w:pPr>
              <w:pStyle w:val="TableContentsuser"/>
              <w:spacing w:lineRule="auto" w:line="240" w:before="0" w:after="0"/>
              <w:ind w:start="0" w:end="0" w:hanging="0"/>
              <w:jc w:val="both"/>
              <w:rPr>
                <w:rFonts w:ascii="Tahoma;Bold" w:hAnsi="Tahoma;Bold" w:cs="Tahoma;Bold"/>
                <w:sz w:val="22"/>
                <w:szCs w:val="22"/>
              </w:rPr>
            </w:pPr>
            <w:r>
              <w:rPr>
                <w:rFonts w:cs="Tahoma;Bold" w:ascii="Tahoma;Bold" w:hAnsi="Tahoma;Bold"/>
                <w:sz w:val="22"/>
                <w:szCs w:val="22"/>
              </w:rPr>
              <w:t>- La relación de admitidos/as y excluidos/as, así como las calificaciones y la evolución del proceso de selección serán publicados tanto en el portal web del AYUNTAMIENTO DE ALMASSORA como en los tablones de anuncios existentes en las dependencias del Ayuntamiento.</w:t>
            </w:r>
          </w:p>
        </w:tc>
      </w:tr>
      <w:tr>
        <w:trPr/>
        <w:tc>
          <w:tcPr>
            <w:tcW w:w="2100" w:type="dxa"/>
            <w:tcBorders>
              <w:top w:val="single" w:sz="4" w:space="0" w:color="000000"/>
              <w:start w:val="single" w:sz="8" w:space="0" w:color="000000"/>
              <w:bottom w:val="single" w:sz="8" w:space="0" w:color="000000"/>
            </w:tcBorders>
          </w:tcPr>
          <w:p>
            <w:pPr>
              <w:pStyle w:val="TableContentsuser"/>
              <w:spacing w:lineRule="auto" w:line="240" w:before="0" w:after="0"/>
              <w:ind w:start="0" w:end="0" w:hanging="0"/>
              <w:jc w:val="both"/>
              <w:rPr>
                <w:rFonts w:ascii="Tahoma;Bold" w:hAnsi="Tahoma;Bold" w:cs="Tahoma;Bold"/>
                <w:b/>
                <w:b/>
                <w:sz w:val="22"/>
                <w:szCs w:val="22"/>
              </w:rPr>
            </w:pPr>
            <w:r>
              <w:rPr>
                <w:rFonts w:cs="Tahoma;Bold" w:ascii="Tahoma;Bold" w:hAnsi="Tahoma;Bold"/>
                <w:b/>
                <w:sz w:val="22"/>
                <w:szCs w:val="22"/>
              </w:rPr>
              <w:t>Derechos</w:t>
            </w:r>
          </w:p>
        </w:tc>
        <w:tc>
          <w:tcPr>
            <w:tcW w:w="8545" w:type="dxa"/>
            <w:gridSpan w:val="2"/>
            <w:tcBorders>
              <w:top w:val="single" w:sz="4" w:space="0" w:color="000000"/>
              <w:start w:val="single" w:sz="8" w:space="0" w:color="000000"/>
              <w:bottom w:val="single" w:sz="8" w:space="0" w:color="000000"/>
              <w:end w:val="single" w:sz="8" w:space="0" w:color="000000"/>
            </w:tcBorders>
            <w:tcMar>
              <w:start w:w="0" w:type="dxa"/>
            </w:tcMar>
          </w:tcPr>
          <w:p>
            <w:pPr>
              <w:pStyle w:val="TableContentsuser"/>
              <w:spacing w:lineRule="auto" w:line="240" w:before="0" w:after="0"/>
              <w:ind w:start="0" w:end="0" w:hanging="0"/>
              <w:jc w:val="both"/>
              <w:rPr/>
            </w:pPr>
            <w:r>
              <w:rPr>
                <w:rFonts w:cs="Tahoma;Bold" w:ascii="Tahoma;Bold" w:hAnsi="Tahoma;Bold"/>
                <w:sz w:val="22"/>
                <w:szCs w:val="22"/>
              </w:rPr>
              <w:t xml:space="preserve">Ud. podrá ejercitar los derechos de Acceso, Rectificación, Supresión, Portabilidad, Limitación o, en su caso, Oposición. Para ejercitar los derechos deberá presentar un escrito en la dirección arriba señalada, o a nuestro Delegado de Protección de Datos </w:t>
            </w:r>
            <w:hyperlink r:id="rId5">
              <w:r>
                <w:rPr>
                  <w:rStyle w:val="EnlacedeInternet"/>
                  <w:rFonts w:cs="Tahoma;Bold" w:ascii="Tahoma;Bold" w:hAnsi="Tahoma;Bold"/>
                  <w:sz w:val="22"/>
                  <w:szCs w:val="22"/>
                </w:rPr>
                <w:t>dpo@almassora.es</w:t>
              </w:r>
            </w:hyperlink>
            <w:r>
              <w:rPr>
                <w:rFonts w:cs="Tahoma;Bold" w:ascii="Tahoma;Bold" w:hAnsi="Tahoma;Bold"/>
                <w:sz w:val="22"/>
                <w:szCs w:val="22"/>
              </w:rPr>
              <w:t xml:space="preserve"> Deberá especificar cuál de estos derechos solicita sea satisfecho y, a su vez, deberá acompañarse de la fotocopia del DNI o documento identificativo equivalente. En caso de que actuara mediante representante, legal o voluntario, deberá aportar también documento que acredite la representación y documento identificativo del mismo.</w:t>
            </w:r>
          </w:p>
          <w:p>
            <w:pPr>
              <w:pStyle w:val="TableContentsuser"/>
              <w:spacing w:lineRule="auto" w:line="240" w:before="0" w:after="0"/>
              <w:ind w:start="0" w:end="0" w:hanging="0"/>
              <w:jc w:val="both"/>
              <w:rPr/>
            </w:pPr>
            <w:r>
              <w:rPr>
                <w:rFonts w:cs="Tahoma;Bold" w:ascii="Tahoma;Bold" w:hAnsi="Tahoma;Bold"/>
                <w:sz w:val="22"/>
                <w:szCs w:val="22"/>
              </w:rPr>
              <w:t>Asimismo, en caso de considerar vulnerado su derecho a la protección de datos personales, podrá interponer una reclamación ante la Agencia Española de Protección de Datos (</w:t>
            </w:r>
            <w:hyperlink r:id="rId6">
              <w:r>
                <w:rPr>
                  <w:rStyle w:val="EnlacedeInternet"/>
                  <w:rFonts w:cs="Tahoma;Bold" w:ascii="Tahoma;Bold" w:hAnsi="Tahoma;Bold"/>
                  <w:sz w:val="22"/>
                  <w:szCs w:val="22"/>
                </w:rPr>
                <w:t>www.agpd.es</w:t>
              </w:r>
            </w:hyperlink>
            <w:r>
              <w:rPr>
                <w:rFonts w:cs="Tahoma;Bold" w:ascii="Tahoma;Bold" w:hAnsi="Tahoma;Bold"/>
                <w:sz w:val="22"/>
                <w:szCs w:val="22"/>
              </w:rPr>
              <w:t>).</w:t>
            </w:r>
          </w:p>
        </w:tc>
      </w:tr>
    </w:tbl>
    <w:p>
      <w:pPr>
        <w:pStyle w:val="Cuerpodetexto"/>
        <w:jc w:val="both"/>
        <w:rPr>
          <w:rFonts w:ascii="Tahoma;Bold" w:hAnsi="Tahoma;Bold" w:cs="Tahoma;Bold"/>
          <w:sz w:val="22"/>
          <w:u w:val="single"/>
        </w:rPr>
      </w:pPr>
      <w:r>
        <w:rPr>
          <w:rFonts w:cs="Tahoma;Bold" w:ascii="Tahoma;Bold" w:hAnsi="Tahoma;Bold"/>
          <w:sz w:val="22"/>
          <w:u w:val="single"/>
        </w:rPr>
      </w:r>
    </w:p>
    <w:p>
      <w:pPr>
        <w:pStyle w:val="Cuerpodetexto"/>
        <w:jc w:val="both"/>
        <w:rPr>
          <w:rFonts w:ascii="Tahoma;Bold" w:hAnsi="Tahoma;Bold" w:cs="Tahoma;Bold"/>
          <w:sz w:val="22"/>
          <w:u w:val="single"/>
        </w:rPr>
      </w:pPr>
      <w:r>
        <w:rPr>
          <w:rFonts w:cs="Tahoma;Bold" w:ascii="Tahoma;Bold" w:hAnsi="Tahoma;Bold"/>
          <w:sz w:val="22"/>
          <w:u w:val="single"/>
        </w:rPr>
        <w:t>BASE UNDÉCIMA.- Normativa aplicable</w:t>
      </w:r>
    </w:p>
    <w:p>
      <w:pPr>
        <w:pStyle w:val="Cuerpodetexto"/>
        <w:jc w:val="both"/>
        <w:rPr>
          <w:rFonts w:ascii="Tahoma;Bold" w:hAnsi="Tahoma;Bold" w:cs="Tahoma;Bold"/>
          <w:sz w:val="22"/>
        </w:rPr>
      </w:pPr>
      <w:r>
        <w:rPr>
          <w:rFonts w:cs="Tahoma;Bold" w:ascii="Tahoma;Bold" w:hAnsi="Tahoma;Bold"/>
          <w:sz w:val="22"/>
        </w:rPr>
        <w:t>En lo no previsto en las presentes bases se estará a lo dispuesto en la Ordenanza Municipal General de Subvenciones publicada en el sede electrónica de la página web www.almassora.es, en la Ley 38/2003, de 17 de noviembre, General de Subvenciones y demás normativa aplicable.</w:t>
      </w:r>
    </w:p>
    <w:p>
      <w:pPr>
        <w:pStyle w:val="Cuerpodetexto"/>
        <w:rPr>
          <w:rFonts w:ascii="Tahoma;Bold" w:hAnsi="Tahoma;Bold" w:cs="Tahoma;Bold"/>
          <w:sz w:val="22"/>
          <w:u w:val="single"/>
        </w:rPr>
      </w:pPr>
      <w:r>
        <w:rPr>
          <w:rFonts w:cs="Tahoma;Bold" w:ascii="Tahoma;Bold" w:hAnsi="Tahoma;Bold"/>
          <w:sz w:val="22"/>
          <w:u w:val="single"/>
        </w:rPr>
        <w:t>BASE DUODÉCIMA.- Recursos</w:t>
      </w:r>
    </w:p>
    <w:p>
      <w:pPr>
        <w:pStyle w:val="Cuerpodetexto"/>
        <w:jc w:val="both"/>
        <w:rPr>
          <w:rFonts w:ascii="Tahoma;Bold" w:hAnsi="Tahoma;Bold" w:cs="Tahoma;Bold"/>
          <w:sz w:val="22"/>
          <w:szCs w:val="22"/>
        </w:rPr>
      </w:pPr>
      <w:r>
        <w:rPr>
          <w:rFonts w:cs="Tahoma;Bold" w:ascii="Tahoma;Bold" w:hAnsi="Tahoma;Bold"/>
          <w:sz w:val="22"/>
          <w:szCs w:val="22"/>
        </w:rPr>
        <w:t>Contra la presente resolución que es definitiva en la vía administrativa, se podrá interponer potestativamente recurso de reposición ante el mismo órgano que ha dictado el acto. El plazo para su interposición será de un mes contado a partir del día siguiente de la notificación de la presente resolución. Asimismo podrá interponer directamente, sin necesidad de utilizar el recurso de reposición, recurso contencioso-administrativo, a su elección, ante el Juzgado de lo Contencioso-Administrativo de Castellón, o ante el juzgado o el Tribunal en cuya circunscripción tenga aquel su domicilio, siempre y cuando pertenezca a la circunscripción del Tribunal Superior de Justicia de la Comunidad Valenciana, dentro del plazo de dos meses contados desde el día siguiente al de la recepción de esta notificación, según establecen los artículos 114 y 123 de la Ley 39/2015 de 1 de octubre, de Procedimiento Administrativo Común de las administraciones públicas y 8, 14 y 46 de la Ley 29/1998, Reguladora de la Jurisdicción Contencioso-Administrativa.</w:t>
      </w:r>
    </w:p>
    <w:p>
      <w:pPr>
        <w:pStyle w:val="Normal"/>
        <w:tabs>
          <w:tab w:val="clear" w:pos="709"/>
          <w:tab w:val="left" w:pos="5103" w:leader="none"/>
        </w:tabs>
        <w:ind w:start="0" w:end="-1" w:hanging="0"/>
        <w:jc w:val="both"/>
        <w:rPr>
          <w:rFonts w:ascii="Tahoma;Bold" w:hAnsi="Tahoma;Bold" w:cs="Tahoma;Bold"/>
          <w:sz w:val="22"/>
          <w:szCs w:val="22"/>
        </w:rPr>
      </w:pPr>
      <w:r>
        <w:rPr>
          <w:rFonts w:cs="Tahoma;Bold" w:ascii="Tahoma;Bold" w:hAnsi="Tahoma;Bold"/>
          <w:sz w:val="22"/>
          <w:szCs w:val="22"/>
        </w:rPr>
        <w:t>Todo ello sin perjuicio de que pueda ejercitar cualquier otro recurso o acción que estime procedente.</w:t>
      </w:r>
    </w:p>
    <w:p>
      <w:pPr>
        <w:pStyle w:val="Normal"/>
        <w:tabs>
          <w:tab w:val="clear" w:pos="709"/>
          <w:tab w:val="left" w:pos="5103" w:leader="none"/>
        </w:tabs>
        <w:ind w:start="0" w:end="-1" w:hanging="0"/>
        <w:jc w:val="both"/>
        <w:rPr>
          <w:rFonts w:ascii="Tahoma;Bold" w:hAnsi="Tahoma;Bold" w:cs="Tahoma;Bold"/>
          <w:sz w:val="22"/>
          <w:szCs w:val="22"/>
        </w:rPr>
      </w:pPr>
      <w:r>
        <w:rPr>
          <w:rFonts w:cs="Tahoma;Bold" w:ascii="Tahoma;Bold" w:hAnsi="Tahoma;Bold"/>
          <w:sz w:val="22"/>
          <w:szCs w:val="22"/>
        </w:rPr>
        <w:t>ANEXO I</w:t>
      </w:r>
    </w:p>
    <w:p>
      <w:pPr>
        <w:pStyle w:val="NormalWeb"/>
        <w:overflowPunct w:val="false"/>
        <w:autoSpaceDE w:val="false"/>
        <w:spacing w:lineRule="auto" w:line="240" w:before="0" w:after="0"/>
        <w:ind w:start="0" w:end="0" w:hanging="0"/>
        <w:jc w:val="both"/>
        <w:rPr>
          <w:rFonts w:ascii="Tahoma;Bold" w:hAnsi="Tahoma;Bold" w:eastAsia="Tahoma;Bold" w:cs="Tahoma;Bold"/>
          <w:sz w:val="22"/>
          <w:szCs w:val="22"/>
        </w:rPr>
      </w:pPr>
      <w:r>
        <w:rPr>
          <w:rFonts w:eastAsia="Tahoma;Bold" w:cs="Tahoma;Bold" w:ascii="Tahoma;Bold" w:hAnsi="Tahoma;Bold"/>
          <w:sz w:val="22"/>
          <w:szCs w:val="22"/>
        </w:rPr>
        <w:t xml:space="preserve">Para la presentación telemática de la instancia las cosas a tener en cuenta son las siguientes: </w:t>
      </w:r>
    </w:p>
    <w:p>
      <w:pPr>
        <w:pStyle w:val="NormalWeb"/>
        <w:overflowPunct w:val="false"/>
        <w:autoSpaceDE w:val="false"/>
        <w:spacing w:lineRule="auto" w:line="240" w:before="0" w:after="0"/>
        <w:ind w:start="0" w:end="0" w:hanging="0"/>
        <w:jc w:val="both"/>
        <w:rPr>
          <w:rFonts w:ascii="Tahoma;Bold" w:hAnsi="Tahoma;Bold" w:eastAsia="Tahoma;Bold" w:cs="Tahoma;Bold"/>
          <w:sz w:val="22"/>
          <w:szCs w:val="22"/>
        </w:rPr>
      </w:pPr>
      <w:r>
        <w:rPr>
          <w:rFonts w:eastAsia="Tahoma;Bold" w:cs="Tahoma;Bold" w:ascii="Tahoma;Bold" w:hAnsi="Tahoma;Bold"/>
          <w:sz w:val="22"/>
          <w:szCs w:val="22"/>
        </w:rPr>
        <w:t xml:space="preserve">-Certificado. Has de disponer de un certificado electrónico que te identifique. </w:t>
      </w:r>
    </w:p>
    <w:p>
      <w:pPr>
        <w:pStyle w:val="NormalWeb"/>
        <w:overflowPunct w:val="false"/>
        <w:autoSpaceDE w:val="false"/>
        <w:spacing w:lineRule="auto" w:line="240" w:before="0" w:after="0"/>
        <w:ind w:start="0" w:end="0" w:hanging="0"/>
        <w:jc w:val="both"/>
        <w:rPr>
          <w:rFonts w:ascii="Tahoma;Bold" w:hAnsi="Tahoma;Bold" w:eastAsia="Tahoma;Bold" w:cs="Tahoma;Bold"/>
          <w:sz w:val="22"/>
          <w:szCs w:val="22"/>
        </w:rPr>
      </w:pPr>
      <w:r>
        <w:rPr>
          <w:rFonts w:eastAsia="Tahoma;Bold" w:cs="Tahoma;Bold" w:ascii="Tahoma;Bold" w:hAnsi="Tahoma;Bold"/>
          <w:sz w:val="22"/>
          <w:szCs w:val="22"/>
        </w:rPr>
        <w:t xml:space="preserve">-Navegador. Para entrar en nuestro Registro Electrónico has de utilizar Google Chrome o Mozilla Firefox (con el Mozilla Firefox puedes tener algún problema al gestionar el certificado). El Internet Explorer puede dar problemas y el Edge no funciona. </w:t>
      </w:r>
    </w:p>
    <w:p>
      <w:pPr>
        <w:pStyle w:val="NormalWeb"/>
        <w:overflowPunct w:val="false"/>
        <w:autoSpaceDE w:val="false"/>
        <w:spacing w:lineRule="auto" w:line="240" w:before="0" w:after="0"/>
        <w:ind w:start="0" w:end="0" w:hanging="0"/>
        <w:jc w:val="both"/>
        <w:rPr>
          <w:rFonts w:ascii="Tahoma;Bold" w:hAnsi="Tahoma;Bold" w:eastAsia="Tahoma;Bold" w:cs="Tahoma;Bold"/>
          <w:sz w:val="22"/>
          <w:szCs w:val="22"/>
        </w:rPr>
      </w:pPr>
      <w:r>
        <w:rPr>
          <w:rFonts w:eastAsia="Tahoma;Bold" w:cs="Tahoma;Bold" w:ascii="Tahoma;Bold" w:hAnsi="Tahoma;Bold"/>
          <w:sz w:val="22"/>
          <w:szCs w:val="22"/>
        </w:rPr>
        <w:t xml:space="preserve">-Java. Antes de comenzar comprueba y, en su caso, instala la última versión de Java. Es un requisito imprescindible tener instalada la versió 8u74 o posterior. </w:t>
      </w:r>
    </w:p>
    <w:p>
      <w:pPr>
        <w:pStyle w:val="NormalWeb"/>
        <w:overflowPunct w:val="false"/>
        <w:autoSpaceDE w:val="false"/>
        <w:spacing w:lineRule="auto" w:line="240" w:before="0" w:after="0"/>
        <w:ind w:start="0" w:end="0" w:hanging="0"/>
        <w:jc w:val="both"/>
        <w:rPr>
          <w:rFonts w:ascii="Tahoma;Bold" w:hAnsi="Tahoma;Bold" w:eastAsia="Tahoma;Bold" w:cs="Tahoma;Bold"/>
          <w:sz w:val="22"/>
          <w:szCs w:val="22"/>
        </w:rPr>
      </w:pPr>
      <w:r>
        <w:rPr>
          <w:rFonts w:eastAsia="Tahoma;Bold" w:cs="Tahoma;Bold" w:ascii="Tahoma;Bold" w:hAnsi="Tahoma;Bold"/>
          <w:sz w:val="22"/>
          <w:szCs w:val="22"/>
        </w:rPr>
        <w:t>-Características del equipo. Accede en los enlaces de más abajo para verificar si tu ordenador cumple los requisitos para realizar trámites on-line. Para entrar en Registro Electrónico busca el trámite que necesitas dentro del menú de trámites y haz clic en el icono de la columna "ONLINE" Te pedirá un certificado electrónico y entrará a la solicitud. Problemas que te puedes encontrar:</w:t>
      </w:r>
    </w:p>
    <w:p>
      <w:pPr>
        <w:pStyle w:val="NormalWeb"/>
        <w:overflowPunct w:val="false"/>
        <w:autoSpaceDE w:val="false"/>
        <w:spacing w:lineRule="auto" w:line="240" w:before="0" w:after="0"/>
        <w:ind w:start="0" w:end="0" w:hanging="0"/>
        <w:jc w:val="both"/>
        <w:rPr/>
      </w:pPr>
      <w:r>
        <w:rPr>
          <w:rFonts w:eastAsia="Tahoma;Bold" w:cs="Tahoma;Bold" w:ascii="Tahoma;Bold" w:hAnsi="Tahoma;Bold"/>
          <w:sz w:val="22"/>
          <w:szCs w:val="22"/>
        </w:rPr>
        <w:t xml:space="preserve"> </w:t>
      </w:r>
      <w:r>
        <w:rPr>
          <w:rFonts w:eastAsia="Tahoma;Bold" w:cs="Tahoma;Bold" w:ascii="Tahoma;Bold" w:hAnsi="Tahoma;Bold"/>
          <w:sz w:val="22"/>
          <w:szCs w:val="22"/>
        </w:rPr>
        <w:t>Rellena los campos, teniendo en cuenta que todos lo que tengan fondo amarillo son obligatorios.</w:t>
      </w:r>
    </w:p>
    <w:p>
      <w:pPr>
        <w:pStyle w:val="NormalWeb"/>
        <w:numPr>
          <w:ilvl w:val="0"/>
          <w:numId w:val="1"/>
        </w:numPr>
        <w:overflowPunct w:val="false"/>
        <w:autoSpaceDE w:val="false"/>
        <w:spacing w:lineRule="auto" w:line="240" w:before="0" w:after="0"/>
        <w:jc w:val="both"/>
        <w:rPr>
          <w:rFonts w:ascii="Tahoma;Bold" w:hAnsi="Tahoma;Bold" w:eastAsia="Tahoma;Bold" w:cs="Tahoma;Bold"/>
          <w:sz w:val="22"/>
          <w:szCs w:val="22"/>
        </w:rPr>
      </w:pPr>
      <w:r>
        <w:rPr>
          <w:rFonts w:eastAsia="Tahoma;Bold" w:cs="Tahoma;Bold" w:ascii="Tahoma;Bold" w:hAnsi="Tahoma;Bold"/>
          <w:sz w:val="22"/>
          <w:szCs w:val="22"/>
        </w:rPr>
        <w:t>Adjunta documentos pequeños, para reducir la posibilidad de que falle tu conexión o nuestro almacenamiento. Si estás usando fotografías o escaneos, utiliza documentos con la mínima calidad de imagen que te parezca razonable. Para leer un texto es más que suficiente una resolución de 200ppp en blanco y negro. Una fotografía A4 a 600ppp (la mejor calidad que se puede conseguir de una impresora láser color doméstica) tiene unos 0,05 megapixels.</w:t>
      </w:r>
    </w:p>
    <w:p>
      <w:pPr>
        <w:pStyle w:val="NormalWeb"/>
        <w:numPr>
          <w:ilvl w:val="0"/>
          <w:numId w:val="1"/>
        </w:numPr>
        <w:overflowPunct w:val="false"/>
        <w:autoSpaceDE w:val="false"/>
        <w:spacing w:lineRule="auto" w:line="240" w:before="0" w:after="0"/>
        <w:jc w:val="both"/>
        <w:rPr>
          <w:rFonts w:ascii="Tahoma;Bold" w:hAnsi="Tahoma;Bold" w:eastAsia="Tahoma;Bold" w:cs="Tahoma;Bold"/>
          <w:sz w:val="22"/>
          <w:szCs w:val="22"/>
        </w:rPr>
      </w:pPr>
      <w:r>
        <w:rPr>
          <w:rFonts w:eastAsia="Tahoma;Bold" w:cs="Tahoma;Bold" w:ascii="Tahoma;Bold" w:hAnsi="Tahoma;Bold"/>
          <w:sz w:val="22"/>
          <w:szCs w:val="22"/>
        </w:rPr>
        <w:t>El sistema sugerirá direcciones postales conocidas de aquellos países, provincias, poblaciones, etc. que conozca. Aquí no vale escribir cualquier cosa, porque es posible que no lo acepte el sistema por considerar que no existe el lugar.</w:t>
      </w:r>
    </w:p>
    <w:p>
      <w:pPr>
        <w:pStyle w:val="Normal"/>
        <w:bidi w:val="0"/>
        <w:jc w:val="both"/>
        <w:rPr/>
      </w:pPr>
      <w:r>
        <w:rPr>
          <w:rFonts w:eastAsia="Tahoma;Bold" w:cs="Tahoma;Bold" w:ascii="Tahoma;Bold" w:hAnsi="Tahoma;Bold"/>
          <w:b w:val="false"/>
          <w:bCs w:val="false"/>
          <w:color w:val="000000"/>
          <w:sz w:val="22"/>
          <w:szCs w:val="22"/>
        </w:rPr>
        <w:t>Intenta rellenar el formulario con rapidez. Si tardas mucho se cortará la conexión, no seguirá adelante, y Tendrás que volver a empezar.</w:t>
      </w:r>
      <w:r>
        <w:rPr>
          <w:rFonts w:cs="Tahoma;Bold" w:ascii="Tahoma;Bold" w:hAnsi="Tahoma;Bold"/>
          <w:color w:val="000000"/>
          <w:sz w:val="22"/>
          <w:szCs w:val="22"/>
        </w:rPr>
        <w:t>"</w:t>
      </w:r>
      <w:r>
        <w:rPr>
          <w:rFonts w:cs="Tahoma;Bold" w:ascii="Tahoma;Bold" w:hAnsi="Tahoma;Bold"/>
          <w:sz w:val="22"/>
          <w:szCs w:val="22"/>
        </w:rPr>
        <w:t xml:space="preserve"> </w:t>
      </w:r>
    </w:p>
    <w:p>
      <w:pPr>
        <w:pStyle w:val="Normal"/>
        <w:bidi w:val="0"/>
        <w:jc w:val="both"/>
        <w:rPr/>
      </w:pPr>
      <w:r>
        <w:rPr>
          <w:rFonts w:cs="Tahoma;Bold" w:ascii="Tahoma;Bold" w:hAnsi="Tahoma;Bold"/>
          <w:b/>
          <w:bCs/>
          <w:sz w:val="22"/>
          <w:szCs w:val="22"/>
        </w:rPr>
        <w:t>SEGUNDO.</w:t>
      </w:r>
      <w:r>
        <w:rPr>
          <w:rFonts w:cs="Tahoma;Bold" w:ascii="Tahoma;Bold" w:hAnsi="Tahoma;Bold"/>
          <w:sz w:val="22"/>
          <w:szCs w:val="22"/>
        </w:rPr>
        <w:t xml:space="preserve"> Aprobar y disponer el gasto con cargo a las siguientes partidas de gastos del presupuesto 2022: </w:t>
      </w:r>
    </w:p>
    <w:p>
      <w:pPr>
        <w:pStyle w:val="Normal"/>
        <w:bidi w:val="0"/>
        <w:jc w:val="both"/>
        <w:rPr/>
      </w:pPr>
      <w:r>
        <w:rPr/>
      </w:r>
    </w:p>
    <w:p>
      <w:pPr>
        <w:pStyle w:val="Cuerpodetexto"/>
        <w:jc w:val="both"/>
        <w:rPr/>
      </w:pPr>
      <w:r>
        <w:rPr>
          <w:rFonts w:cs="Tahoma;Bold" w:ascii="Tahoma;Bold" w:hAnsi="Tahoma;Bold"/>
          <w:sz w:val="22"/>
          <w:shd w:fill="auto" w:val="clear"/>
        </w:rPr>
        <w:t xml:space="preserve">-partida 03.920.488, operación A número </w:t>
      </w:r>
      <w:r>
        <w:rPr>
          <w:rFonts w:eastAsia="Times New Roman" w:cs="Tahoma;Bold" w:ascii="Tahoma;Bold" w:hAnsi="Tahoma;Bold"/>
          <w:color w:val="000000"/>
          <w:kern w:val="2"/>
          <w:sz w:val="22"/>
          <w:szCs w:val="20"/>
          <w:shd w:fill="auto" w:val="clear"/>
          <w:lang w:val="es-ES" w:eastAsia="zh-CN" w:bidi="ar-SA"/>
        </w:rPr>
        <w:t>10426</w:t>
      </w:r>
      <w:r>
        <w:rPr>
          <w:rFonts w:cs="Tahoma;Bold" w:ascii="Tahoma;Bold" w:hAnsi="Tahoma;Bold"/>
          <w:sz w:val="22"/>
          <w:shd w:fill="auto" w:val="clear"/>
        </w:rPr>
        <w:t xml:space="preserve"> por importe de 18.000 €</w:t>
      </w:r>
    </w:p>
    <w:p>
      <w:pPr>
        <w:pStyle w:val="Normal"/>
        <w:bidi w:val="0"/>
        <w:jc w:val="both"/>
        <w:rPr/>
      </w:pPr>
      <w:r>
        <w:rPr>
          <w:rFonts w:cs="Tahoma;Bold" w:ascii="Tahoma;Bold" w:hAnsi="Tahoma;Bold"/>
          <w:b/>
          <w:bCs/>
          <w:sz w:val="22"/>
          <w:szCs w:val="22"/>
        </w:rPr>
        <w:t>TERCERO.</w:t>
      </w:r>
      <w:r>
        <w:rPr>
          <w:rFonts w:cs="Tahoma;Bold" w:ascii="Tahoma;Bold" w:hAnsi="Tahoma;Bold"/>
          <w:sz w:val="22"/>
          <w:szCs w:val="22"/>
        </w:rPr>
        <w:t xml:space="preserve"> Delegar la secretaria de la comisión en la empleada municipal del departamento de juventud Esther Santolaria Vergara. </w:t>
      </w:r>
    </w:p>
    <w:p>
      <w:pPr>
        <w:pStyle w:val="Normal"/>
        <w:bidi w:val="0"/>
        <w:jc w:val="both"/>
        <w:rPr/>
      </w:pPr>
      <w:r>
        <w:rPr>
          <w:rFonts w:cs="Tahoma;Bold" w:ascii="Tahoma;Bold" w:hAnsi="Tahoma;Bold"/>
          <w:b/>
          <w:bCs/>
          <w:sz w:val="22"/>
          <w:szCs w:val="22"/>
        </w:rPr>
        <w:t>CUARTO</w:t>
      </w:r>
      <w:r>
        <w:rPr>
          <w:rFonts w:cs="Tahoma;Bold" w:ascii="Tahoma;Bold" w:hAnsi="Tahoma;Bold"/>
          <w:sz w:val="22"/>
          <w:szCs w:val="22"/>
        </w:rPr>
        <w:t xml:space="preserve">. Publicar las bases en la base de datos nacional de subvenciones (BDNS) con la finalidad de garantizar la transparencia en los procedimientos de concesión de las subvenciones exigidas por la ley 19/2013, de 9 de diciembre, de Transparencia. </w:t>
      </w:r>
    </w:p>
    <w:p>
      <w:pPr>
        <w:pStyle w:val="Normal"/>
        <w:bidi w:val="0"/>
        <w:jc w:val="both"/>
        <w:rPr/>
      </w:pPr>
      <w:r>
        <w:rPr>
          <w:rFonts w:cs="Tahoma;Bold" w:ascii="Tahoma;Bold" w:hAnsi="Tahoma;Bold"/>
          <w:b/>
          <w:bCs/>
          <w:sz w:val="22"/>
          <w:szCs w:val="22"/>
        </w:rPr>
        <w:t xml:space="preserve">QUINTO. </w:t>
      </w:r>
      <w:r>
        <w:rPr>
          <w:rFonts w:cs="Tahoma;Bold" w:ascii="Tahoma;Bold" w:hAnsi="Tahoma;Bold"/>
          <w:b w:val="false"/>
          <w:bCs w:val="false"/>
          <w:sz w:val="22"/>
          <w:szCs w:val="22"/>
        </w:rPr>
        <w:t>Abrir el plazo de presentación de solicitudes por las personas interesadas de 10 días hábiles a partir del día siguiente a la publicación del proceso de concurrencia competitiva en el BOP.</w:t>
      </w:r>
    </w:p>
    <w:p>
      <w:pPr>
        <w:pStyle w:val="Normal"/>
        <w:bidi w:val="0"/>
        <w:spacing w:lineRule="atLeast" w:line="200" w:before="0" w:after="0"/>
        <w:jc w:val="both"/>
        <w:rPr>
          <w:rFonts w:ascii="Tahoma;Bold" w:hAnsi="Tahoma;Bold" w:eastAsia="Tahoma;Bold" w:cs="Tahoma;Bold"/>
          <w:b w:val="false"/>
          <w:b w:val="false"/>
          <w:bCs w:val="false"/>
          <w:sz w:val="22"/>
          <w:szCs w:val="22"/>
        </w:rPr>
      </w:pPr>
      <w:r>
        <w:rPr>
          <w:rFonts w:eastAsia="Tahoma;Bold" w:cs="Tahoma;Bold" w:ascii="Tahoma;Bold" w:hAnsi="Tahoma;Bold"/>
          <w:b w:val="false"/>
          <w:bCs w:val="false"/>
          <w:sz w:val="22"/>
          <w:szCs w:val="22"/>
        </w:rPr>
      </w:r>
    </w:p>
    <w:p>
      <w:pPr>
        <w:pStyle w:val="Normal"/>
        <w:autoSpaceDE w:val="false"/>
        <w:jc w:val="both"/>
        <w:rPr>
          <w:rFonts w:ascii="Tahoma;Bold" w:hAnsi="Tahoma;Bold" w:eastAsia="Tahoma;Bold" w:cs="Tahoma;Bold"/>
          <w:b w:val="false"/>
          <w:b w:val="false"/>
          <w:bCs w:val="false"/>
          <w:sz w:val="22"/>
          <w:szCs w:val="22"/>
        </w:rPr>
      </w:pPr>
      <w:r>
        <w:rPr>
          <w:rFonts w:eastAsia="Tahoma;Bold" w:cs="Tahoma;Bold" w:ascii="Tahoma;Bold" w:hAnsi="Tahoma;Bold"/>
          <w:b w:val="false"/>
          <w:bCs w:val="false"/>
          <w:sz w:val="22"/>
          <w:szCs w:val="22"/>
        </w:rPr>
        <w:t>Almassora a 9 de mayo de 2022</w:t>
      </w:r>
    </w:p>
    <w:p>
      <w:pPr>
        <w:pStyle w:val="Normal"/>
        <w:autoSpaceDE w:val="false"/>
        <w:jc w:val="both"/>
        <w:rPr>
          <w:rFonts w:ascii="Tahoma;Bold" w:hAnsi="Tahoma;Bold" w:eastAsia="Tahoma;Bold" w:cs="Tahoma;Bold"/>
          <w:b w:val="false"/>
          <w:b w:val="false"/>
          <w:bCs w:val="false"/>
          <w:sz w:val="22"/>
          <w:szCs w:val="22"/>
        </w:rPr>
      </w:pPr>
      <w:r>
        <w:rPr>
          <w:rFonts w:eastAsia="Tahoma;Bold" w:cs="Tahoma;Bold" w:ascii="Tahoma;Bold" w:hAnsi="Tahoma;Bold"/>
          <w:b w:val="false"/>
          <w:bCs w:val="false"/>
          <w:sz w:val="22"/>
          <w:szCs w:val="22"/>
        </w:rPr>
        <w:t xml:space="preserve">L’alcaldessa </w:t>
      </w:r>
    </w:p>
    <w:p>
      <w:pPr>
        <w:pStyle w:val="Normal"/>
        <w:autoSpaceDE w:val="false"/>
        <w:jc w:val="both"/>
        <w:rPr>
          <w:rFonts w:ascii="Tahoma;Bold" w:hAnsi="Tahoma;Bold" w:eastAsia="Tahoma;Bold" w:cs="Tahoma;Bold"/>
          <w:b w:val="false"/>
          <w:b w:val="false"/>
          <w:bCs w:val="false"/>
          <w:sz w:val="22"/>
          <w:szCs w:val="22"/>
        </w:rPr>
      </w:pPr>
      <w:r>
        <w:rPr>
          <w:rFonts w:eastAsia="Tahoma;Bold" w:cs="Tahoma;Bold" w:ascii="Tahoma;Bold" w:hAnsi="Tahoma;Bold"/>
          <w:b w:val="false"/>
          <w:bCs w:val="false"/>
          <w:sz w:val="22"/>
          <w:szCs w:val="22"/>
        </w:rPr>
        <w:t>Mercedes Galí Alfonso</w:t>
      </w:r>
    </w:p>
    <w:p>
      <w:pPr>
        <w:pStyle w:val="Normal"/>
        <w:autoSpaceDE w:val="false"/>
        <w:spacing w:before="0" w:after="200"/>
        <w:jc w:val="both"/>
        <w:rPr>
          <w:rFonts w:ascii="Tahoma;Bold" w:hAnsi="Tahoma;Bold" w:eastAsia="Tahoma;Bold" w:cs="Tahoma;Bold"/>
          <w:b w:val="false"/>
          <w:b w:val="false"/>
          <w:bCs w:val="false"/>
          <w:sz w:val="22"/>
          <w:szCs w:val="22"/>
        </w:rPr>
      </w:pPr>
      <w:r>
        <w:rPr>
          <w:rFonts w:eastAsia="Tahoma;Bold" w:cs="Tahoma;Bold" w:ascii="Tahoma;Bold" w:hAnsi="Tahoma;Bold"/>
          <w:b w:val="false"/>
          <w:bCs w:val="false"/>
          <w:sz w:val="22"/>
          <w:szCs w:val="22"/>
        </w:rPr>
      </w:r>
    </w:p>
    <w:p>
      <w:pPr>
        <w:pStyle w:val="Normal"/>
        <w:autoSpaceDE w:val="false"/>
        <w:spacing w:before="0" w:after="200"/>
        <w:jc w:val="center"/>
        <w:rPr>
          <w:rFonts w:ascii="Tahoma;Bold" w:hAnsi="Tahoma;Bold" w:eastAsia="TTBC14AB30t00" w:cs="Tahoma;Bold"/>
          <w:b w:val="false"/>
          <w:b w:val="false"/>
          <w:bCs w:val="false"/>
          <w:sz w:val="22"/>
          <w:szCs w:val="22"/>
          <w:lang w:val="zxx"/>
        </w:rPr>
      </w:pPr>
      <w:r>
        <w:rPr>
          <w:rFonts w:eastAsia="TTBC14AB30t00" w:cs="Tahoma;Bold" w:ascii="Tahoma;Bold" w:hAnsi="Tahoma;Bold"/>
          <w:b w:val="false"/>
          <w:bCs w:val="false"/>
          <w:sz w:val="22"/>
          <w:szCs w:val="22"/>
          <w:lang w:val="zxx"/>
        </w:rPr>
      </w:r>
    </w:p>
    <w:p>
      <w:pPr>
        <w:pStyle w:val="Normal"/>
        <w:widowControl/>
        <w:suppressAutoHyphens w:val="true"/>
        <w:kinsoku w:val="true"/>
        <w:overflowPunct w:val="true"/>
        <w:autoSpaceDE w:val="true"/>
        <w:bidi w:val="0"/>
        <w:spacing w:lineRule="auto" w:line="276" w:before="0" w:after="200"/>
        <w:rPr>
          <w:rFonts w:ascii="Tahoma;Bold" w:hAnsi="Tahoma;Bold" w:eastAsia="TTBC14AB30t00" w:cs="Tahoma;Bold"/>
          <w:sz w:val="22"/>
          <w:szCs w:val="22"/>
          <w:lang w:val="zxx"/>
        </w:rPr>
      </w:pPr>
      <w:r>
        <w:rPr>
          <w:rFonts w:eastAsia="TTBC14AB30t00" w:cs="Tahoma;Bold" w:ascii="Tahoma;Bold" w:hAnsi="Tahoma;Bold"/>
          <w:sz w:val="22"/>
          <w:szCs w:val="22"/>
          <w:lang w:val="zxx"/>
        </w:rPr>
      </w:r>
    </w:p>
    <w:sectPr>
      <w:headerReference w:type="even" r:id="rId7"/>
      <w:headerReference w:type="default" r:id="rId8"/>
      <w:footerReference w:type="even" r:id="rId9"/>
      <w:footerReference w:type="default" r:id="rId10"/>
      <w:type w:val="nextPage"/>
      <w:pgSz w:w="11906" w:h="16838"/>
      <w:pgMar w:left="1134" w:right="1134" w:header="567" w:top="2041" w:footer="415" w:bottom="1134" w:gutter="0"/>
      <w:pgNumType w:fmt="decimal"/>
      <w:formProt w:val="false"/>
      <w:textDirection w:val="lrTb"/>
      <w:docGrid w:type="default" w:linePitch="600" w:charSpace="36864"/>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Calibri">
    <w:charset w:val="00" w:characterSet="windows-1252"/>
    <w:family w:val="swiss"/>
    <w:pitch w:val="variable"/>
  </w:font>
  <w:font w:name="OpenSymbol">
    <w:altName w:val="Arial Unicode MS"/>
    <w:charset w:val="01"/>
    <w:family w:val="auto"/>
    <w:pitch w:val="default"/>
  </w:font>
  <w:font w:name="Tahoma">
    <w:altName w:val="Bold"/>
    <w:charset w:val="80"/>
    <w:family w:val="swiss"/>
    <w:pitch w:val="variable"/>
  </w:font>
  <w:font w:name="Liberation Sans">
    <w:altName w:val="Arial"/>
    <w:charset w:val="00" w:characterSet="windows-1252"/>
    <w:family w:val="swiss"/>
    <w:pitch w:val="variable"/>
  </w:font>
  <w:font w:name="Arial">
    <w:charset w:val="cc" w:characterSet="windows-1251"/>
    <w:family w:val="swiss"/>
    <w:pitch w:val="variable"/>
  </w:font>
  <w:font w:name="Times New Roman">
    <w:charset w:val="cc" w:characterSet="windows-1251"/>
    <w:family w:val="roman"/>
    <w:pitch w:val="variable"/>
  </w:font>
  <w:font w:name="Liberation Serif">
    <w:altName w:val="Times New Roman"/>
    <w:charset w:val="cc" w:characterSet="windows-125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edepgina"/>
      <w:jc w:val="end"/>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
      <w:rPr/>
    </w:pPr>
    <w:r>
      <w:rPr/>
    </w:r>
  </w:p>
  <w:p>
    <w:pPr>
      <w:pStyle w:val="Piedepgina0"/>
      <w:ind w:start="0" w:end="-1" w:hanging="0"/>
      <w:rPr>
        <w:rFonts w:ascii="Tahoma;Bold" w:hAnsi="Tahoma;Bold" w:cs="Tahoma;Bold"/>
        <w:sz w:val="18"/>
        <w:szCs w:val="18"/>
        <w:lang w:val="es-ES"/>
      </w:rPr>
    </w:pPr>
    <w:r>
      <w:rPr>
        <w:rFonts w:cs="Tahoma;Bold" w:ascii="Tahoma;Bold" w:hAnsi="Tahoma;Bold"/>
        <w:sz w:val="18"/>
        <w:szCs w:val="18"/>
        <w:lang w:val="es-ES"/>
      </w:rPr>
      <w:t xml:space="preserve">Documento firmado digitalmente. Validar en https://sede.almassora.es  Nº de validación: 14162537061400414454 </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Encabezamientoizquierdo"/>
      <w:suppressLineNumbers/>
      <w:spacing w:before="0" w:after="200"/>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
      <w:rPr/>
    </w:pPr>
    <w:r>
      <w:rPr/>
    </w:r>
  </w:p>
  <w:tbl>
    <w:tblPr>
      <w:tblW w:w="9645" w:type="dxa"/>
      <w:jc w:val="start"/>
      <w:tblInd w:w="0" w:type="dxa"/>
      <w:tblLayout w:type="fixed"/>
      <w:tblCellMar>
        <w:top w:w="55" w:type="dxa"/>
        <w:start w:w="55" w:type="dxa"/>
        <w:bottom w:w="55" w:type="dxa"/>
        <w:end w:w="55" w:type="dxa"/>
      </w:tblCellMar>
    </w:tblPr>
    <w:tblGrid>
      <w:gridCol w:w="960"/>
      <w:gridCol w:w="2445"/>
      <w:gridCol w:w="6240"/>
    </w:tblGrid>
    <w:tr>
      <w:trPr>
        <w:trHeight w:val="1350" w:hRule="atLeast"/>
      </w:trPr>
      <w:tc>
        <w:tcPr>
          <w:tcW w:w="960" w:type="dxa"/>
          <w:tcBorders/>
        </w:tcPr>
        <w:p>
          <w:pPr>
            <w:pStyle w:val="Contenidodelatabla0"/>
            <w:snapToGrid w:val="false"/>
            <w:jc w:val="both"/>
            <w:rPr/>
          </w:pPr>
          <w:r>
            <w:rPr/>
            <w:drawing>
              <wp:anchor behindDoc="0" distT="0" distB="0" distL="0" distR="0" simplePos="0" locked="0" layoutInCell="1" allowOverlap="1" relativeHeight="6">
                <wp:simplePos x="0" y="0"/>
                <wp:positionH relativeFrom="column">
                  <wp:posOffset>-20955</wp:posOffset>
                </wp:positionH>
                <wp:positionV relativeFrom="paragraph">
                  <wp:posOffset>-18415</wp:posOffset>
                </wp:positionV>
                <wp:extent cx="428625" cy="737870"/>
                <wp:effectExtent l="0" t="0" r="0" b="0"/>
                <wp:wrapSquare wrapText="largest"/>
                <wp:docPr id="1" name="Imagen1"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1" descr="" title=""/>
                        <pic:cNvPicPr>
                          <a:picLocks noChangeAspect="1" noChangeArrowheads="1"/>
                        </pic:cNvPicPr>
                      </pic:nvPicPr>
                      <pic:blipFill>
                        <a:blip r:embed="rId1"/>
                        <a:srcRect l="-44" t="-26" r="-44" b="-26"/>
                        <a:stretch>
                          <a:fillRect/>
                        </a:stretch>
                      </pic:blipFill>
                      <pic:spPr bwMode="auto">
                        <a:xfrm>
                          <a:off x="0" y="0"/>
                          <a:ext cx="428625" cy="737870"/>
                        </a:xfrm>
                        <a:prstGeom prst="rect">
                          <a:avLst/>
                        </a:prstGeom>
                      </pic:spPr>
                    </pic:pic>
                  </a:graphicData>
                </a:graphic>
              </wp:anchor>
            </w:drawing>
          </w:r>
        </w:p>
      </w:tc>
      <w:tc>
        <w:tcPr>
          <w:tcW w:w="2445" w:type="dxa"/>
          <w:tcBorders/>
        </w:tcPr>
        <w:p>
          <w:pPr>
            <w:pStyle w:val="Default"/>
            <w:rPr>
              <w:rFonts w:ascii="Tahoma;Bold" w:hAnsi="Tahoma;Bold" w:cs="Tahoma;Bold"/>
              <w:sz w:val="16"/>
              <w:szCs w:val="16"/>
            </w:rPr>
          </w:pPr>
          <w:r>
            <w:rPr>
              <w:rFonts w:cs="Tahoma;Bold" w:ascii="Tahoma;Bold" w:hAnsi="Tahoma;Bold"/>
              <w:sz w:val="16"/>
              <w:szCs w:val="16"/>
            </w:rPr>
            <w:t>Ajuntament d'Almassora</w:t>
          </w:r>
        </w:p>
        <w:p>
          <w:pPr>
            <w:pStyle w:val="Default"/>
            <w:rPr>
              <w:rFonts w:ascii="Tahoma;Bold" w:hAnsi="Tahoma;Bold" w:cs="Tahoma;Bold"/>
              <w:sz w:val="12"/>
              <w:szCs w:val="12"/>
            </w:rPr>
          </w:pPr>
          <w:r>
            <w:rPr>
              <w:rFonts w:cs="Tahoma;Bold" w:ascii="Tahoma;Bold" w:hAnsi="Tahoma;Bold"/>
              <w:sz w:val="12"/>
              <w:szCs w:val="12"/>
            </w:rPr>
            <w:t>Plaça de Pere Cornell, 1</w:t>
          </w:r>
        </w:p>
        <w:p>
          <w:pPr>
            <w:pStyle w:val="Default"/>
            <w:rPr>
              <w:rFonts w:ascii="Tahoma;Bold" w:hAnsi="Tahoma;Bold" w:cs="Tahoma;Bold"/>
              <w:sz w:val="12"/>
              <w:szCs w:val="12"/>
            </w:rPr>
          </w:pPr>
          <w:r>
            <w:rPr>
              <w:rFonts w:cs="Tahoma;Bold" w:ascii="Tahoma;Bold" w:hAnsi="Tahoma;Bold"/>
              <w:sz w:val="12"/>
              <w:szCs w:val="12"/>
            </w:rPr>
            <w:t>12550 Almassora</w:t>
          </w:r>
        </w:p>
        <w:p>
          <w:pPr>
            <w:pStyle w:val="Default"/>
            <w:rPr>
              <w:rFonts w:ascii="Tahoma;Bold" w:hAnsi="Tahoma;Bold" w:cs="Tahoma;Bold"/>
              <w:sz w:val="12"/>
              <w:szCs w:val="12"/>
            </w:rPr>
          </w:pPr>
          <w:r>
            <w:rPr>
              <w:rFonts w:cs="Tahoma;Bold" w:ascii="Tahoma;Bold" w:hAnsi="Tahoma;Bold"/>
              <w:sz w:val="12"/>
              <w:szCs w:val="12"/>
            </w:rPr>
            <w:t>Tel. 964 560 001</w:t>
          </w:r>
        </w:p>
        <w:p>
          <w:pPr>
            <w:pStyle w:val="Default"/>
            <w:rPr>
              <w:rFonts w:ascii="Tahoma;Bold" w:hAnsi="Tahoma;Bold" w:cs="Tahoma;Bold"/>
              <w:sz w:val="12"/>
              <w:szCs w:val="12"/>
            </w:rPr>
          </w:pPr>
          <w:r>
            <w:rPr>
              <w:rFonts w:cs="Tahoma;Bold" w:ascii="Tahoma;Bold" w:hAnsi="Tahoma;Bold"/>
              <w:sz w:val="12"/>
              <w:szCs w:val="12"/>
            </w:rPr>
            <w:t>Fax 964 563 051</w:t>
          </w:r>
        </w:p>
        <w:p>
          <w:pPr>
            <w:pStyle w:val="Default"/>
            <w:rPr/>
          </w:pPr>
          <w:r>
            <w:rPr>
              <w:rStyle w:val="EnlacedeInternet"/>
              <w:rFonts w:cs="Tahoma;Bold" w:ascii="Tahoma;Bold" w:hAnsi="Tahoma;Bold"/>
              <w:color w:val="000000"/>
              <w:sz w:val="12"/>
              <w:szCs w:val="12"/>
              <w:u w:val="none"/>
            </w:rPr>
            <w:t>www.almassora.es</w:t>
          </w:r>
        </w:p>
        <w:p>
          <w:pPr>
            <w:pStyle w:val="Default"/>
            <w:rPr>
              <w:rFonts w:ascii="Tahoma;Bold" w:hAnsi="Tahoma;Bold" w:cs="Tahoma;Bold"/>
              <w:sz w:val="12"/>
              <w:szCs w:val="12"/>
            </w:rPr>
          </w:pPr>
          <w:r>
            <w:rPr>
              <w:rFonts w:cs="Tahoma;Bold" w:ascii="Tahoma;Bold" w:hAnsi="Tahoma;Bold"/>
              <w:sz w:val="12"/>
              <w:szCs w:val="12"/>
            </w:rPr>
            <w:t xml:space="preserve">CIF: P-1200900-G </w:t>
          </w:r>
        </w:p>
      </w:tc>
      <w:tc>
        <w:tcPr>
          <w:tcW w:w="6240" w:type="dxa"/>
          <w:tcBorders/>
          <w:vAlign w:val="bottom"/>
        </w:tcPr>
        <w:p>
          <w:pPr>
            <w:pStyle w:val="Encabezado0"/>
            <w:tabs>
              <w:tab w:val="clear" w:pos="4819"/>
              <w:tab w:val="clear" w:pos="9638"/>
              <w:tab w:val="center" w:pos="4419" w:leader="none"/>
              <w:tab w:val="right" w:pos="9015" w:leader="none"/>
            </w:tabs>
            <w:ind w:start="0" w:end="49" w:hanging="0"/>
            <w:jc w:val="end"/>
            <w:rPr>
              <w:rFonts w:ascii="Tahoma;Bold" w:hAnsi="Tahoma;Bold" w:cs="Tahoma;Bold"/>
              <w:sz w:val="22"/>
              <w:szCs w:val="22"/>
            </w:rPr>
          </w:pPr>
          <w:r>
            <w:rPr>
              <w:rFonts w:cs="Tahoma;Bold" w:ascii="Tahoma;Bold" w:hAnsi="Tahoma;Bold"/>
              <w:sz w:val="22"/>
              <w:szCs w:val="22"/>
            </w:rPr>
            <w:t>Nº de expediente: 1/2022/REHBEC</w:t>
          </w:r>
        </w:p>
      </w:tc>
    </w:tr>
  </w:tbl>
  <w:p>
    <w:pPr>
      <w:pStyle w:val="Contenidodelatabla0"/>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start"/>
      <w:pPr>
        <w:tabs>
          <w:tab w:val="num" w:pos="720"/>
        </w:tabs>
        <w:ind w:start="720" w:hanging="360"/>
      </w:pPr>
      <w:rPr>
        <w:rFonts w:ascii="Symbol" w:hAnsi="Symbol" w:cs="Symbol" w:hint="default"/>
      </w:rPr>
    </w:lvl>
    <w:lvl w:ilvl="1">
      <w:start w:val="1"/>
      <w:numFmt w:val="bullet"/>
      <w:lvlText w:val="◦"/>
      <w:lvlJc w:val="start"/>
      <w:pPr>
        <w:tabs>
          <w:tab w:val="num" w:pos="1080"/>
        </w:tabs>
        <w:ind w:start="1080" w:hanging="360"/>
      </w:pPr>
      <w:rPr>
        <w:rFonts w:ascii="OpenSymbol" w:hAnsi="OpenSymbol" w:cs="OpenSymbol" w:hint="default"/>
      </w:rPr>
    </w:lvl>
    <w:lvl w:ilvl="2">
      <w:start w:val="1"/>
      <w:numFmt w:val="bullet"/>
      <w:lvlText w:val="▪"/>
      <w:lvlJc w:val="start"/>
      <w:pPr>
        <w:tabs>
          <w:tab w:val="num" w:pos="1440"/>
        </w:tabs>
        <w:ind w:start="1440" w:hanging="360"/>
      </w:pPr>
      <w:rPr>
        <w:rFonts w:ascii="OpenSymbol" w:hAnsi="OpenSymbol" w:cs="OpenSymbol" w:hint="default"/>
      </w:rPr>
    </w:lvl>
    <w:lvl w:ilvl="3">
      <w:start w:val="1"/>
      <w:numFmt w:val="bullet"/>
      <w:lvlText w:val=""/>
      <w:lvlJc w:val="start"/>
      <w:pPr>
        <w:tabs>
          <w:tab w:val="num" w:pos="1800"/>
        </w:tabs>
        <w:ind w:start="1800" w:hanging="360"/>
      </w:pPr>
      <w:rPr>
        <w:rFonts w:ascii="Symbol" w:hAnsi="Symbol" w:cs="Symbol" w:hint="default"/>
      </w:rPr>
    </w:lvl>
    <w:lvl w:ilvl="4">
      <w:start w:val="1"/>
      <w:numFmt w:val="bullet"/>
      <w:lvlText w:val="◦"/>
      <w:lvlJc w:val="start"/>
      <w:pPr>
        <w:tabs>
          <w:tab w:val="num" w:pos="2160"/>
        </w:tabs>
        <w:ind w:start="2160" w:hanging="360"/>
      </w:pPr>
      <w:rPr>
        <w:rFonts w:ascii="OpenSymbol" w:hAnsi="OpenSymbol" w:cs="OpenSymbol" w:hint="default"/>
      </w:rPr>
    </w:lvl>
    <w:lvl w:ilvl="5">
      <w:start w:val="1"/>
      <w:numFmt w:val="bullet"/>
      <w:lvlText w:val="▪"/>
      <w:lvlJc w:val="start"/>
      <w:pPr>
        <w:tabs>
          <w:tab w:val="num" w:pos="2520"/>
        </w:tabs>
        <w:ind w:start="2520" w:hanging="360"/>
      </w:pPr>
      <w:rPr>
        <w:rFonts w:ascii="OpenSymbol" w:hAnsi="OpenSymbol" w:cs="OpenSymbol" w:hint="default"/>
      </w:rPr>
    </w:lvl>
    <w:lvl w:ilvl="6">
      <w:start w:val="1"/>
      <w:numFmt w:val="bullet"/>
      <w:lvlText w:val=""/>
      <w:lvlJc w:val="start"/>
      <w:pPr>
        <w:tabs>
          <w:tab w:val="num" w:pos="2880"/>
        </w:tabs>
        <w:ind w:start="2880" w:hanging="360"/>
      </w:pPr>
      <w:rPr>
        <w:rFonts w:ascii="Symbol" w:hAnsi="Symbol" w:cs="Symbol" w:hint="default"/>
      </w:rPr>
    </w:lvl>
    <w:lvl w:ilvl="7">
      <w:start w:val="1"/>
      <w:numFmt w:val="bullet"/>
      <w:lvlText w:val="◦"/>
      <w:lvlJc w:val="start"/>
      <w:pPr>
        <w:tabs>
          <w:tab w:val="num" w:pos="3240"/>
        </w:tabs>
        <w:ind w:start="3240" w:hanging="360"/>
      </w:pPr>
      <w:rPr>
        <w:rFonts w:ascii="OpenSymbol" w:hAnsi="OpenSymbol" w:cs="OpenSymbol" w:hint="default"/>
      </w:rPr>
    </w:lvl>
    <w:lvl w:ilvl="8">
      <w:start w:val="1"/>
      <w:numFmt w:val="bullet"/>
      <w:lvlText w:val="▪"/>
      <w:lvlJc w:val="start"/>
      <w:pPr>
        <w:tabs>
          <w:tab w:val="num" w:pos="3600"/>
        </w:tabs>
        <w:ind w:start="3600" w:hanging="360"/>
      </w:pPr>
      <w:rPr>
        <w:rFonts w:ascii="OpenSymbol" w:hAnsi="OpenSymbol" w:cs="OpenSymbol" w:hint="default"/>
      </w:rPr>
    </w:lvl>
  </w:abstractNum>
  <w:abstractNum w:abstractNumId="2">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9"/>
  <w:autoHyphenation w:val="true"/>
  <w:evenAndOddHeaders/>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es-ES" w:eastAsia="zh-CN" w:bidi="hi-IN"/>
      </w:rPr>
    </w:rPrDefault>
    <w:pPrDefault>
      <w:pPr>
        <w:suppressAutoHyphens w:val="true"/>
      </w:pPr>
    </w:pPrDefault>
  </w:docDefaults>
  <w:style w:type="paragraph" w:styleId="Normal">
    <w:name w:val="Normal"/>
    <w:qFormat/>
    <w:pPr>
      <w:widowControl/>
      <w:suppressAutoHyphens w:val="true"/>
      <w:kinsoku w:val="true"/>
      <w:overflowPunct w:val="true"/>
      <w:autoSpaceDE w:val="true"/>
      <w:bidi w:val="0"/>
      <w:spacing w:lineRule="auto" w:line="276" w:before="0" w:after="200"/>
    </w:pPr>
    <w:rPr>
      <w:rFonts w:ascii="Calibri" w:hAnsi="Calibri" w:eastAsia="Calibri" w:cs="Times New Roman"/>
      <w:color w:val="000000"/>
      <w:kern w:val="2"/>
      <w:sz w:val="22"/>
      <w:szCs w:val="22"/>
      <w:lang w:val="es-ES" w:eastAsia="zh-CN" w:bidi="ar-SA"/>
    </w:rPr>
  </w:style>
  <w:style w:type="character" w:styleId="WW8Num1z0">
    <w:name w:val="WW8Num1z0"/>
    <w:qFormat/>
    <w:rPr>
      <w:rFonts w:ascii="Symbol" w:hAnsi="Symbol" w:cs="Wingdings"/>
    </w:rPr>
  </w:style>
  <w:style w:type="character" w:styleId="WW8Num1z1">
    <w:name w:val="WW8Num1z1"/>
    <w:qFormat/>
    <w:rPr>
      <w:rFonts w:ascii="OpenSymbol;Arial Unicode MS" w:hAnsi="OpenSymbol;Arial Unicode MS" w:cs="Courier New"/>
      <w:sz w:val="20"/>
      <w:szCs w:val="20"/>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DefaultParagraphFont">
    <w:name w:val="Default Paragraph Font"/>
    <w:qFormat/>
    <w:rPr/>
  </w:style>
  <w:style w:type="character" w:styleId="DefaultParagraphFont0">
    <w:name w:val="Default Paragraph Font_0"/>
    <w:qFormat/>
    <w:rPr/>
  </w:style>
  <w:style w:type="character" w:styleId="Fuentedeprrafopredeter">
    <w:name w:val="Fuente de párrafo predeter."/>
    <w:qFormat/>
    <w:rPr/>
  </w:style>
  <w:style w:type="character" w:styleId="Fuentedeprrafopredeter1">
    <w:name w:val="Fuente de párrafo predeter.1"/>
    <w:qFormat/>
    <w:rPr/>
  </w:style>
  <w:style w:type="character" w:styleId="EncabezadoCar">
    <w:name w:val="Encabezado Car"/>
    <w:basedOn w:val="Fuentedeprrafopredeter1"/>
    <w:qFormat/>
    <w:rPr/>
  </w:style>
  <w:style w:type="character" w:styleId="PiedepginaCar">
    <w:name w:val="Pie de página Car"/>
    <w:basedOn w:val="Fuentedeprrafopredeter1"/>
    <w:qFormat/>
    <w:rPr/>
  </w:style>
  <w:style w:type="character" w:styleId="TextodegloboCar">
    <w:name w:val="Texto de globo Car"/>
    <w:basedOn w:val="Fuentedeprrafopredeter1"/>
    <w:qFormat/>
    <w:rPr>
      <w:rFonts w:ascii="Tahoma;Bold" w:hAnsi="Tahoma;Bold" w:cs="Tahoma;Bold"/>
      <w:sz w:val="16"/>
      <w:szCs w:val="16"/>
    </w:rPr>
  </w:style>
  <w:style w:type="character" w:styleId="EnlacedeInternet">
    <w:name w:val="Enlace de Internet"/>
    <w:rPr>
      <w:color w:val="000080"/>
      <w:u w:val="single"/>
      <w:lang w:val="zxx" w:bidi="zxx"/>
    </w:rPr>
  </w:style>
  <w:style w:type="character" w:styleId="EnlacedeInternetvisitado">
    <w:name w:val="Enlace de Internet visitado"/>
    <w:rPr>
      <w:color w:val="800000"/>
      <w:u w:val="single"/>
      <w:lang w:val="zxx" w:bidi="zxx"/>
    </w:rPr>
  </w:style>
  <w:style w:type="paragraph" w:styleId="Ttulo">
    <w:name w:val="Título"/>
    <w:basedOn w:val="Normal"/>
    <w:next w:val="Cuerpodetexto"/>
    <w:qFormat/>
    <w:pPr>
      <w:keepNext w:val="true"/>
      <w:spacing w:before="240" w:after="120"/>
    </w:pPr>
    <w:rPr>
      <w:rFonts w:ascii="Liberation Sans;Arial" w:hAnsi="Liberation Sans;Arial" w:eastAsia="Microsoft YaHei" w:cs="Lucida Sans"/>
      <w:sz w:val="28"/>
      <w:szCs w:val="28"/>
    </w:rPr>
  </w:style>
  <w:style w:type="paragraph" w:styleId="Cuerpodetexto">
    <w:name w:val="Body Text"/>
    <w:basedOn w:val="Normal"/>
    <w:pPr>
      <w:spacing w:before="0" w:after="120"/>
    </w:pPr>
    <w:rPr/>
  </w:style>
  <w:style w:type="paragraph" w:styleId="Lista">
    <w:name w:val="List"/>
    <w:basedOn w:val="Cuerpodetexto"/>
    <w:pPr/>
    <w:rPr>
      <w:rFonts w:cs="Mangal"/>
    </w:rPr>
  </w:style>
  <w:style w:type="paragraph" w:styleId="Ley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Mangal"/>
    </w:rPr>
  </w:style>
  <w:style w:type="paragraph" w:styleId="Encabezado">
    <w:name w:val="Encabezado"/>
    <w:basedOn w:val="Normal"/>
    <w:next w:val="Cuerpodetexto"/>
    <w:qFormat/>
    <w:pPr>
      <w:keepNext w:val="true"/>
      <w:spacing w:before="240" w:after="120"/>
    </w:pPr>
    <w:rPr>
      <w:rFonts w:ascii="Arial" w:hAnsi="Arial" w:eastAsia="Microsoft YaHei" w:cs="Mangal"/>
      <w:sz w:val="28"/>
      <w:szCs w:val="28"/>
    </w:rPr>
  </w:style>
  <w:style w:type="paragraph" w:styleId="Etiqueta">
    <w:name w:val="Etiqueta"/>
    <w:basedOn w:val="Normal"/>
    <w:qFormat/>
    <w:pPr>
      <w:suppressLineNumbers/>
      <w:spacing w:before="120" w:after="120"/>
    </w:pPr>
    <w:rPr>
      <w:rFonts w:cs="Mangal"/>
      <w:i/>
      <w:iCs/>
      <w:sz w:val="24"/>
      <w:szCs w:val="24"/>
    </w:rPr>
  </w:style>
  <w:style w:type="paragraph" w:styleId="Encabezado1">
    <w:name w:val="Encabezado1"/>
    <w:basedOn w:val="Normal"/>
    <w:next w:val="Cuerpodetexto"/>
    <w:qFormat/>
    <w:pPr>
      <w:keepNext w:val="true"/>
      <w:spacing w:before="240" w:after="120"/>
    </w:pPr>
    <w:rPr>
      <w:rFonts w:ascii="Arial" w:hAnsi="Arial" w:eastAsia="Microsoft YaHei" w:cs="Mangal"/>
      <w:sz w:val="28"/>
      <w:szCs w:val="28"/>
    </w:rPr>
  </w:style>
  <w:style w:type="paragraph" w:styleId="Cabeceraypie">
    <w:name w:val="Cabecera y pie"/>
    <w:basedOn w:val="Normal"/>
    <w:qFormat/>
    <w:pPr>
      <w:suppressLineNumbers/>
      <w:tabs>
        <w:tab w:val="clear" w:pos="709"/>
        <w:tab w:val="center" w:pos="4819" w:leader="none"/>
        <w:tab w:val="right" w:pos="9638" w:leader="none"/>
      </w:tabs>
    </w:pPr>
    <w:rPr/>
  </w:style>
  <w:style w:type="paragraph" w:styleId="Cabecera">
    <w:name w:val="Header"/>
    <w:basedOn w:val="Normal"/>
    <w:pPr>
      <w:spacing w:lineRule="auto" w:line="240" w:before="0" w:after="0"/>
    </w:pPr>
    <w:rPr/>
  </w:style>
  <w:style w:type="paragraph" w:styleId="Piedepgina">
    <w:name w:val="Footer"/>
    <w:basedOn w:val="Normal"/>
    <w:pPr>
      <w:spacing w:lineRule="auto" w:line="240" w:before="0" w:after="0"/>
    </w:pPr>
    <w:rPr/>
  </w:style>
  <w:style w:type="paragraph" w:styleId="Textodeglobo">
    <w:name w:val="Texto de globo"/>
    <w:basedOn w:val="Normal"/>
    <w:qFormat/>
    <w:pPr>
      <w:spacing w:lineRule="auto" w:line="240" w:before="0" w:after="0"/>
    </w:pPr>
    <w:rPr>
      <w:rFonts w:ascii="Tahoma;Bold" w:hAnsi="Tahoma;Bold" w:cs="Tahoma;Bold"/>
      <w:sz w:val="16"/>
      <w:szCs w:val="16"/>
    </w:rPr>
  </w:style>
  <w:style w:type="paragraph" w:styleId="Contenidodelmarco">
    <w:name w:val="Contenido del marco"/>
    <w:basedOn w:val="Cuerpodetexto"/>
    <w:qFormat/>
    <w:pPr/>
    <w:rPr/>
  </w:style>
  <w:style w:type="paragraph" w:styleId="Contenidodelatabla">
    <w:name w:val="Contenido de la tabla"/>
    <w:basedOn w:val="Normal"/>
    <w:qFormat/>
    <w:pPr>
      <w:suppressLineNumbers/>
    </w:pPr>
    <w:rPr/>
  </w:style>
  <w:style w:type="paragraph" w:styleId="Encabezadodelatabla">
    <w:name w:val="Encabezado de la tabla"/>
    <w:basedOn w:val="Contenidodelatabla"/>
    <w:qFormat/>
    <w:pPr>
      <w:suppressLineNumbers/>
      <w:jc w:val="center"/>
    </w:pPr>
    <w:rPr>
      <w:b/>
      <w:bCs/>
    </w:rPr>
  </w:style>
  <w:style w:type="paragraph" w:styleId="Encabezamientoizquierdo">
    <w:name w:val="Encabezamiento izquierdo"/>
    <w:basedOn w:val="Normal"/>
    <w:qFormat/>
    <w:pPr>
      <w:suppressLineNumbers/>
      <w:tabs>
        <w:tab w:val="clear" w:pos="709"/>
        <w:tab w:val="center" w:pos="4819" w:leader="none"/>
        <w:tab w:val="right" w:pos="9638" w:leader="none"/>
      </w:tabs>
    </w:pPr>
    <w:rPr/>
  </w:style>
  <w:style w:type="paragraph" w:styleId="Contenidodelatabla0">
    <w:name w:val="Contenido de la tabla_0"/>
    <w:basedOn w:val="Normal"/>
    <w:qFormat/>
    <w:pPr>
      <w:widowControl w:val="false"/>
      <w:suppressLineNumbers/>
      <w:spacing w:lineRule="auto" w:line="240" w:before="0" w:after="0"/>
    </w:pPr>
    <w:rPr>
      <w:rFonts w:ascii="Times New Roman" w:hAnsi="Times New Roman" w:eastAsia="SimSun;宋体" w:cs="Mangal"/>
      <w:sz w:val="24"/>
      <w:szCs w:val="24"/>
      <w:lang w:bidi="hi-IN"/>
    </w:rPr>
  </w:style>
  <w:style w:type="paragraph" w:styleId="Default">
    <w:name w:val="Default"/>
    <w:basedOn w:val="Normal"/>
    <w:qFormat/>
    <w:pPr>
      <w:widowControl w:val="false"/>
      <w:autoSpaceDE w:val="false"/>
      <w:spacing w:lineRule="auto" w:line="240" w:before="0" w:after="0"/>
    </w:pPr>
    <w:rPr>
      <w:rFonts w:ascii="Arial" w:hAnsi="Arial" w:eastAsia="Arial" w:cs="Arial"/>
      <w:color w:val="000000"/>
      <w:sz w:val="24"/>
      <w:szCs w:val="24"/>
      <w:lang w:bidi="hi-IN"/>
    </w:rPr>
  </w:style>
  <w:style w:type="paragraph" w:styleId="Encabezado0">
    <w:name w:val="Encabezado_0"/>
    <w:basedOn w:val="Normal"/>
    <w:qFormat/>
    <w:pPr>
      <w:widowControl w:val="false"/>
      <w:suppressLineNumbers/>
      <w:tabs>
        <w:tab w:val="clear" w:pos="709"/>
        <w:tab w:val="center" w:pos="4819" w:leader="none"/>
        <w:tab w:val="right" w:pos="9638" w:leader="none"/>
      </w:tabs>
      <w:spacing w:lineRule="auto" w:line="240" w:before="0" w:after="0"/>
    </w:pPr>
    <w:rPr>
      <w:rFonts w:ascii="Times New Roman" w:hAnsi="Times New Roman" w:eastAsia="SimSun;宋体" w:cs="Mangal"/>
      <w:sz w:val="24"/>
      <w:szCs w:val="24"/>
      <w:lang w:bidi="hi-IN"/>
    </w:rPr>
  </w:style>
  <w:style w:type="paragraph" w:styleId="Piedepgina0">
    <w:name w:val="Pie de página_0"/>
    <w:basedOn w:val="Normal"/>
    <w:qFormat/>
    <w:pPr>
      <w:tabs>
        <w:tab w:val="clear" w:pos="709"/>
        <w:tab w:val="center" w:pos="4419" w:leader="none"/>
        <w:tab w:val="right" w:pos="8838" w:leader="none"/>
      </w:tabs>
      <w:overflowPunct w:val="false"/>
      <w:autoSpaceDE w:val="false"/>
      <w:spacing w:lineRule="auto" w:line="240" w:before="0" w:after="0"/>
      <w:jc w:val="both"/>
      <w:textAlignment w:val="baseline"/>
    </w:pPr>
    <w:rPr>
      <w:rFonts w:ascii="Times New Roman" w:hAnsi="Times New Roman" w:eastAsia="Times New Roman" w:cs="Times New Roman"/>
      <w:sz w:val="24"/>
      <w:szCs w:val="20"/>
      <w:lang w:val="es-ES_tradnl" w:eastAsia="ar-SA"/>
    </w:rPr>
  </w:style>
  <w:style w:type="paragraph" w:styleId="Ttulodelatabla">
    <w:name w:val="Título de la tabla"/>
    <w:basedOn w:val="Contenidodelatabla"/>
    <w:qFormat/>
    <w:pPr>
      <w:suppressLineNumbers/>
      <w:jc w:val="center"/>
    </w:pPr>
    <w:rPr>
      <w:b/>
      <w:bCs/>
    </w:rPr>
  </w:style>
  <w:style w:type="paragraph" w:styleId="Standarduser">
    <w:name w:val="Standard (user)"/>
    <w:qFormat/>
    <w:pPr>
      <w:widowControl w:val="false"/>
      <w:suppressAutoHyphens w:val="true"/>
      <w:bidi w:val="0"/>
      <w:textAlignment w:val="baseline"/>
    </w:pPr>
    <w:rPr>
      <w:rFonts w:ascii="Times New Roman" w:hAnsi="Times New Roman" w:eastAsia="SimSun;宋体" w:cs="Times New Roman"/>
      <w:color w:val="000000"/>
      <w:kern w:val="2"/>
      <w:sz w:val="24"/>
      <w:szCs w:val="24"/>
      <w:lang w:val="es-ES" w:eastAsia="zh-CN" w:bidi="hi-IN"/>
    </w:rPr>
  </w:style>
  <w:style w:type="paragraph" w:styleId="TableContentsuser">
    <w:name w:val="Table Contents (user)"/>
    <w:basedOn w:val="Standarduser"/>
    <w:qFormat/>
    <w:pPr>
      <w:suppressLineNumbers/>
      <w:suppressAutoHyphens w:val="true"/>
    </w:pPr>
    <w:rPr/>
  </w:style>
  <w:style w:type="paragraph" w:styleId="NormalWeb">
    <w:name w:val="Normal (Web)"/>
    <w:basedOn w:val="Normal"/>
    <w:qFormat/>
    <w:pPr>
      <w:spacing w:before="100" w:after="119"/>
    </w:pPr>
    <w:rPr>
      <w:sz w:val="24"/>
      <w:szCs w:val="24"/>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almassora.es/" TargetMode="External"/><Relationship Id="rId3" Type="http://schemas.openxmlformats.org/officeDocument/2006/relationships/hyperlink" Target="http://www.almassora.es/" TargetMode="External"/><Relationship Id="rId4" Type="http://schemas.openxmlformats.org/officeDocument/2006/relationships/hyperlink" Target="http://www.almassora.es/" TargetMode="External"/><Relationship Id="rId5" Type="http://schemas.openxmlformats.org/officeDocument/2006/relationships/hyperlink" Target="mailto:dpo@almassora.es" TargetMode="External"/><Relationship Id="rId6" Type="http://schemas.openxmlformats.org/officeDocument/2006/relationships/hyperlink" Target="http://www.agpd.es/" TargetMode="Externa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footer" Target="footer1.xml"/><Relationship Id="rId10" Type="http://schemas.openxmlformats.org/officeDocument/2006/relationships/footer" Target="footer2.xml"/><Relationship Id="rId11" Type="http://schemas.openxmlformats.org/officeDocument/2006/relationships/numbering" Target="numbering.xml"/><Relationship Id="rId12" Type="http://schemas.openxmlformats.org/officeDocument/2006/relationships/fontTable" Target="fontTable.xml"/><Relationship Id="rId13" Type="http://schemas.openxmlformats.org/officeDocument/2006/relationships/settings" Target="settings.xml"/>
</Relationships>
</file>

<file path=word/_rels/header2.xml.rels><?xml version="1.0" encoding="UTF-8"?>
<Relationships xmlns="http://schemas.openxmlformats.org/package/2006/relationships"><Relationship Id="rId1" Type="http://schemas.openxmlformats.org/officeDocument/2006/relationships/image" Target="media/image1.wmf"/>
</Relationships>
</file>

<file path=docProps/app.xml><?xml version="1.0" encoding="utf-8"?>
<Properties xmlns="http://schemas.openxmlformats.org/officeDocument/2006/extended-properties" xmlns:vt="http://schemas.openxmlformats.org/officeDocument/2006/docPropsVTypes">
  <Template>Normal.dot</Template>
  <TotalTime>4</TotalTime>
  <Application>LibreOffice/7.0.4.2$Windows_X86_64 LibreOffice_project/dcf040e67528d9187c66b2379df5ea4407429775</Application>
  <AppVersion>15.0000</AppVersion>
  <Pages>8</Pages>
  <Words>3644</Words>
  <Characters>19836</Characters>
  <CharactersWithSpaces>23351</CharactersWithSpaces>
  <Paragraphs>192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2016-05-20T08:49:00Z</dcterms:created>
  <dc:creator>algordil</dc:creator>
  <dc:description/>
  <dc:language>es-ES</dc:language>
  <cp:lastModifiedBy/>
  <dcterms:modified xsi:type="dcterms:W3CDTF">2022-05-10T09:22:37Z</dcterms:modified>
  <cp:revision>9</cp:revision>
  <dc:subject/>
  <dc:title/>
</cp:coreProperties>
</file>