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F65" w:rsidRDefault="006D5F65" w:rsidP="00B578B3">
      <w:pPr>
        <w:spacing w:before="240" w:after="360" w:line="360" w:lineRule="auto"/>
        <w:ind w:firstLine="0"/>
        <w:rPr>
          <w:rFonts w:eastAsia="Calibri" w:cs="Arial"/>
          <w:b/>
          <w:bCs/>
          <w:color w:val="auto"/>
          <w:szCs w:val="22"/>
          <w:lang w:eastAsia="en-US"/>
        </w:rPr>
      </w:pPr>
      <w:bookmarkStart w:id="0" w:name="_GoBack"/>
      <w:bookmarkEnd w:id="0"/>
      <w:r w:rsidRPr="006D5F65">
        <w:rPr>
          <w:rFonts w:eastAsia="Calibri" w:cs="Arial"/>
          <w:b/>
          <w:bCs/>
          <w:color w:val="auto"/>
          <w:szCs w:val="22"/>
          <w:lang w:eastAsia="en-US"/>
        </w:rPr>
        <w:t xml:space="preserve">ORDEN DE LA CONSEJERA DE ECONOMÍA, PLANIFICACIÓN Y EMPLEO, POR LA QUE SE CONCEDE A AVALIA ARAGÓN, S.G.R. UNA SUBVENCIÓN POR IMPORTE DE 250.000 EUROS </w:t>
      </w:r>
      <w:r w:rsidR="00FC1CF4">
        <w:rPr>
          <w:rFonts w:eastAsia="Calibri" w:cs="Arial"/>
          <w:b/>
          <w:bCs/>
          <w:color w:val="auto"/>
          <w:szCs w:val="22"/>
          <w:lang w:eastAsia="en-US"/>
        </w:rPr>
        <w:t>EN CONCEPTO DE APORTACIÓN AL</w:t>
      </w:r>
      <w:r w:rsidRPr="006D5F65">
        <w:rPr>
          <w:rFonts w:eastAsia="Calibri" w:cs="Arial"/>
          <w:b/>
          <w:bCs/>
          <w:color w:val="auto"/>
          <w:szCs w:val="22"/>
          <w:lang w:eastAsia="en-US"/>
        </w:rPr>
        <w:t xml:space="preserve"> FONDO DE PROVISIONES TÉCNICAS </w:t>
      </w:r>
    </w:p>
    <w:p w:rsidR="006D5F65" w:rsidRPr="006D5F65" w:rsidRDefault="006D5F65" w:rsidP="00B578B3">
      <w:pPr>
        <w:spacing w:before="600" w:after="360" w:line="360" w:lineRule="auto"/>
        <w:ind w:firstLine="0"/>
        <w:rPr>
          <w:rFonts w:eastAsia="Calibri" w:cs="Arial"/>
          <w:color w:val="auto"/>
          <w:szCs w:val="22"/>
          <w:lang w:eastAsia="en-US"/>
        </w:rPr>
      </w:pPr>
      <w:r w:rsidRPr="006D5F65">
        <w:rPr>
          <w:rFonts w:eastAsia="Calibri" w:cs="Arial"/>
          <w:color w:val="auto"/>
          <w:szCs w:val="22"/>
          <w:lang w:eastAsia="en-US"/>
        </w:rPr>
        <w:t xml:space="preserve">Con fecha de registro de entrada </w:t>
      </w:r>
      <w:r w:rsidRPr="004B14E2">
        <w:rPr>
          <w:rFonts w:eastAsia="Calibri" w:cs="Arial"/>
          <w:color w:val="auto"/>
          <w:szCs w:val="22"/>
          <w:lang w:eastAsia="en-US"/>
        </w:rPr>
        <w:t>en el Registro de</w:t>
      </w:r>
      <w:r w:rsidRPr="006D5F65">
        <w:rPr>
          <w:rFonts w:eastAsia="Calibri" w:cs="Arial"/>
          <w:color w:val="auto"/>
          <w:szCs w:val="22"/>
          <w:lang w:eastAsia="en-US"/>
        </w:rPr>
        <w:t xml:space="preserve"> la Dirección General de Tributos, Hacienda y Administración Pública de 15 de marzo de 2022, AVALIA ARAGÓN, S.G.R. remite escrito, dirigido a la Consejera de Economía, Planificación y Empleo, interesando del Gobierno de Aragón la realización de una aportación no reintegrable a su Fondo de Provisiones Técnicas por importe de 250.000,00 euros.</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t>AVALlA ARAGON, S.G.R. es una sociedad mercantil participada por la Comunidad Autónoma de Aragón, que tiene como objeto prestar garantías a sus socios partícipes para que puedan acceder al mercado financiero en las mejores condiciones. Cuenta con socios protectores, siendo el principal la Corporación Empresarial Pública de Aragón, S.L.U, de conformidad con el Decreto 219/2008, de 18 de noviembre, del Gobierno de Aragón.</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t>El Gobierno de Aragón ha venido prestando a AVALlA ARAGON, S.G.R. un apoyo económico esencial para su funcionamiento por medio de aportaciones al capital social y al Fondo de Provisiones Técnicas, al considerar que esta sociedad es un instrumento financiero válido para fomentar y posibilitar las condiciones necesarias para crear, mantener y fortalecer a las pequeñas y medianas empresas, al solventar en gran medida los problemas que este tipo de empresas tienen para acceder a una financiación adecuada a sus posibilidades.</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t xml:space="preserve">Asimismo, </w:t>
      </w:r>
      <w:r w:rsidRPr="004B14E2">
        <w:rPr>
          <w:rFonts w:eastAsia="Calibri" w:cs="Arial"/>
          <w:color w:val="auto"/>
          <w:szCs w:val="22"/>
          <w:lang w:eastAsia="en-US"/>
        </w:rPr>
        <w:t>en este contexto de colaboración y apoyo,</w:t>
      </w:r>
      <w:r w:rsidRPr="006D5F65">
        <w:rPr>
          <w:rFonts w:eastAsia="Calibri" w:cs="Arial"/>
          <w:color w:val="auto"/>
          <w:szCs w:val="22"/>
          <w:lang w:eastAsia="en-US"/>
        </w:rPr>
        <w:t xml:space="preserve"> con fecha 3 de marzo de 2011 se suscribió </w:t>
      </w:r>
      <w:r w:rsidRPr="008C5FA1">
        <w:rPr>
          <w:rFonts w:eastAsia="Calibri" w:cs="Arial"/>
          <w:i/>
          <w:color w:val="auto"/>
          <w:szCs w:val="22"/>
          <w:lang w:eastAsia="en-US"/>
        </w:rPr>
        <w:t xml:space="preserve">el “Contrato básico de reafianzamiento entre el Gobierno de Aragón y Avalia Aragón, S.G.R.”  cuyo objeto consistía en sentar las bases del reafianzamiento público por parte del GOBIERNO DE ARAGÓN de una parte del riesgo asumido por </w:t>
      </w:r>
      <w:r w:rsidR="000F5AF3" w:rsidRPr="008C5FA1">
        <w:rPr>
          <w:rFonts w:eastAsia="Calibri" w:cs="Arial"/>
          <w:i/>
          <w:noProof/>
          <w:color w:val="auto"/>
          <w:szCs w:val="22"/>
          <w:lang w:eastAsia="es-ES"/>
        </w:rPr>
        <w:drawing>
          <wp:inline distT="0" distB="0" distL="0" distR="0">
            <wp:extent cx="9525" cy="9525"/>
            <wp:effectExtent l="0" t="0" r="0" b="0"/>
            <wp:docPr id="1"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C5FA1">
        <w:rPr>
          <w:rFonts w:eastAsia="Calibri" w:cs="Arial"/>
          <w:i/>
          <w:color w:val="auto"/>
          <w:szCs w:val="22"/>
          <w:lang w:eastAsia="en-US"/>
        </w:rPr>
        <w:t>AVALIA ARAGÓN, SGR., mediante la cobertura parcial de las provisiones tanto genéricas como específicas y de los fallidos derivados de las garantías otorgadas por esta última a sus socios partícipes</w:t>
      </w:r>
      <w:r w:rsidR="008C5FA1" w:rsidRPr="008C5FA1">
        <w:rPr>
          <w:rFonts w:eastAsia="Calibri" w:cs="Arial"/>
          <w:i/>
          <w:color w:val="auto"/>
          <w:szCs w:val="22"/>
          <w:lang w:eastAsia="en-US"/>
        </w:rPr>
        <w:t>”.</w:t>
      </w:r>
    </w:p>
    <w:p w:rsidR="00B578B3"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lastRenderedPageBreak/>
        <w:t>Su vigencia finalizó el 31 de diciembre de 2016 para la suscripción de nuevas operaciones, permaneciendo en vigor en relación a los fallidos derivados del riesgo asumido por las operaciones formalizadas hasta dicha fecha.</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t xml:space="preserve">En el marco de actuaciones destinadas a ayudar tanto a la implantación de empresas en la Comunidad Autónoma de Aragón, como a la consolidación y crecimiento de las ya existentes, AVALlA ARAGON, S.G.R., </w:t>
      </w:r>
      <w:r w:rsidRPr="008C5FA1">
        <w:rPr>
          <w:rFonts w:eastAsia="Calibri" w:cs="Arial"/>
          <w:color w:val="auto"/>
          <w:szCs w:val="22"/>
          <w:lang w:eastAsia="en-US"/>
        </w:rPr>
        <w:t>se configura</w:t>
      </w:r>
      <w:r w:rsidRPr="006D5F65">
        <w:rPr>
          <w:rFonts w:eastAsia="Calibri" w:cs="Arial"/>
          <w:color w:val="FF0000"/>
          <w:szCs w:val="22"/>
          <w:lang w:eastAsia="en-US"/>
        </w:rPr>
        <w:t xml:space="preserve"> </w:t>
      </w:r>
      <w:r w:rsidRPr="006D5F65">
        <w:rPr>
          <w:rFonts w:eastAsia="Calibri" w:cs="Arial"/>
          <w:color w:val="auto"/>
          <w:szCs w:val="22"/>
          <w:lang w:eastAsia="en-US"/>
        </w:rPr>
        <w:t>como un instrumento financiero válido que contribuye, a través de las garantías otorgadas a sus socios partícipes, a la consecución de un mayor impacto positivo en la actividad económica y en el mercado laboral de la Comunidad Autónoma.</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t>Como consecuencia de la puesta en marcha del programa de préstamos AQUISGRAN (Fondo AQUISGRAN) y conforme a las condiciones establecidas en el convenio de colaboración suscrito para su implementación por parte de AVALIA ARAGON SGR, la sociedad se ha visto obligada a inmovilizar, en garantía del buen fin del fondo, la suma de 330.000,00 euros durante el plazo de diez años de duración del mismo, cantidad que fue transferida al gestor del fondo en el mes de junio de 2021, retención que deberá incrementarse en un futuro en función del nivel de operaciones formalizadas por AVALIA ARAGON SGR al amparo del mismo.</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t>AQUISGRÁN fue constituida en 2018 a iniciativa de las Sociedades de Garantía Recíproca (SGR) para ofrecer a pymes y autónomos financiación complementaria a la bancaria; facilitando la financiación que, por plazo o garantías, el banco habitual de los clientes no puede ofrecerles, sin impedirles seguir trabajando con el mismo. Hay que considerar que la</w:t>
      </w:r>
      <w:r w:rsidR="00D236F4">
        <w:rPr>
          <w:rFonts w:eastAsia="Calibri" w:cs="Arial"/>
          <w:color w:val="auto"/>
          <w:szCs w:val="22"/>
          <w:lang w:eastAsia="en-US"/>
        </w:rPr>
        <w:t xml:space="preserve"> </w:t>
      </w:r>
      <w:r w:rsidRPr="00D236F4">
        <w:rPr>
          <w:rFonts w:eastAsia="Calibri" w:cs="Arial"/>
          <w:bCs/>
          <w:color w:val="auto"/>
          <w:szCs w:val="22"/>
          <w:lang w:eastAsia="en-US"/>
        </w:rPr>
        <w:t>diversificación</w:t>
      </w:r>
      <w:r w:rsidR="00D236F4" w:rsidRPr="00D236F4">
        <w:rPr>
          <w:rFonts w:eastAsia="Calibri" w:cs="Arial"/>
          <w:bCs/>
          <w:color w:val="auto"/>
          <w:szCs w:val="22"/>
          <w:lang w:eastAsia="en-US"/>
        </w:rPr>
        <w:t xml:space="preserve"> </w:t>
      </w:r>
      <w:r w:rsidRPr="006D5F65">
        <w:rPr>
          <w:rFonts w:eastAsia="Calibri" w:cs="Arial"/>
          <w:color w:val="auto"/>
          <w:szCs w:val="22"/>
          <w:lang w:eastAsia="en-US"/>
        </w:rPr>
        <w:t>de fuentes de financiación hace a las empresas menos vulnerables ante posibles restricciones del crédito bancario, como la que se produjo en 2011, que afectó especialmente a pymes y autónomos. Los fondos que Aquisgrán presta a las pequeñas y medianas empresas españolas provienen de la emisión de bonos que cotizan en el MARF (Mercado Alternativo de Renta Fija), suscritos por el Instituto de Crédito Oficial (ICO) con el respaldo del Fondo Europeo de Inversiones (FEI).</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lastRenderedPageBreak/>
        <w:t>Por todo ello, con la finalidad de ampliar la solvencia de la única sociedad de garantía recíproca con domicilio social en Aragón y, por consiguiente, contribuir a la mejora en el acceso a la financiación de las PYMES aragonesas, se considera necesario que el Gobierno de Aragón realice una aportación no reintegrable al Fondo de Provisiones Técnicas de AVALIA ARAGON SGR por importe de doscientos cincuenta mil (250.000,00) euros, conforme a lo dispuesto en el artículo noveno, apartado b) de la Ley 1/1994 de 11 de marzo sobre Régimen Jurídico de las Sociedades de Garantía Recíproca.</w:t>
      </w:r>
    </w:p>
    <w:p w:rsidR="006D5F65" w:rsidRPr="006D5F65" w:rsidRDefault="006D5F65" w:rsidP="00B578B3">
      <w:pPr>
        <w:spacing w:before="240" w:after="360" w:line="360" w:lineRule="auto"/>
        <w:ind w:firstLine="0"/>
        <w:rPr>
          <w:rFonts w:eastAsia="Calibri" w:cs="Arial"/>
          <w:color w:val="auto"/>
          <w:szCs w:val="22"/>
          <w:lang w:eastAsia="en-US"/>
        </w:rPr>
      </w:pPr>
      <w:r w:rsidRPr="006D5F65">
        <w:rPr>
          <w:rFonts w:eastAsia="Calibri" w:cs="Arial"/>
          <w:color w:val="auto"/>
          <w:szCs w:val="22"/>
          <w:lang w:eastAsia="en-US"/>
        </w:rPr>
        <w:t>Con esta medida, el Gobierno de Aragón respalda a la sociedad de garantía recíproca AVALIA ARAGON SGR como instrumento para dinamizar el mercado de crédito de las pymes aragonesas, fomentando la concesión de avales que abran las puertas a la financiación bancaria a todas las pymes de la Comunidad Autónoma, sea cual sea su sector y finalidad de inversión, incluida la de capital circulante.</w:t>
      </w:r>
    </w:p>
    <w:p w:rsidR="006D5F65" w:rsidRPr="006D5F65" w:rsidRDefault="006D5F65" w:rsidP="00B578B3">
      <w:pPr>
        <w:spacing w:before="240" w:after="360" w:line="360" w:lineRule="auto"/>
        <w:ind w:firstLine="0"/>
        <w:rPr>
          <w:rFonts w:eastAsia="Calibri" w:cs="Arial"/>
          <w:bCs/>
          <w:color w:val="auto"/>
          <w:szCs w:val="22"/>
          <w:lang w:eastAsia="en-US"/>
        </w:rPr>
      </w:pPr>
      <w:r w:rsidRPr="006D5F65">
        <w:rPr>
          <w:rFonts w:eastAsia="Calibri" w:cs="Arial"/>
          <w:bCs/>
          <w:color w:val="auto"/>
          <w:szCs w:val="22"/>
          <w:lang w:eastAsia="en-US"/>
        </w:rPr>
        <w:t>El Fondo de Provisiones Técnicas se encuentra regulado en el artículo 9 de la</w:t>
      </w:r>
      <w:r w:rsidRPr="006D5F65">
        <w:rPr>
          <w:rFonts w:cs="Arial"/>
          <w:szCs w:val="22"/>
          <w:lang w:eastAsia="es-ES"/>
        </w:rPr>
        <w:t xml:space="preserve"> Ley 1/1994, de 11 de marzo, sobre el Régimen Jurídico de las Sociedades de Garantía Recíproca</w:t>
      </w:r>
      <w:r w:rsidRPr="006D5F65">
        <w:rPr>
          <w:rFonts w:eastAsia="Calibri" w:cs="Arial"/>
          <w:bCs/>
          <w:color w:val="auto"/>
          <w:szCs w:val="22"/>
          <w:lang w:eastAsia="en-US"/>
        </w:rPr>
        <w:t>, al disponer que:</w:t>
      </w:r>
    </w:p>
    <w:p w:rsidR="006D5F65" w:rsidRPr="008C5FA1" w:rsidRDefault="006D5F65" w:rsidP="00412419">
      <w:pPr>
        <w:spacing w:before="240" w:after="120" w:line="360" w:lineRule="auto"/>
        <w:ind w:left="567" w:firstLine="0"/>
        <w:rPr>
          <w:rFonts w:eastAsia="Calibri" w:cs="Arial"/>
          <w:bCs/>
          <w:color w:val="auto"/>
          <w:sz w:val="20"/>
          <w:szCs w:val="20"/>
          <w:lang w:eastAsia="en-US"/>
        </w:rPr>
      </w:pPr>
      <w:r w:rsidRPr="008C5FA1">
        <w:rPr>
          <w:rFonts w:eastAsia="Calibri" w:cs="Arial"/>
          <w:bCs/>
          <w:color w:val="auto"/>
          <w:sz w:val="20"/>
          <w:szCs w:val="20"/>
          <w:lang w:eastAsia="en-US"/>
        </w:rPr>
        <w:t xml:space="preserve">La sociedad de garantía recíproca deberá constituir un fondo de provisiones técnicas que </w:t>
      </w:r>
      <w:r w:rsidRPr="008C5FA1">
        <w:rPr>
          <w:rFonts w:eastAsia="Calibri" w:cs="Arial"/>
          <w:b/>
          <w:bCs/>
          <w:color w:val="auto"/>
          <w:sz w:val="20"/>
          <w:szCs w:val="20"/>
          <w:lang w:eastAsia="en-US"/>
        </w:rPr>
        <w:t>formará parte de su patrimonio, y tendrá como finalidad reforzar la solvencia de la sociedad</w:t>
      </w:r>
      <w:r w:rsidRPr="008C5FA1">
        <w:rPr>
          <w:rFonts w:eastAsia="Calibri" w:cs="Arial"/>
          <w:bCs/>
          <w:color w:val="auto"/>
          <w:sz w:val="20"/>
          <w:szCs w:val="20"/>
          <w:lang w:eastAsia="en-US"/>
        </w:rPr>
        <w:t xml:space="preserve">. Su cuantía mínima y funcionamiento se determinará reglamentariamente. Dicho fondo de provisiones técnicas, en todo caso, podrá ser integrado por: </w:t>
      </w:r>
    </w:p>
    <w:p w:rsidR="006D5F65" w:rsidRPr="008C5FA1" w:rsidRDefault="006D5F65" w:rsidP="00412419">
      <w:pPr>
        <w:spacing w:after="0" w:line="360" w:lineRule="auto"/>
        <w:ind w:left="567" w:firstLine="0"/>
        <w:rPr>
          <w:rFonts w:eastAsia="Calibri" w:cs="Arial"/>
          <w:bCs/>
          <w:color w:val="auto"/>
          <w:sz w:val="20"/>
          <w:szCs w:val="20"/>
          <w:lang w:eastAsia="en-US"/>
        </w:rPr>
      </w:pPr>
      <w:r w:rsidRPr="008C5FA1">
        <w:rPr>
          <w:rFonts w:eastAsia="Calibri" w:cs="Arial"/>
          <w:bCs/>
          <w:color w:val="auto"/>
          <w:sz w:val="20"/>
          <w:szCs w:val="20"/>
          <w:lang w:eastAsia="en-US"/>
        </w:rPr>
        <w:t>(…)</w:t>
      </w:r>
    </w:p>
    <w:p w:rsidR="006D5F65" w:rsidRPr="008C5FA1" w:rsidRDefault="006D5F65" w:rsidP="00412419">
      <w:pPr>
        <w:spacing w:before="120" w:after="360" w:line="360" w:lineRule="auto"/>
        <w:ind w:left="567" w:firstLine="0"/>
        <w:rPr>
          <w:rFonts w:eastAsia="Calibri" w:cs="Arial"/>
          <w:bCs/>
          <w:color w:val="auto"/>
          <w:sz w:val="20"/>
          <w:szCs w:val="20"/>
          <w:lang w:eastAsia="en-US"/>
        </w:rPr>
      </w:pPr>
      <w:r w:rsidRPr="008C5FA1">
        <w:rPr>
          <w:rFonts w:eastAsia="Calibri" w:cs="Arial"/>
          <w:bCs/>
          <w:color w:val="auto"/>
          <w:sz w:val="20"/>
          <w:szCs w:val="20"/>
          <w:lang w:eastAsia="en-US"/>
        </w:rPr>
        <w:t>b) Las subvenciones, donaciones u otras aportaciones no reintegrables que efectúen las Administraciones públicas, los organismos autónomos y demás entidades de derecho público, dependientes de las mismas, las sociedades mercantiles en cuyo capital participe mayoritariamente cualesquiera de las anteriores y las entidades que representen o asocien intereses económicos de carácter general o del ámbito sectorial a que se refieran los estatutos sociales.</w:t>
      </w:r>
    </w:p>
    <w:p w:rsidR="006D5F65" w:rsidRPr="006D5F65" w:rsidRDefault="006D5F65" w:rsidP="00B578B3">
      <w:pPr>
        <w:spacing w:before="240" w:after="360" w:line="360" w:lineRule="auto"/>
        <w:ind w:firstLine="0"/>
        <w:rPr>
          <w:rFonts w:eastAsia="Calibri" w:cs="Arial"/>
          <w:color w:val="auto"/>
          <w:szCs w:val="22"/>
          <w:lang w:val="es-ES_tradnl" w:eastAsia="en-US"/>
        </w:rPr>
      </w:pPr>
      <w:bookmarkStart w:id="1" w:name="_MailEndCompose"/>
      <w:bookmarkEnd w:id="1"/>
      <w:r w:rsidRPr="006D5F65">
        <w:rPr>
          <w:rFonts w:eastAsia="Calibri" w:cs="Arial"/>
          <w:color w:val="auto"/>
          <w:szCs w:val="22"/>
          <w:lang w:val="es-ES_tradnl" w:eastAsia="en-US"/>
        </w:rPr>
        <w:lastRenderedPageBreak/>
        <w:t>Por cuanto antecede, en virtud de las atribuciones que me confiere el artículo 1 del Decreto 29/2020, de 11 de marzo, del Gobierno de Aragón, por el que se aprueba la Estructura Orgánica del Departamento de Economía, Planificación y Empleo,</w:t>
      </w:r>
    </w:p>
    <w:p w:rsidR="006D5F65" w:rsidRPr="006D5F65" w:rsidRDefault="006D5F65" w:rsidP="00B578B3">
      <w:pPr>
        <w:spacing w:before="240" w:after="360" w:line="360" w:lineRule="auto"/>
        <w:ind w:firstLine="0"/>
        <w:jc w:val="center"/>
        <w:rPr>
          <w:rFonts w:eastAsia="Calibri" w:cs="Arial"/>
          <w:b/>
          <w:color w:val="auto"/>
          <w:szCs w:val="22"/>
          <w:lang w:val="es-ES_tradnl" w:eastAsia="en-US"/>
        </w:rPr>
      </w:pPr>
      <w:r w:rsidRPr="006D5F65">
        <w:rPr>
          <w:rFonts w:eastAsia="Calibri" w:cs="Arial"/>
          <w:b/>
          <w:color w:val="auto"/>
          <w:szCs w:val="22"/>
          <w:lang w:val="es-ES_tradnl" w:eastAsia="en-US"/>
        </w:rPr>
        <w:t>RESUELVO:</w:t>
      </w:r>
    </w:p>
    <w:p w:rsidR="008C5FA1" w:rsidRPr="008C5FA1" w:rsidRDefault="006D5F65" w:rsidP="00B578B3">
      <w:pPr>
        <w:spacing w:before="240" w:after="360" w:line="360" w:lineRule="auto"/>
        <w:ind w:firstLine="0"/>
        <w:rPr>
          <w:rFonts w:eastAsia="Calibri" w:cs="Arial"/>
          <w:bCs/>
          <w:color w:val="auto"/>
          <w:szCs w:val="22"/>
          <w:lang w:eastAsia="en-US"/>
        </w:rPr>
      </w:pPr>
      <w:r w:rsidRPr="006D5F65">
        <w:rPr>
          <w:rFonts w:cs="Arial"/>
          <w:b/>
          <w:color w:val="auto"/>
          <w:szCs w:val="22"/>
          <w:lang w:eastAsia="es-ES"/>
        </w:rPr>
        <w:t>Primero</w:t>
      </w:r>
      <w:r w:rsidRPr="006D5F65">
        <w:rPr>
          <w:rFonts w:cs="Arial"/>
          <w:color w:val="auto"/>
          <w:szCs w:val="22"/>
          <w:lang w:eastAsia="es-ES"/>
        </w:rPr>
        <w:t xml:space="preserve">. – Conceder a AVALIA ARAGÓN, S.G.R. una subvención por importe de 250.000 </w:t>
      </w:r>
      <w:r w:rsidRPr="008C5FA1">
        <w:rPr>
          <w:rFonts w:cs="Arial"/>
          <w:color w:val="auto"/>
          <w:szCs w:val="22"/>
          <w:lang w:eastAsia="es-ES"/>
        </w:rPr>
        <w:t xml:space="preserve">euros </w:t>
      </w:r>
      <w:r w:rsidR="00FC1CF4">
        <w:rPr>
          <w:rFonts w:cs="Arial"/>
          <w:color w:val="auto"/>
          <w:szCs w:val="22"/>
          <w:lang w:eastAsia="es-ES"/>
        </w:rPr>
        <w:t xml:space="preserve">en concepto de aportación al </w:t>
      </w:r>
      <w:r w:rsidR="008C5FA1">
        <w:rPr>
          <w:rFonts w:eastAsia="Calibri" w:cs="Arial"/>
          <w:bCs/>
          <w:color w:val="auto"/>
          <w:szCs w:val="22"/>
          <w:lang w:eastAsia="en-US"/>
        </w:rPr>
        <w:t>F</w:t>
      </w:r>
      <w:r w:rsidR="008C5FA1" w:rsidRPr="008C5FA1">
        <w:rPr>
          <w:rFonts w:eastAsia="Calibri" w:cs="Arial"/>
          <w:bCs/>
          <w:color w:val="auto"/>
          <w:szCs w:val="22"/>
          <w:lang w:eastAsia="en-US"/>
        </w:rPr>
        <w:t xml:space="preserve">ondo de </w:t>
      </w:r>
      <w:r w:rsidR="008C5FA1">
        <w:rPr>
          <w:rFonts w:eastAsia="Calibri" w:cs="Arial"/>
          <w:bCs/>
          <w:color w:val="auto"/>
          <w:szCs w:val="22"/>
          <w:lang w:eastAsia="en-US"/>
        </w:rPr>
        <w:t>P</w:t>
      </w:r>
      <w:r w:rsidR="008C5FA1" w:rsidRPr="008C5FA1">
        <w:rPr>
          <w:rFonts w:eastAsia="Calibri" w:cs="Arial"/>
          <w:bCs/>
          <w:color w:val="auto"/>
          <w:szCs w:val="22"/>
          <w:lang w:eastAsia="en-US"/>
        </w:rPr>
        <w:t xml:space="preserve">rovisiones </w:t>
      </w:r>
      <w:r w:rsidR="008C5FA1">
        <w:rPr>
          <w:rFonts w:eastAsia="Calibri" w:cs="Arial"/>
          <w:bCs/>
          <w:color w:val="auto"/>
          <w:szCs w:val="22"/>
          <w:lang w:eastAsia="en-US"/>
        </w:rPr>
        <w:t>T</w:t>
      </w:r>
      <w:r w:rsidR="008C5FA1" w:rsidRPr="008C5FA1">
        <w:rPr>
          <w:rFonts w:eastAsia="Calibri" w:cs="Arial"/>
          <w:bCs/>
          <w:color w:val="auto"/>
          <w:szCs w:val="22"/>
          <w:lang w:eastAsia="en-US"/>
        </w:rPr>
        <w:t>écnicas.</w:t>
      </w:r>
    </w:p>
    <w:p w:rsidR="006D5F65" w:rsidRPr="006D5F65" w:rsidRDefault="006D5F65" w:rsidP="00B578B3">
      <w:pPr>
        <w:spacing w:before="240" w:after="360" w:line="360" w:lineRule="auto"/>
        <w:ind w:firstLine="0"/>
        <w:rPr>
          <w:rFonts w:eastAsia="Calibri" w:cs="Arial"/>
          <w:szCs w:val="22"/>
          <w:lang w:eastAsia="en-US"/>
        </w:rPr>
      </w:pPr>
      <w:r w:rsidRPr="006D5F65">
        <w:rPr>
          <w:rFonts w:cs="Arial"/>
          <w:b/>
          <w:color w:val="auto"/>
          <w:szCs w:val="22"/>
          <w:lang w:eastAsia="es-ES"/>
        </w:rPr>
        <w:t>Segundo</w:t>
      </w:r>
      <w:r w:rsidRPr="006D5F65">
        <w:rPr>
          <w:rFonts w:cs="Arial"/>
          <w:color w:val="auto"/>
          <w:szCs w:val="22"/>
          <w:lang w:eastAsia="es-ES"/>
        </w:rPr>
        <w:t xml:space="preserve">. – Declarar el interés público y económico de la presente subvención dado que AVALIA ARAGON, S.G.R. es la </w:t>
      </w:r>
      <w:r w:rsidRPr="006D5F65">
        <w:rPr>
          <w:rFonts w:eastAsia="Calibri" w:cs="Arial"/>
          <w:color w:val="auto"/>
          <w:szCs w:val="22"/>
          <w:lang w:eastAsia="en-US"/>
        </w:rPr>
        <w:t>única sociedad de garantía recíproca con domicilio social en Aragón</w:t>
      </w:r>
      <w:r w:rsidRPr="006D5F65">
        <w:rPr>
          <w:rFonts w:eastAsia="Calibri" w:cs="Arial"/>
          <w:szCs w:val="22"/>
          <w:lang w:eastAsia="en-US"/>
        </w:rPr>
        <w:t xml:space="preserve">, participada por la Comunidad Autónoma de Aragón en un 38,48% y presta </w:t>
      </w:r>
      <w:r w:rsidRPr="006D5F65">
        <w:rPr>
          <w:rFonts w:cs="Arial"/>
          <w:color w:val="auto"/>
          <w:szCs w:val="22"/>
          <w:lang w:eastAsia="es-ES"/>
        </w:rPr>
        <w:t>un apoyo esencial a las pequeñas y medianas empresas en Aragón</w:t>
      </w:r>
      <w:r w:rsidR="00FC1CF4">
        <w:rPr>
          <w:rFonts w:cs="Arial"/>
          <w:color w:val="auto"/>
          <w:szCs w:val="22"/>
          <w:lang w:eastAsia="es-ES"/>
        </w:rPr>
        <w:t>,</w:t>
      </w:r>
      <w:r w:rsidRPr="006D5F65">
        <w:rPr>
          <w:rFonts w:cs="Arial"/>
          <w:color w:val="auto"/>
          <w:szCs w:val="22"/>
          <w:lang w:eastAsia="es-ES"/>
        </w:rPr>
        <w:t xml:space="preserve"> mediante el asesoramiento y la concesión de garantías a sus socios partícipes; en definitiva, facilitando a sus socios partícipes </w:t>
      </w:r>
      <w:r w:rsidR="008C5FA1">
        <w:rPr>
          <w:rFonts w:cs="Arial"/>
          <w:color w:val="auto"/>
          <w:szCs w:val="22"/>
          <w:lang w:eastAsia="es-ES"/>
        </w:rPr>
        <w:t>el acceso al mercado financiero.</w:t>
      </w:r>
    </w:p>
    <w:p w:rsidR="006D5F65" w:rsidRPr="006D5F65" w:rsidRDefault="006D5F65" w:rsidP="00B578B3">
      <w:pPr>
        <w:spacing w:before="240" w:after="360" w:line="360" w:lineRule="auto"/>
        <w:ind w:firstLine="0"/>
        <w:rPr>
          <w:rFonts w:eastAsia="Calibri" w:cs="Arial"/>
          <w:szCs w:val="22"/>
          <w:lang w:eastAsia="en-US"/>
        </w:rPr>
      </w:pPr>
      <w:r w:rsidRPr="006D5F65">
        <w:rPr>
          <w:rFonts w:eastAsia="Calibri" w:cs="Arial"/>
          <w:b/>
          <w:szCs w:val="22"/>
          <w:lang w:eastAsia="en-US"/>
        </w:rPr>
        <w:t>Tercero.-</w:t>
      </w:r>
      <w:r w:rsidR="00FC1CF4">
        <w:rPr>
          <w:rFonts w:eastAsia="Calibri" w:cs="Arial"/>
          <w:szCs w:val="22"/>
          <w:lang w:eastAsia="en-US"/>
        </w:rPr>
        <w:t xml:space="preserve"> El Gobierno de Aragón procederá al</w:t>
      </w:r>
      <w:r w:rsidR="00291720">
        <w:rPr>
          <w:rFonts w:eastAsia="Calibri" w:cs="Arial"/>
          <w:szCs w:val="22"/>
          <w:lang w:eastAsia="en-US"/>
        </w:rPr>
        <w:t xml:space="preserve"> pago de la subvención </w:t>
      </w:r>
      <w:r w:rsidR="00FC1CF4">
        <w:rPr>
          <w:rFonts w:eastAsia="Calibri" w:cs="Arial"/>
          <w:szCs w:val="22"/>
          <w:lang w:eastAsia="en-US"/>
        </w:rPr>
        <w:t>en el presente ejercicio</w:t>
      </w:r>
      <w:r w:rsidR="00314260">
        <w:rPr>
          <w:rFonts w:eastAsia="Calibri" w:cs="Arial"/>
          <w:szCs w:val="22"/>
          <w:lang w:eastAsia="en-US"/>
        </w:rPr>
        <w:t xml:space="preserve"> </w:t>
      </w:r>
      <w:r w:rsidRPr="006D5F65">
        <w:rPr>
          <w:rFonts w:eastAsia="Calibri" w:cs="Arial"/>
          <w:szCs w:val="22"/>
          <w:lang w:eastAsia="en-US"/>
        </w:rPr>
        <w:t>con cargo a la aplicación presupuestaria</w:t>
      </w:r>
      <w:r w:rsidR="0068633A">
        <w:rPr>
          <w:rFonts w:eastAsia="Calibri" w:cs="Arial"/>
          <w:szCs w:val="22"/>
          <w:lang w:eastAsia="en-US"/>
        </w:rPr>
        <w:t xml:space="preserve"> 15020 G/6122/770210/91002 (PEP 2022/000125</w:t>
      </w:r>
      <w:r w:rsidRPr="006D5F65">
        <w:rPr>
          <w:rFonts w:eastAsia="Calibri" w:cs="Arial"/>
          <w:szCs w:val="22"/>
          <w:lang w:eastAsia="en-US"/>
        </w:rPr>
        <w:t xml:space="preserve">) del Presupuesto de gastos de la Comunidad </w:t>
      </w:r>
      <w:r w:rsidR="00FC1CF4">
        <w:rPr>
          <w:rFonts w:eastAsia="Calibri" w:cs="Arial"/>
          <w:szCs w:val="22"/>
          <w:lang w:eastAsia="en-US"/>
        </w:rPr>
        <w:t>A</w:t>
      </w:r>
      <w:r w:rsidRPr="006D5F65">
        <w:rPr>
          <w:rFonts w:eastAsia="Calibri" w:cs="Arial"/>
          <w:szCs w:val="22"/>
          <w:lang w:eastAsia="en-US"/>
        </w:rPr>
        <w:t>utónoma de Aragón para el ejercicio 2022.</w:t>
      </w:r>
    </w:p>
    <w:p w:rsidR="006D5F65" w:rsidRPr="006D5F65" w:rsidRDefault="006D5F65" w:rsidP="00B578B3">
      <w:pPr>
        <w:spacing w:before="240" w:after="360" w:line="360" w:lineRule="auto"/>
        <w:ind w:firstLine="0"/>
        <w:rPr>
          <w:rFonts w:eastAsia="Calibri" w:cs="Arial"/>
          <w:szCs w:val="22"/>
          <w:lang w:eastAsia="en-US"/>
        </w:rPr>
      </w:pPr>
      <w:r w:rsidRPr="006D5F65">
        <w:rPr>
          <w:rFonts w:eastAsia="Calibri" w:cs="Arial"/>
          <w:b/>
          <w:szCs w:val="22"/>
          <w:lang w:eastAsia="en-US"/>
        </w:rPr>
        <w:t>Cuarto.-</w:t>
      </w:r>
      <w:r w:rsidRPr="006D5F65">
        <w:rPr>
          <w:rFonts w:eastAsia="Calibri" w:cs="Arial"/>
          <w:szCs w:val="22"/>
          <w:lang w:eastAsia="en-US"/>
        </w:rPr>
        <w:t xml:space="preserve"> La concesión de la subvención se notificará a AVALIA ARAGÓN, S.G.R. a través del Servicio de Notificaciones Electrónicas del Gobierno de Aragón, disponible en el enlace </w:t>
      </w:r>
      <w:hyperlink r:id="rId9" w:history="1">
        <w:r w:rsidRPr="006D5F65">
          <w:rPr>
            <w:rFonts w:eastAsia="Calibri" w:cs="Arial"/>
            <w:color w:val="0000FF"/>
            <w:szCs w:val="22"/>
            <w:u w:val="single"/>
            <w:lang w:eastAsia="en-US"/>
          </w:rPr>
          <w:t>https://ww.aragon.es/tramites/notificaciones-electronicas</w:t>
        </w:r>
      </w:hyperlink>
      <w:r w:rsidRPr="006D5F65">
        <w:rPr>
          <w:rFonts w:eastAsia="Calibri" w:cs="Arial"/>
          <w:szCs w:val="22"/>
          <w:lang w:eastAsia="en-US"/>
        </w:rPr>
        <w:t xml:space="preserve"> entendiéndose practicada en el momento en el que se produzca el acceso a su contenido, tal como establece el artículo 43.2 de la Ley 39/2015, de 1 de octubre, del Procedimiento Administrativo Común de las Administraciones Públicas.</w:t>
      </w:r>
    </w:p>
    <w:p w:rsidR="006D5F65" w:rsidRPr="006D5F65" w:rsidRDefault="006D5F65" w:rsidP="00B578B3">
      <w:pPr>
        <w:spacing w:before="240" w:after="360" w:line="360" w:lineRule="auto"/>
        <w:ind w:firstLine="0"/>
        <w:rPr>
          <w:rFonts w:eastAsia="Calibri" w:cs="Arial"/>
          <w:szCs w:val="22"/>
          <w:lang w:eastAsia="en-US"/>
        </w:rPr>
      </w:pPr>
      <w:r w:rsidRPr="006D5F65">
        <w:rPr>
          <w:rFonts w:eastAsia="Calibri" w:cs="Arial"/>
          <w:szCs w:val="22"/>
          <w:lang w:eastAsia="en-US"/>
        </w:rPr>
        <w:t xml:space="preserve">No obstante, si transcurridos diez días naturales desde la puesta a disposición de la notificación no se accede a su contenido, dicha notificación se entenderá rechazada, de conformidad con lo dispuesto en el artículo 43.2 de la Ley 39/2015, de 1 de octubre, dando </w:t>
      </w:r>
      <w:r w:rsidRPr="006D5F65">
        <w:rPr>
          <w:rFonts w:eastAsia="Calibri" w:cs="Arial"/>
          <w:szCs w:val="22"/>
          <w:lang w:eastAsia="en-US"/>
        </w:rPr>
        <w:lastRenderedPageBreak/>
        <w:t xml:space="preserve">por efectuado el trámite correspondiente y siguiéndose el procedimiento, al amparo de lo establecido en el artículo 41.5 de la Ley 39/2015. </w:t>
      </w:r>
    </w:p>
    <w:p w:rsidR="00EB5FC6" w:rsidRPr="00EB5FC6" w:rsidRDefault="00484FE0" w:rsidP="00B578B3">
      <w:pPr>
        <w:spacing w:before="240" w:after="360" w:line="360" w:lineRule="auto"/>
        <w:ind w:firstLine="0"/>
        <w:rPr>
          <w:rFonts w:eastAsia="Calibri" w:cs="Arial"/>
          <w:b/>
          <w:szCs w:val="22"/>
          <w:lang w:eastAsia="en-US"/>
        </w:rPr>
      </w:pPr>
      <w:r w:rsidRPr="00EB5FC6">
        <w:rPr>
          <w:rFonts w:eastAsia="Calibri" w:cs="Arial"/>
          <w:b/>
          <w:szCs w:val="22"/>
          <w:lang w:eastAsia="en-US"/>
        </w:rPr>
        <w:t xml:space="preserve">Quinto.- </w:t>
      </w:r>
      <w:r w:rsidR="00EB5FC6" w:rsidRPr="00EB5FC6">
        <w:rPr>
          <w:rFonts w:eastAsia="Calibri" w:cs="Arial"/>
          <w:szCs w:val="22"/>
          <w:lang w:eastAsia="en-US"/>
        </w:rPr>
        <w:t xml:space="preserve">En el plazo de 15 días hábiles desde que se notifique la resolución de concesión, AVALIA ARAGÓN, S.G.R. deberá manifestar la </w:t>
      </w:r>
      <w:r w:rsidR="00EB5FC6" w:rsidRPr="00D236F4">
        <w:rPr>
          <w:rFonts w:eastAsia="Calibri" w:cs="Arial"/>
          <w:szCs w:val="22"/>
          <w:lang w:eastAsia="en-US"/>
        </w:rPr>
        <w:t>aceptación</w:t>
      </w:r>
      <w:r w:rsidR="00EB5FC6" w:rsidRPr="00EB5FC6">
        <w:rPr>
          <w:rFonts w:eastAsia="Calibri" w:cs="Arial"/>
          <w:szCs w:val="22"/>
          <w:lang w:eastAsia="en-US"/>
        </w:rPr>
        <w:t xml:space="preserve"> de la subvención así como el compromiso de la entidad de destinar</w:t>
      </w:r>
      <w:r w:rsidR="00EB5FC6">
        <w:rPr>
          <w:rFonts w:eastAsia="Calibri" w:cs="Arial"/>
          <w:szCs w:val="22"/>
          <w:lang w:eastAsia="en-US"/>
        </w:rPr>
        <w:t>la</w:t>
      </w:r>
      <w:r w:rsidR="00EB5FC6" w:rsidRPr="00EB5FC6">
        <w:rPr>
          <w:rFonts w:eastAsia="Calibri" w:cs="Arial"/>
          <w:szCs w:val="22"/>
          <w:lang w:eastAsia="en-US"/>
        </w:rPr>
        <w:t xml:space="preserve"> a su Fondo de Provisiones Técnicas, y, a estos efectos, certificará la toma de razón en su contabilidad en las cuentas correspondientes.</w:t>
      </w:r>
    </w:p>
    <w:p w:rsidR="00EB5FC6" w:rsidRDefault="00D236F4" w:rsidP="00B578B3">
      <w:pPr>
        <w:spacing w:before="240" w:after="360" w:line="360" w:lineRule="auto"/>
        <w:ind w:firstLine="0"/>
        <w:rPr>
          <w:rFonts w:eastAsia="Calibri" w:cs="Arial"/>
          <w:szCs w:val="22"/>
          <w:lang w:eastAsia="en-US"/>
        </w:rPr>
      </w:pPr>
      <w:r>
        <w:rPr>
          <w:rFonts w:eastAsia="Calibri" w:cs="Arial"/>
          <w:szCs w:val="22"/>
          <w:lang w:eastAsia="en-US"/>
        </w:rPr>
        <w:t>Su presentación se realizará</w:t>
      </w:r>
      <w:r w:rsidR="00EB5FC6" w:rsidRPr="006D5F65">
        <w:rPr>
          <w:rFonts w:eastAsia="Calibri" w:cs="Arial"/>
          <w:szCs w:val="22"/>
          <w:lang w:eastAsia="en-US"/>
        </w:rPr>
        <w:t xml:space="preserve"> de manera telemática a través del Servicio de Soporte de Tramitación</w:t>
      </w:r>
      <w:r>
        <w:rPr>
          <w:rFonts w:eastAsia="Calibri" w:cs="Arial"/>
          <w:szCs w:val="22"/>
          <w:lang w:eastAsia="en-US"/>
        </w:rPr>
        <w:t xml:space="preserve"> </w:t>
      </w:r>
      <w:hyperlink r:id="rId10" w:history="1">
        <w:r w:rsidR="00EB5FC6" w:rsidRPr="006D5F65">
          <w:rPr>
            <w:rFonts w:eastAsia="Calibri" w:cs="Arial"/>
            <w:color w:val="0000FF"/>
            <w:szCs w:val="22"/>
            <w:u w:val="single"/>
            <w:lang w:eastAsia="en-US"/>
          </w:rPr>
          <w:t>www.aragon.es/tramites/aportacion-de-documentos-a-procedimientos-en-tramite</w:t>
        </w:r>
      </w:hyperlink>
      <w:r w:rsidR="00EB5FC6" w:rsidRPr="006D5F65">
        <w:rPr>
          <w:rFonts w:eastAsia="Calibri" w:cs="Arial"/>
          <w:color w:val="0000FF"/>
          <w:szCs w:val="22"/>
          <w:lang w:eastAsia="en-US"/>
        </w:rPr>
        <w:t xml:space="preserve"> </w:t>
      </w:r>
      <w:r w:rsidR="00EB5FC6" w:rsidRPr="006D5F65">
        <w:rPr>
          <w:rFonts w:eastAsia="Calibri" w:cs="Arial"/>
          <w:szCs w:val="22"/>
          <w:lang w:eastAsia="en-US"/>
        </w:rPr>
        <w:t>desde el apartado «Aportaciones». Deberán indicar como destinatario al Departamento de Economía, Planificación y Empleo, Dirección General de Economía.</w:t>
      </w:r>
    </w:p>
    <w:p w:rsidR="00484FE0" w:rsidRPr="00484FE0" w:rsidRDefault="00484FE0" w:rsidP="00B578B3">
      <w:pPr>
        <w:spacing w:before="240" w:after="360" w:line="360" w:lineRule="auto"/>
        <w:ind w:firstLine="0"/>
        <w:rPr>
          <w:rFonts w:eastAsia="Calibri" w:cs="Arial"/>
          <w:szCs w:val="22"/>
          <w:lang w:eastAsia="en-US"/>
        </w:rPr>
      </w:pPr>
      <w:r w:rsidRPr="00D236F4">
        <w:rPr>
          <w:rFonts w:eastAsia="Calibri" w:cs="Arial"/>
          <w:b/>
          <w:szCs w:val="22"/>
          <w:lang w:eastAsia="en-US"/>
        </w:rPr>
        <w:t xml:space="preserve">Sexto.- </w:t>
      </w:r>
      <w:r w:rsidR="00D236F4" w:rsidRPr="00D236F4">
        <w:rPr>
          <w:rFonts w:eastAsia="Calibri" w:cs="Arial"/>
          <w:szCs w:val="22"/>
          <w:lang w:eastAsia="en-US"/>
        </w:rPr>
        <w:t>U</w:t>
      </w:r>
      <w:r w:rsidRPr="00D236F4">
        <w:rPr>
          <w:rFonts w:eastAsia="Calibri" w:cs="Arial"/>
          <w:szCs w:val="22"/>
          <w:lang w:eastAsia="en-US"/>
        </w:rPr>
        <w:t xml:space="preserve">na vez percibida la subvención, </w:t>
      </w:r>
      <w:r w:rsidR="00D236F4">
        <w:rPr>
          <w:rFonts w:eastAsia="Calibri" w:cs="Arial"/>
          <w:szCs w:val="22"/>
          <w:lang w:eastAsia="en-US"/>
        </w:rPr>
        <w:t xml:space="preserve">AVALIA ARAGÓN, S.G.R. </w:t>
      </w:r>
      <w:r w:rsidRPr="00D236F4">
        <w:rPr>
          <w:rFonts w:eastAsia="Calibri" w:cs="Arial"/>
          <w:szCs w:val="22"/>
          <w:lang w:eastAsia="en-US"/>
        </w:rPr>
        <w:t xml:space="preserve">deberá remitir, </w:t>
      </w:r>
      <w:r w:rsidR="007A3A32" w:rsidRPr="00D236F4">
        <w:rPr>
          <w:rFonts w:eastAsia="Calibri" w:cs="Arial"/>
          <w:szCs w:val="22"/>
          <w:lang w:eastAsia="en-US"/>
        </w:rPr>
        <w:t>antes del 24 de octubre</w:t>
      </w:r>
      <w:r w:rsidRPr="00D236F4">
        <w:rPr>
          <w:rFonts w:eastAsia="Calibri" w:cs="Arial"/>
          <w:szCs w:val="22"/>
          <w:lang w:eastAsia="en-US"/>
        </w:rPr>
        <w:t xml:space="preserve"> de 2022, certificado</w:t>
      </w:r>
      <w:r w:rsidR="00D236F4">
        <w:rPr>
          <w:rFonts w:eastAsia="Calibri" w:cs="Arial"/>
          <w:szCs w:val="22"/>
          <w:lang w:eastAsia="en-US"/>
        </w:rPr>
        <w:t xml:space="preserve"> de la</w:t>
      </w:r>
      <w:r w:rsidR="007A3A32" w:rsidRPr="00D236F4">
        <w:rPr>
          <w:rFonts w:eastAsia="Calibri" w:cs="Arial"/>
          <w:szCs w:val="22"/>
          <w:lang w:eastAsia="en-US"/>
        </w:rPr>
        <w:t xml:space="preserve"> toma de razón en su contabilidad en las cuentas correspondientes.</w:t>
      </w:r>
    </w:p>
    <w:p w:rsidR="006D5F65" w:rsidRPr="006D5F65" w:rsidRDefault="00BE6E27" w:rsidP="00B578B3">
      <w:pPr>
        <w:spacing w:before="240" w:after="360" w:line="360" w:lineRule="auto"/>
        <w:ind w:firstLine="0"/>
        <w:rPr>
          <w:rFonts w:cs="Arial"/>
          <w:color w:val="auto"/>
          <w:szCs w:val="22"/>
          <w:lang w:eastAsia="es-ES"/>
        </w:rPr>
      </w:pPr>
      <w:r w:rsidRPr="00D236F4">
        <w:rPr>
          <w:rFonts w:cs="Arial"/>
          <w:b/>
          <w:color w:val="auto"/>
          <w:szCs w:val="22"/>
          <w:lang w:eastAsia="es-ES"/>
        </w:rPr>
        <w:t>Séptimo</w:t>
      </w:r>
      <w:r w:rsidR="006D5F65" w:rsidRPr="00D236F4">
        <w:rPr>
          <w:rFonts w:cs="Arial"/>
          <w:b/>
          <w:color w:val="auto"/>
          <w:szCs w:val="22"/>
          <w:lang w:eastAsia="es-ES"/>
        </w:rPr>
        <w:t>-</w:t>
      </w:r>
      <w:r w:rsidR="006D5F65" w:rsidRPr="006D5F65">
        <w:rPr>
          <w:rFonts w:cs="Arial"/>
          <w:color w:val="auto"/>
          <w:szCs w:val="22"/>
          <w:lang w:eastAsia="es-ES"/>
        </w:rPr>
        <w:t xml:space="preserve"> AVALIA ARAGÓN, S.G.R. estará sujeta al control financiero que realice la Intervención General de la Administración de la Comunidad Autónoma de Aragón, conforme a lo dispuesto en el Reglamento que desarrolla el control de la actividad económica y financiera de la Administración, de los organismos públicos </w:t>
      </w:r>
      <w:r w:rsidR="006D5F65" w:rsidRPr="00B43369">
        <w:rPr>
          <w:rFonts w:cs="Arial"/>
          <w:color w:val="auto"/>
          <w:szCs w:val="22"/>
          <w:lang w:eastAsia="es-ES"/>
        </w:rPr>
        <w:t>y de las empresas de la Comunidad Autónoma de Aragón,</w:t>
      </w:r>
      <w:r w:rsidR="00B43369" w:rsidRPr="00B43369">
        <w:rPr>
          <w:rFonts w:cs="Arial"/>
          <w:color w:val="auto"/>
          <w:szCs w:val="22"/>
          <w:lang w:eastAsia="es-ES"/>
        </w:rPr>
        <w:t xml:space="preserve"> </w:t>
      </w:r>
      <w:r w:rsidR="006D5F65" w:rsidRPr="00B43369">
        <w:rPr>
          <w:rFonts w:cs="Arial"/>
          <w:color w:val="auto"/>
          <w:szCs w:val="22"/>
          <w:lang w:eastAsia="es-ES"/>
        </w:rPr>
        <w:t>aprobado por Decreto 23/2003, de</w:t>
      </w:r>
      <w:r w:rsidR="006D5F65" w:rsidRPr="006D5F65">
        <w:rPr>
          <w:rFonts w:cs="Arial"/>
          <w:color w:val="auto"/>
          <w:szCs w:val="22"/>
          <w:lang w:eastAsia="es-ES"/>
        </w:rPr>
        <w:t xml:space="preserve"> 28 de enero, del Gobierno de Aragón</w:t>
      </w:r>
      <w:r w:rsidR="00B43369">
        <w:rPr>
          <w:rFonts w:cs="Arial"/>
          <w:color w:val="auto"/>
          <w:szCs w:val="22"/>
          <w:lang w:eastAsia="es-ES"/>
        </w:rPr>
        <w:t>.</w:t>
      </w:r>
    </w:p>
    <w:p w:rsidR="006D5F65" w:rsidRPr="006D5F65" w:rsidRDefault="006D5F65" w:rsidP="00B578B3">
      <w:pPr>
        <w:spacing w:before="240" w:after="360" w:line="360" w:lineRule="auto"/>
        <w:ind w:firstLine="0"/>
        <w:rPr>
          <w:rFonts w:eastAsia="Calibri" w:cs="Arial"/>
          <w:szCs w:val="22"/>
          <w:lang w:eastAsia="en-US"/>
        </w:rPr>
      </w:pPr>
      <w:r w:rsidRPr="006D5F65">
        <w:rPr>
          <w:rFonts w:eastAsia="Calibri" w:cs="Arial"/>
          <w:szCs w:val="22"/>
          <w:lang w:eastAsia="en-US"/>
        </w:rPr>
        <w:t xml:space="preserve">Contra la presente Orden, que pone fin a la vía administrativa en virtud de lo dispuesto en el artículo 60 de la Ley 5/2021, de 29 de junio, de Organización y Régimen Jurídico del Sector Público Autonómico de Aragón, cabrá la interposición potestativa del recurso de reposición ante el mismo órgano que lo hubiera dictado de conformidad con lo dispuesto en el artículo 64 de la citada ley, en el plazo de un mes a contar desde el día siguiente al de su notificación, de conformidad con los artículos 123 y 124 de la Ley 39/2015, de 1 de octubre, o bien, recurso contencioso-administrativo, ante la Sala de lo Contencioso Administrativo del Tribunal Superior de Justicia de Aragón, en el plazo de dos meses a contar desde el día </w:t>
      </w:r>
      <w:r w:rsidRPr="006D5F65">
        <w:rPr>
          <w:rFonts w:eastAsia="Calibri" w:cs="Arial"/>
          <w:szCs w:val="22"/>
          <w:lang w:eastAsia="en-US"/>
        </w:rPr>
        <w:lastRenderedPageBreak/>
        <w:t>siguiente al de su notificación, de conformidad con lo dispuesto en la Ley 29/1998, de 13 de julio, de la Jurisdicción Contencioso Administrativa, sin que ambos puedan simultanearse</w:t>
      </w:r>
      <w:r w:rsidR="00B43369">
        <w:rPr>
          <w:rFonts w:eastAsia="Calibri" w:cs="Arial"/>
          <w:szCs w:val="22"/>
          <w:lang w:eastAsia="en-US"/>
        </w:rPr>
        <w:t>.</w:t>
      </w:r>
    </w:p>
    <w:p w:rsidR="006D5F65" w:rsidRDefault="006D5F65" w:rsidP="00412419">
      <w:pPr>
        <w:spacing w:before="240" w:after="120" w:line="360" w:lineRule="auto"/>
        <w:ind w:firstLine="0"/>
        <w:jc w:val="center"/>
        <w:rPr>
          <w:rFonts w:cs="Arial"/>
          <w:color w:val="auto"/>
          <w:szCs w:val="22"/>
          <w:lang w:eastAsia="es-ES"/>
        </w:rPr>
      </w:pPr>
      <w:r w:rsidRPr="006D5F65">
        <w:rPr>
          <w:rFonts w:cs="Arial"/>
          <w:color w:val="auto"/>
          <w:szCs w:val="22"/>
          <w:lang w:eastAsia="es-ES"/>
        </w:rPr>
        <w:t>Firmado electrónicamente</w:t>
      </w:r>
    </w:p>
    <w:p w:rsidR="006D5F65" w:rsidRPr="006D5F65" w:rsidRDefault="006D5F65" w:rsidP="00412419">
      <w:pPr>
        <w:spacing w:after="0" w:line="240" w:lineRule="auto"/>
        <w:ind w:firstLine="0"/>
        <w:jc w:val="center"/>
        <w:rPr>
          <w:rFonts w:cs="Arial"/>
          <w:color w:val="auto"/>
          <w:szCs w:val="22"/>
          <w:lang w:eastAsia="es-ES"/>
        </w:rPr>
      </w:pPr>
      <w:r w:rsidRPr="006D5F65">
        <w:rPr>
          <w:rFonts w:cs="Arial"/>
          <w:color w:val="auto"/>
          <w:szCs w:val="22"/>
          <w:lang w:eastAsia="es-ES"/>
        </w:rPr>
        <w:t>Marta Gastón Menal</w:t>
      </w:r>
    </w:p>
    <w:p w:rsidR="006D5F65" w:rsidRDefault="006D5F65" w:rsidP="00412419">
      <w:pPr>
        <w:spacing w:before="240" w:after="360" w:line="240" w:lineRule="auto"/>
        <w:ind w:firstLine="0"/>
        <w:jc w:val="center"/>
      </w:pPr>
      <w:r w:rsidRPr="006D5F65">
        <w:rPr>
          <w:rFonts w:cs="Arial"/>
          <w:b/>
          <w:color w:val="auto"/>
          <w:szCs w:val="22"/>
          <w:lang w:eastAsia="es-ES"/>
        </w:rPr>
        <w:t>CONSEJERA DE ECONOMÍA, PLANIFICACIÓN Y EMPLEO</w:t>
      </w:r>
    </w:p>
    <w:sectPr w:rsidR="006D5F65" w:rsidSect="00050E5D">
      <w:headerReference w:type="even" r:id="rId11"/>
      <w:headerReference w:type="default" r:id="rId12"/>
      <w:footerReference w:type="even" r:id="rId13"/>
      <w:footerReference w:type="default" r:id="rId14"/>
      <w:headerReference w:type="first" r:id="rId15"/>
      <w:footerReference w:type="first" r:id="rId16"/>
      <w:type w:val="continuous"/>
      <w:pgSz w:w="11900" w:h="16840"/>
      <w:pgMar w:top="2892" w:right="1134" w:bottom="851" w:left="1701" w:header="2835" w:footer="1134"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FED" w:rsidRDefault="00424FED">
      <w:r>
        <w:separator/>
      </w:r>
    </w:p>
  </w:endnote>
  <w:endnote w:type="continuationSeparator" w:id="0">
    <w:p w:rsidR="00424FED" w:rsidRDefault="0042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F98" w:rsidRDefault="00C97F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F98" w:rsidRDefault="00C97F9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F98" w:rsidRDefault="00C97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FED" w:rsidRDefault="00424FED">
      <w:r>
        <w:separator/>
      </w:r>
    </w:p>
  </w:footnote>
  <w:footnote w:type="continuationSeparator" w:id="0">
    <w:p w:rsidR="00424FED" w:rsidRDefault="00424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0F5AF3">
    <w:pPr>
      <w:pStyle w:val="Encabezado"/>
    </w:pPr>
    <w:r>
      <w:rPr>
        <w:noProof/>
        <w:lang w:eastAsia="es-ES"/>
      </w:rPr>
      <w:drawing>
        <wp:anchor distT="0" distB="0" distL="114300" distR="114300" simplePos="0" relativeHeight="251658752" behindDoc="0" locked="0" layoutInCell="1" allowOverlap="1">
          <wp:simplePos x="0" y="0"/>
          <wp:positionH relativeFrom="page">
            <wp:posOffset>635</wp:posOffset>
          </wp:positionH>
          <wp:positionV relativeFrom="page">
            <wp:posOffset>0</wp:posOffset>
          </wp:positionV>
          <wp:extent cx="7579995" cy="1630680"/>
          <wp:effectExtent l="0" t="0" r="0" b="0"/>
          <wp:wrapNone/>
          <wp:docPr id="9"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0F5AF3"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simplePos x="0" y="0"/>
          <wp:positionH relativeFrom="page">
            <wp:posOffset>0</wp:posOffset>
          </wp:positionH>
          <wp:positionV relativeFrom="page">
            <wp:posOffset>0</wp:posOffset>
          </wp:positionV>
          <wp:extent cx="7579995" cy="1630680"/>
          <wp:effectExtent l="0" t="0" r="0" b="0"/>
          <wp:wrapNone/>
          <wp:docPr id="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F7B" w:rsidRDefault="000F5AF3">
    <w:pPr>
      <w:pStyle w:val="Encabezado"/>
    </w:pPr>
    <w:r>
      <w:rPr>
        <w:noProof/>
        <w:lang w:eastAsia="es-ES"/>
      </w:rPr>
      <w:drawing>
        <wp:anchor distT="0" distB="0" distL="114300" distR="114300" simplePos="0" relativeHeight="251656704" behindDoc="1" locked="0" layoutInCell="1" allowOverlap="1">
          <wp:simplePos x="0" y="0"/>
          <wp:positionH relativeFrom="page">
            <wp:posOffset>0</wp:posOffset>
          </wp:positionH>
          <wp:positionV relativeFrom="page">
            <wp:posOffset>0</wp:posOffset>
          </wp:positionV>
          <wp:extent cx="7567295" cy="1619885"/>
          <wp:effectExtent l="0" t="0" r="0" b="0"/>
          <wp:wrapNone/>
          <wp:docPr id="7"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7295" cy="1619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26F590D"/>
    <w:multiLevelType w:val="hybridMultilevel"/>
    <w:tmpl w:val="29FE6C8A"/>
    <w:lvl w:ilvl="0" w:tplc="03BCB194">
      <w:start w:val="1"/>
      <w:numFmt w:val="bullet"/>
      <w:pStyle w:val="Listavistosa-nfasis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156C0AA6"/>
    <w:multiLevelType w:val="hybridMultilevel"/>
    <w:tmpl w:val="7708D360"/>
    <w:lvl w:ilvl="0" w:tplc="2506DE1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ED45AA8"/>
    <w:multiLevelType w:val="hybridMultilevel"/>
    <w:tmpl w:val="5ECE59E6"/>
    <w:lvl w:ilvl="0" w:tplc="53CE895E">
      <w:start w:val="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0"/>
  </w:num>
  <w:num w:numId="4">
    <w:abstractNumId w:val="20"/>
  </w:num>
  <w:num w:numId="5">
    <w:abstractNumId w:val="19"/>
  </w:num>
  <w:num w:numId="6">
    <w:abstractNumId w:val="15"/>
  </w:num>
  <w:num w:numId="7">
    <w:abstractNumId w:val="12"/>
  </w:num>
  <w:num w:numId="8">
    <w:abstractNumId w:val="16"/>
  </w:num>
  <w:num w:numId="9">
    <w:abstractNumId w:val="17"/>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3"/>
  </w:num>
  <w:num w:numId="20">
    <w:abstractNumId w:val="22"/>
  </w:num>
  <w:num w:numId="21">
    <w:abstractNumId w:val="21"/>
  </w:num>
  <w:num w:numId="22">
    <w:abstractNumId w:val="0"/>
  </w:num>
  <w:num w:numId="23">
    <w:abstractNumId w:val="2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10858"/>
    <w:rsid w:val="0002076F"/>
    <w:rsid w:val="00023236"/>
    <w:rsid w:val="00027ABF"/>
    <w:rsid w:val="000336C5"/>
    <w:rsid w:val="00042598"/>
    <w:rsid w:val="00045BF9"/>
    <w:rsid w:val="00050E5D"/>
    <w:rsid w:val="0005593E"/>
    <w:rsid w:val="00056086"/>
    <w:rsid w:val="000639EC"/>
    <w:rsid w:val="00070F38"/>
    <w:rsid w:val="00076B03"/>
    <w:rsid w:val="0008664F"/>
    <w:rsid w:val="000B6FF1"/>
    <w:rsid w:val="000C1FCA"/>
    <w:rsid w:val="000C2DEF"/>
    <w:rsid w:val="000C67B4"/>
    <w:rsid w:val="000E61C9"/>
    <w:rsid w:val="000F5AF3"/>
    <w:rsid w:val="00102258"/>
    <w:rsid w:val="0011273F"/>
    <w:rsid w:val="00114FC4"/>
    <w:rsid w:val="00136B0E"/>
    <w:rsid w:val="00156555"/>
    <w:rsid w:val="00156B70"/>
    <w:rsid w:val="0017119A"/>
    <w:rsid w:val="001739BA"/>
    <w:rsid w:val="00190D15"/>
    <w:rsid w:val="0019102F"/>
    <w:rsid w:val="001A0BCA"/>
    <w:rsid w:val="001A5C35"/>
    <w:rsid w:val="001B21E9"/>
    <w:rsid w:val="001B6E30"/>
    <w:rsid w:val="001C24F9"/>
    <w:rsid w:val="001D1778"/>
    <w:rsid w:val="001D63F2"/>
    <w:rsid w:val="001E652B"/>
    <w:rsid w:val="00201A3F"/>
    <w:rsid w:val="002063B0"/>
    <w:rsid w:val="00211F9B"/>
    <w:rsid w:val="0021606A"/>
    <w:rsid w:val="00216B01"/>
    <w:rsid w:val="00221B24"/>
    <w:rsid w:val="00231EBD"/>
    <w:rsid w:val="002615F9"/>
    <w:rsid w:val="002664EB"/>
    <w:rsid w:val="00267CC4"/>
    <w:rsid w:val="00271E70"/>
    <w:rsid w:val="00276D71"/>
    <w:rsid w:val="00282BF6"/>
    <w:rsid w:val="00291720"/>
    <w:rsid w:val="002947D5"/>
    <w:rsid w:val="00297E82"/>
    <w:rsid w:val="002B0CCF"/>
    <w:rsid w:val="002B1141"/>
    <w:rsid w:val="002B34D9"/>
    <w:rsid w:val="002B5ABD"/>
    <w:rsid w:val="002C6C0C"/>
    <w:rsid w:val="002C7AB1"/>
    <w:rsid w:val="002D5E7D"/>
    <w:rsid w:val="002F0848"/>
    <w:rsid w:val="002F109C"/>
    <w:rsid w:val="002F1D46"/>
    <w:rsid w:val="002F42AA"/>
    <w:rsid w:val="002F60E8"/>
    <w:rsid w:val="002F7B0F"/>
    <w:rsid w:val="00311A37"/>
    <w:rsid w:val="00314260"/>
    <w:rsid w:val="0032353C"/>
    <w:rsid w:val="0034442F"/>
    <w:rsid w:val="00351C3B"/>
    <w:rsid w:val="00355BC3"/>
    <w:rsid w:val="0035641E"/>
    <w:rsid w:val="00360755"/>
    <w:rsid w:val="00363F27"/>
    <w:rsid w:val="0037226D"/>
    <w:rsid w:val="00374814"/>
    <w:rsid w:val="00375490"/>
    <w:rsid w:val="00385AF7"/>
    <w:rsid w:val="00397369"/>
    <w:rsid w:val="003B278E"/>
    <w:rsid w:val="003B2988"/>
    <w:rsid w:val="003B2F3A"/>
    <w:rsid w:val="003B3934"/>
    <w:rsid w:val="003D7F7B"/>
    <w:rsid w:val="003E213A"/>
    <w:rsid w:val="003E4B80"/>
    <w:rsid w:val="003F0721"/>
    <w:rsid w:val="003F1C14"/>
    <w:rsid w:val="003F4824"/>
    <w:rsid w:val="003F6BC3"/>
    <w:rsid w:val="00402C44"/>
    <w:rsid w:val="00412419"/>
    <w:rsid w:val="0042350B"/>
    <w:rsid w:val="00424FED"/>
    <w:rsid w:val="00436535"/>
    <w:rsid w:val="004408A9"/>
    <w:rsid w:val="00466C7C"/>
    <w:rsid w:val="00470FA4"/>
    <w:rsid w:val="00471276"/>
    <w:rsid w:val="004756DC"/>
    <w:rsid w:val="00480F59"/>
    <w:rsid w:val="00483A79"/>
    <w:rsid w:val="00484FE0"/>
    <w:rsid w:val="004A32D7"/>
    <w:rsid w:val="004B07BB"/>
    <w:rsid w:val="004B1386"/>
    <w:rsid w:val="004B14E2"/>
    <w:rsid w:val="004B302B"/>
    <w:rsid w:val="004B65F2"/>
    <w:rsid w:val="004C1703"/>
    <w:rsid w:val="004C4A1D"/>
    <w:rsid w:val="004E3D9C"/>
    <w:rsid w:val="004E71B5"/>
    <w:rsid w:val="004F2E7D"/>
    <w:rsid w:val="0051043F"/>
    <w:rsid w:val="00511C1F"/>
    <w:rsid w:val="005135A9"/>
    <w:rsid w:val="00525255"/>
    <w:rsid w:val="0053699A"/>
    <w:rsid w:val="00542681"/>
    <w:rsid w:val="00554126"/>
    <w:rsid w:val="00561F65"/>
    <w:rsid w:val="005720F1"/>
    <w:rsid w:val="00586AD2"/>
    <w:rsid w:val="005901FD"/>
    <w:rsid w:val="00590873"/>
    <w:rsid w:val="00594A62"/>
    <w:rsid w:val="005A377E"/>
    <w:rsid w:val="005B1AC4"/>
    <w:rsid w:val="005B31D0"/>
    <w:rsid w:val="005B5120"/>
    <w:rsid w:val="005C1949"/>
    <w:rsid w:val="005C53AB"/>
    <w:rsid w:val="005D3684"/>
    <w:rsid w:val="005D4561"/>
    <w:rsid w:val="005D4787"/>
    <w:rsid w:val="005E349A"/>
    <w:rsid w:val="005F05A4"/>
    <w:rsid w:val="005F1193"/>
    <w:rsid w:val="006008F0"/>
    <w:rsid w:val="00614F4F"/>
    <w:rsid w:val="0061679C"/>
    <w:rsid w:val="00616EDD"/>
    <w:rsid w:val="0062117A"/>
    <w:rsid w:val="00624BA7"/>
    <w:rsid w:val="00626D41"/>
    <w:rsid w:val="00655251"/>
    <w:rsid w:val="00656FC3"/>
    <w:rsid w:val="006619B2"/>
    <w:rsid w:val="00663668"/>
    <w:rsid w:val="00667967"/>
    <w:rsid w:val="0067159C"/>
    <w:rsid w:val="006750D3"/>
    <w:rsid w:val="00683478"/>
    <w:rsid w:val="0068633A"/>
    <w:rsid w:val="00687540"/>
    <w:rsid w:val="006879FC"/>
    <w:rsid w:val="006C1321"/>
    <w:rsid w:val="006C589F"/>
    <w:rsid w:val="006D5F65"/>
    <w:rsid w:val="006E4865"/>
    <w:rsid w:val="006F73F4"/>
    <w:rsid w:val="00705092"/>
    <w:rsid w:val="0073713D"/>
    <w:rsid w:val="00741701"/>
    <w:rsid w:val="00752167"/>
    <w:rsid w:val="00761DED"/>
    <w:rsid w:val="0076664B"/>
    <w:rsid w:val="0077053C"/>
    <w:rsid w:val="007727CB"/>
    <w:rsid w:val="00775B07"/>
    <w:rsid w:val="00786A0E"/>
    <w:rsid w:val="007A3A32"/>
    <w:rsid w:val="007B1D6E"/>
    <w:rsid w:val="007C1CBF"/>
    <w:rsid w:val="007E4E2E"/>
    <w:rsid w:val="007F433B"/>
    <w:rsid w:val="007F6270"/>
    <w:rsid w:val="0080085F"/>
    <w:rsid w:val="008376FB"/>
    <w:rsid w:val="008441D1"/>
    <w:rsid w:val="008571A1"/>
    <w:rsid w:val="008576D8"/>
    <w:rsid w:val="008666AD"/>
    <w:rsid w:val="0086675C"/>
    <w:rsid w:val="00887A82"/>
    <w:rsid w:val="00892D3E"/>
    <w:rsid w:val="008A60AE"/>
    <w:rsid w:val="008A7AF0"/>
    <w:rsid w:val="008B2671"/>
    <w:rsid w:val="008B38A3"/>
    <w:rsid w:val="008B4E46"/>
    <w:rsid w:val="008C241A"/>
    <w:rsid w:val="008C48F7"/>
    <w:rsid w:val="008C5FA1"/>
    <w:rsid w:val="008F0C4C"/>
    <w:rsid w:val="008F2150"/>
    <w:rsid w:val="009018D8"/>
    <w:rsid w:val="00902CA2"/>
    <w:rsid w:val="00910622"/>
    <w:rsid w:val="00926F1C"/>
    <w:rsid w:val="0093496A"/>
    <w:rsid w:val="00944E54"/>
    <w:rsid w:val="0094602E"/>
    <w:rsid w:val="00952D3B"/>
    <w:rsid w:val="0096017F"/>
    <w:rsid w:val="009625A4"/>
    <w:rsid w:val="00964970"/>
    <w:rsid w:val="00986201"/>
    <w:rsid w:val="0098745B"/>
    <w:rsid w:val="009901B6"/>
    <w:rsid w:val="00991E85"/>
    <w:rsid w:val="009A5952"/>
    <w:rsid w:val="009B41C9"/>
    <w:rsid w:val="009B73D3"/>
    <w:rsid w:val="009E04AD"/>
    <w:rsid w:val="009E5C05"/>
    <w:rsid w:val="009E74E9"/>
    <w:rsid w:val="00A04984"/>
    <w:rsid w:val="00A07DAA"/>
    <w:rsid w:val="00A3739D"/>
    <w:rsid w:val="00A40108"/>
    <w:rsid w:val="00A45D3E"/>
    <w:rsid w:val="00A57BB7"/>
    <w:rsid w:val="00A83067"/>
    <w:rsid w:val="00A963F4"/>
    <w:rsid w:val="00AA72A9"/>
    <w:rsid w:val="00AB08B0"/>
    <w:rsid w:val="00AB2BE0"/>
    <w:rsid w:val="00AC6E6A"/>
    <w:rsid w:val="00AD0462"/>
    <w:rsid w:val="00AE5C89"/>
    <w:rsid w:val="00AE751B"/>
    <w:rsid w:val="00B1668D"/>
    <w:rsid w:val="00B16CBE"/>
    <w:rsid w:val="00B310D5"/>
    <w:rsid w:val="00B37031"/>
    <w:rsid w:val="00B43369"/>
    <w:rsid w:val="00B45424"/>
    <w:rsid w:val="00B52144"/>
    <w:rsid w:val="00B578B3"/>
    <w:rsid w:val="00B73A6F"/>
    <w:rsid w:val="00B850D5"/>
    <w:rsid w:val="00B93383"/>
    <w:rsid w:val="00B946D1"/>
    <w:rsid w:val="00BA7837"/>
    <w:rsid w:val="00BE6E27"/>
    <w:rsid w:val="00BE6F40"/>
    <w:rsid w:val="00C11F92"/>
    <w:rsid w:val="00C45257"/>
    <w:rsid w:val="00C47666"/>
    <w:rsid w:val="00C544D3"/>
    <w:rsid w:val="00C574DF"/>
    <w:rsid w:val="00C57826"/>
    <w:rsid w:val="00C77D67"/>
    <w:rsid w:val="00C9356A"/>
    <w:rsid w:val="00C9578F"/>
    <w:rsid w:val="00C96E3F"/>
    <w:rsid w:val="00C97F98"/>
    <w:rsid w:val="00CA6F16"/>
    <w:rsid w:val="00CB0D24"/>
    <w:rsid w:val="00CC04E5"/>
    <w:rsid w:val="00CC3C14"/>
    <w:rsid w:val="00CD5BAA"/>
    <w:rsid w:val="00D1314D"/>
    <w:rsid w:val="00D236F4"/>
    <w:rsid w:val="00D258BE"/>
    <w:rsid w:val="00D25FFF"/>
    <w:rsid w:val="00D37D0A"/>
    <w:rsid w:val="00D462D1"/>
    <w:rsid w:val="00D472BB"/>
    <w:rsid w:val="00D75C7E"/>
    <w:rsid w:val="00D831EB"/>
    <w:rsid w:val="00D863D0"/>
    <w:rsid w:val="00D91161"/>
    <w:rsid w:val="00D9399A"/>
    <w:rsid w:val="00DA76F2"/>
    <w:rsid w:val="00DB5435"/>
    <w:rsid w:val="00DB7CD4"/>
    <w:rsid w:val="00DD03C1"/>
    <w:rsid w:val="00DD2FEB"/>
    <w:rsid w:val="00DD7807"/>
    <w:rsid w:val="00DE0D6C"/>
    <w:rsid w:val="00DE5C53"/>
    <w:rsid w:val="00DF409E"/>
    <w:rsid w:val="00E52958"/>
    <w:rsid w:val="00E52BCC"/>
    <w:rsid w:val="00E57218"/>
    <w:rsid w:val="00E662E3"/>
    <w:rsid w:val="00E82075"/>
    <w:rsid w:val="00E83766"/>
    <w:rsid w:val="00E928AD"/>
    <w:rsid w:val="00E9762F"/>
    <w:rsid w:val="00EB5FC6"/>
    <w:rsid w:val="00EC018F"/>
    <w:rsid w:val="00ED183F"/>
    <w:rsid w:val="00ED4A6C"/>
    <w:rsid w:val="00ED7545"/>
    <w:rsid w:val="00EF7A28"/>
    <w:rsid w:val="00F00DED"/>
    <w:rsid w:val="00F013BD"/>
    <w:rsid w:val="00F05081"/>
    <w:rsid w:val="00F06F0F"/>
    <w:rsid w:val="00F10418"/>
    <w:rsid w:val="00F41DF4"/>
    <w:rsid w:val="00F43E16"/>
    <w:rsid w:val="00F7122B"/>
    <w:rsid w:val="00F76DDD"/>
    <w:rsid w:val="00F80949"/>
    <w:rsid w:val="00F811F6"/>
    <w:rsid w:val="00F84CC1"/>
    <w:rsid w:val="00F937E5"/>
    <w:rsid w:val="00F956A1"/>
    <w:rsid w:val="00FA7911"/>
    <w:rsid w:val="00FA7FEC"/>
    <w:rsid w:val="00FB55E0"/>
    <w:rsid w:val="00FC1CF4"/>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15:docId w15:val="{3F43B17E-C7A7-4F43-B39A-96856CD66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semiHidden="1" w:uiPriority="73" w:unhideWhenUsed="1"/>
    <w:lsdException w:name="Plain Table 3" w:uiPriority="19"/>
    <w:lsdException w:name="Plain Table 4" w:uiPriority="21"/>
    <w:lsdException w:name="Plain Table 5" w:uiPriority="31"/>
    <w:lsdException w:name="Grid Table Light" w:uiPriority="32"/>
    <w:lsdException w:name="Grid Table 1 Light" w:uiPriority="33"/>
    <w:lsdException w:name="Grid Table 2" w:semiHidden="1" w:uiPriority="37" w:unhideWhenUsed="1"/>
    <w:lsdException w:name="Grid Table 3" w:semiHidden="1" w:uiPriority="39" w:unhideWhenUsed="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484FE0"/>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vistosa-nfasis1">
    <w:name w:val="Colorful List Accent 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styleId="Cuadrculamedia2">
    <w:name w:val="Medium Grid 2"/>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styleId="Cuadrculavistosa-nfasis1">
    <w:name w:val="Colorful Grid Accent 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
    <w:uiPriority w:val="29"/>
    <w:rsid w:val="007727CB"/>
    <w:rPr>
      <w:rFonts w:ascii="Arial" w:hAnsi="Arial"/>
      <w:i/>
      <w:iCs/>
      <w:color w:val="000000"/>
      <w:sz w:val="21"/>
      <w:szCs w:val="24"/>
      <w:lang w:val="es-ES"/>
    </w:rPr>
  </w:style>
  <w:style w:type="paragraph" w:styleId="Sombreadoclaro-nfasis2">
    <w:name w:val="Light Shading Accent 2"/>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styleId="Tablanormal4">
    <w:name w:val="Plain Table 4"/>
    <w:uiPriority w:val="21"/>
    <w:rsid w:val="00027ABF"/>
    <w:rPr>
      <w:i/>
      <w:iCs/>
      <w:color w:val="A5A5A5"/>
    </w:rPr>
  </w:style>
  <w:style w:type="character" w:styleId="Tablaconcuadrculaclara">
    <w:name w:val="Tabla con cuadrícula clara"/>
    <w:uiPriority w:val="32"/>
    <w:rsid w:val="00027ABF"/>
    <w:rPr>
      <w:b/>
      <w:bCs/>
      <w:smallCaps/>
      <w:color w:val="A5A5A5"/>
      <w:spacing w:val="5"/>
    </w:rPr>
  </w:style>
  <w:style w:type="character" w:styleId="Tablaconcuadrcula1clara">
    <w:name w:val="Tabla con cuadrícula 1 clara"/>
    <w:uiPriority w:val="33"/>
    <w:rsid w:val="00027ABF"/>
    <w:rPr>
      <w:b/>
      <w:bCs/>
      <w:i/>
      <w:iCs/>
      <w:spacing w:val="5"/>
    </w:rPr>
  </w:style>
  <w:style w:type="paragraph" w:styleId="Tabladecuadrcula3">
    <w:name w:val="Grid Table 3"/>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styleId="Cuadrculamedia1">
    <w:name w:val="Medium Grid 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aragon.es/tramites/aportacion-de-documentos-a-procedimientos-en-tramite" TargetMode="External"/><Relationship Id="rId4" Type="http://schemas.openxmlformats.org/officeDocument/2006/relationships/settings" Target="settings.xml"/><Relationship Id="rId9" Type="http://schemas.openxmlformats.org/officeDocument/2006/relationships/hyperlink" Target="https://ww.aragon.es/tramites/notificaciones-electronica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FF0D2-10F3-421B-BE97-9814E4EDF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1640</Words>
  <Characters>9025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AVALIA FPT</vt:lpstr>
    </vt:vector>
  </TitlesOfParts>
  <Company>p.a.t. GmbH | digitale Vorlagen und Präsentationen</Company>
  <LinksUpToDate>false</LinksUpToDate>
  <CharactersWithSpaces>10644</CharactersWithSpaces>
  <SharedDoc>false</SharedDoc>
  <HLinks>
    <vt:vector size="12" baseType="variant">
      <vt:variant>
        <vt:i4>3801205</vt:i4>
      </vt:variant>
      <vt:variant>
        <vt:i4>3</vt:i4>
      </vt:variant>
      <vt:variant>
        <vt:i4>0</vt:i4>
      </vt:variant>
      <vt:variant>
        <vt:i4>5</vt:i4>
      </vt:variant>
      <vt:variant>
        <vt:lpwstr>http://www.aragon.es/tramites/aportacion-de-documentos-a-procedimientos-en-tramite</vt:lpwstr>
      </vt:variant>
      <vt:variant>
        <vt:lpwstr/>
      </vt:variant>
      <vt:variant>
        <vt:i4>720923</vt:i4>
      </vt:variant>
      <vt:variant>
        <vt:i4>0</vt:i4>
      </vt:variant>
      <vt:variant>
        <vt:i4>0</vt:i4>
      </vt:variant>
      <vt:variant>
        <vt:i4>5</vt:i4>
      </vt:variant>
      <vt:variant>
        <vt:lpwstr>https://ww.aragon.es/tramites/notificaciones-electronicas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AVALIA FPT</dc:title>
  <dc:subject/>
  <dc:creator>Astrid Scheerer</dc:creator>
  <cp:keywords/>
  <cp:lastModifiedBy>Administrador</cp:lastModifiedBy>
  <cp:revision>2</cp:revision>
  <cp:lastPrinted>2017-11-15T11:15:00Z</cp:lastPrinted>
  <dcterms:created xsi:type="dcterms:W3CDTF">2022-04-20T09:16:00Z</dcterms:created>
  <dcterms:modified xsi:type="dcterms:W3CDTF">2022-04-20T09:16:00Z</dcterms:modified>
</cp:coreProperties>
</file>