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header1.xml" ContentType="application/vnd.openxmlformats-officedocument.wordprocessingml.header+xml"/>
  <Override PartName="/word/media/image1.jpeg" ContentType="image/jpeg"/>
  <Override PartName="/word/media/image2.jpeg" ContentType="image/jpeg"/>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word/_rels/footer1.xml.rels" ContentType="application/vnd.openxmlformats-package.relationships+xml"/>
  <Override PartName="/word/_rels/document.xml.rels" ContentType="application/vnd.openxmlformats-package.relationships+xml"/>
  <Override PartName="/word/_rels/header1.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widowControl/>
        <w:jc w:val="both"/>
        <w:rPr>
          <w:rFonts w:eastAsia="Times New Roman" w:cs="Arial"/>
          <w:b/>
          <w:b/>
          <w:kern w:val="0"/>
          <w:sz w:val="21"/>
          <w:szCs w:val="21"/>
          <w:lang w:val="ca-ES" w:eastAsia="es-ES"/>
        </w:rPr>
      </w:pPr>
      <w:r>
        <w:rPr>
          <w:rFonts w:eastAsia="Times New Roman" w:cs="Arial"/>
          <w:b/>
          <w:kern w:val="0"/>
          <w:sz w:val="21"/>
          <w:szCs w:val="21"/>
          <w:lang w:val="ca-ES" w:eastAsia="es-ES"/>
        </w:rPr>
      </w:r>
    </w:p>
    <w:p>
      <w:pPr>
        <w:pStyle w:val="Normal"/>
        <w:suppressAutoHyphens w:val="false"/>
        <w:jc w:val="center"/>
        <w:rPr>
          <w:rFonts w:eastAsia="Times New Roman" w:cs="Arial"/>
          <w:b/>
          <w:b/>
          <w:kern w:val="0"/>
          <w:sz w:val="21"/>
          <w:szCs w:val="21"/>
          <w:lang w:val="ca-ES" w:eastAsia="es-ES"/>
        </w:rPr>
      </w:pPr>
      <w:r>
        <w:rPr>
          <w:rFonts w:eastAsia="Times New Roman" w:cs="Arial"/>
          <w:b/>
          <w:kern w:val="0"/>
          <w:sz w:val="21"/>
          <w:szCs w:val="21"/>
          <w:lang w:val="ca-ES" w:eastAsia="es-ES"/>
        </w:rPr>
        <w:t>ANNEX I</w:t>
      </w:r>
    </w:p>
    <w:p>
      <w:pPr>
        <w:pStyle w:val="Normal"/>
        <w:suppressAutoHyphens w:val="false"/>
        <w:jc w:val="center"/>
        <w:rPr>
          <w:rFonts w:eastAsia="Times New Roman" w:cs="Arial"/>
          <w:b/>
          <w:b/>
          <w:kern w:val="0"/>
          <w:sz w:val="21"/>
          <w:szCs w:val="21"/>
          <w:lang w:val="ca-ES" w:eastAsia="es-ES"/>
        </w:rPr>
      </w:pPr>
      <w:r>
        <w:rPr>
          <w:rFonts w:eastAsia="Times New Roman" w:cs="Arial"/>
          <w:b/>
          <w:kern w:val="0"/>
          <w:sz w:val="21"/>
          <w:szCs w:val="21"/>
          <w:lang w:val="ca-ES" w:eastAsia="es-ES"/>
        </w:rPr>
      </w:r>
    </w:p>
    <w:p>
      <w:pPr>
        <w:pStyle w:val="Normal"/>
        <w:suppressAutoHyphens w:val="false"/>
        <w:jc w:val="both"/>
        <w:rPr>
          <w:rFonts w:eastAsia="Times New Roman" w:cs="Arial"/>
          <w:b/>
          <w:b/>
          <w:kern w:val="0"/>
          <w:sz w:val="21"/>
          <w:szCs w:val="21"/>
          <w:lang w:val="ca-ES" w:eastAsia="es-ES"/>
        </w:rPr>
      </w:pPr>
      <w:r>
        <w:rPr>
          <w:rFonts w:eastAsia="Times New Roman" w:cs="Arial"/>
          <w:b/>
          <w:kern w:val="0"/>
          <w:sz w:val="21"/>
          <w:szCs w:val="21"/>
          <w:lang w:val="ca-ES" w:eastAsia="es-ES"/>
        </w:rPr>
        <w:t>CONVOCATÒRIA PER A LA CONCESSIÓ D’AJUTS PER REHABILITACIÓ DE FAÇANES, ANY 2022</w:t>
      </w:r>
    </w:p>
    <w:p>
      <w:pPr>
        <w:pStyle w:val="Normal"/>
        <w:suppressAutoHyphens w:val="false"/>
        <w:jc w:val="both"/>
        <w:rPr>
          <w:rFonts w:eastAsia="Times New Roman" w:cs="Arial"/>
          <w:kern w:val="0"/>
          <w:sz w:val="21"/>
          <w:szCs w:val="21"/>
          <w:lang w:val="ca-ES" w:eastAsia="es-ES"/>
        </w:rPr>
      </w:pPr>
      <w:r>
        <w:rPr>
          <w:rFonts w:eastAsia="Times New Roman" w:cs="Arial"/>
          <w:kern w:val="0"/>
          <w:sz w:val="21"/>
          <w:szCs w:val="21"/>
          <w:lang w:val="ca-ES" w:eastAsia="es-ES"/>
        </w:rPr>
      </w:r>
    </w:p>
    <w:p>
      <w:pPr>
        <w:pStyle w:val="Normal"/>
        <w:numPr>
          <w:ilvl w:val="0"/>
          <w:numId w:val="1"/>
        </w:numPr>
        <w:suppressAutoHyphens w:val="false"/>
        <w:jc w:val="both"/>
        <w:rPr>
          <w:rFonts w:eastAsia="Times New Roman" w:cs="Arial"/>
          <w:kern w:val="0"/>
          <w:sz w:val="21"/>
          <w:szCs w:val="21"/>
          <w:lang w:val="ca-ES" w:eastAsia="es-ES"/>
        </w:rPr>
      </w:pPr>
      <w:r>
        <w:rPr>
          <w:rFonts w:eastAsia="Times New Roman" w:cs="Arial"/>
          <w:kern w:val="0"/>
          <w:sz w:val="21"/>
          <w:szCs w:val="21"/>
          <w:lang w:val="ca-ES" w:eastAsia="es-ES"/>
        </w:rPr>
        <w:t>Règim específic de la convocatòria: les bases reguladores de la concessió d'aquests ajuts estan contingudes en l'Ordenança específica per a la concessió d’ajuts econòmics per la rehabilitació de façanes , aprovada inicialment en data 17 de maig de 201</w:t>
      </w:r>
      <w:r>
        <w:rPr>
          <w:rFonts w:eastAsia="Times New Roman" w:cs="Arial"/>
          <w:kern w:val="0"/>
          <w:sz w:val="21"/>
          <w:szCs w:val="21"/>
          <w:shd w:fill="auto" w:val="clear"/>
          <w:lang w:val="ca-ES" w:eastAsia="es-ES"/>
        </w:rPr>
        <w:t>8 i definitivament en data 24 de juliol de 2018. Va entrar en vigor en data 27 d’agost de 2018 amb la seva publicació al BOPT.</w:t>
      </w:r>
    </w:p>
    <w:p>
      <w:pPr>
        <w:pStyle w:val="Normal"/>
        <w:suppressAutoHyphens w:val="false"/>
        <w:ind w:left="720" w:hanging="0"/>
        <w:jc w:val="both"/>
        <w:rPr>
          <w:rFonts w:eastAsia="Times New Roman" w:cs="Arial"/>
          <w:kern w:val="0"/>
          <w:sz w:val="21"/>
          <w:szCs w:val="21"/>
          <w:shd w:fill="auto" w:val="clear"/>
          <w:lang w:val="ca-ES" w:eastAsia="es-ES"/>
        </w:rPr>
      </w:pPr>
      <w:r>
        <w:rPr>
          <w:rFonts w:eastAsia="Times New Roman" w:cs="Arial"/>
          <w:kern w:val="0"/>
          <w:sz w:val="21"/>
          <w:szCs w:val="21"/>
          <w:shd w:fill="auto" w:val="clear"/>
          <w:lang w:val="ca-ES" w:eastAsia="es-ES"/>
        </w:rPr>
      </w:r>
    </w:p>
    <w:p>
      <w:pPr>
        <w:pStyle w:val="Normal"/>
        <w:numPr>
          <w:ilvl w:val="0"/>
          <w:numId w:val="1"/>
        </w:numPr>
        <w:suppressAutoHyphens w:val="false"/>
        <w:ind w:left="708" w:hanging="360"/>
        <w:jc w:val="both"/>
        <w:rPr>
          <w:shd w:fill="auto" w:val="clear"/>
        </w:rPr>
      </w:pPr>
      <w:r>
        <w:rPr>
          <w:rFonts w:eastAsia="Times New Roman" w:cs="Arial"/>
          <w:kern w:val="0"/>
          <w:sz w:val="21"/>
          <w:szCs w:val="21"/>
          <w:shd w:fill="auto" w:val="clear"/>
          <w:lang w:val="ca-ES" w:eastAsia="es-ES"/>
        </w:rPr>
        <w:t>Crèdits pressupostaris als quals s’imputen els ajuts: aplicació pressupostària 1522 482.00 del pressupost de l’any 2022.</w:t>
      </w:r>
    </w:p>
    <w:p>
      <w:pPr>
        <w:pStyle w:val="Normal"/>
        <w:suppressAutoHyphens w:val="false"/>
        <w:ind w:left="708" w:hanging="0"/>
        <w:jc w:val="both"/>
        <w:rPr>
          <w:rFonts w:eastAsia="Times New Roman" w:cs="Arial"/>
          <w:kern w:val="0"/>
          <w:sz w:val="21"/>
          <w:szCs w:val="21"/>
          <w:shd w:fill="auto" w:val="clear"/>
          <w:lang w:val="ca-ES" w:eastAsia="es-ES"/>
        </w:rPr>
      </w:pPr>
      <w:r>
        <w:rPr>
          <w:rFonts w:eastAsia="Times New Roman" w:cs="Arial"/>
          <w:kern w:val="0"/>
          <w:sz w:val="21"/>
          <w:szCs w:val="21"/>
          <w:shd w:fill="auto" w:val="clear"/>
          <w:lang w:val="ca-ES" w:eastAsia="es-ES"/>
        </w:rPr>
      </w:r>
    </w:p>
    <w:p>
      <w:pPr>
        <w:pStyle w:val="Normal"/>
        <w:numPr>
          <w:ilvl w:val="0"/>
          <w:numId w:val="1"/>
        </w:numPr>
        <w:suppressAutoHyphens w:val="false"/>
        <w:jc w:val="both"/>
        <w:rPr>
          <w:shd w:fill="auto" w:val="clear"/>
        </w:rPr>
      </w:pPr>
      <w:r>
        <w:rPr>
          <w:rFonts w:eastAsia="Times New Roman" w:cs="Arial"/>
          <w:kern w:val="0"/>
          <w:sz w:val="21"/>
          <w:szCs w:val="21"/>
          <w:shd w:fill="auto" w:val="clear"/>
          <w:lang w:val="ca-ES" w:eastAsia="es-ES"/>
        </w:rPr>
        <w:t>Quantia total màxima dels ajuts: 2.000,00 euros.</w:t>
      </w:r>
    </w:p>
    <w:p>
      <w:pPr>
        <w:pStyle w:val="Normal"/>
        <w:suppressAutoHyphens w:val="false"/>
        <w:ind w:left="708" w:hanging="0"/>
        <w:rPr>
          <w:rFonts w:eastAsia="Times New Roman" w:cs="Arial"/>
          <w:kern w:val="0"/>
          <w:sz w:val="21"/>
          <w:szCs w:val="21"/>
          <w:shd w:fill="auto" w:val="clear"/>
          <w:lang w:val="ca-ES" w:eastAsia="es-ES"/>
        </w:rPr>
      </w:pPr>
      <w:r>
        <w:rPr>
          <w:rFonts w:eastAsia="Times New Roman" w:cs="Arial"/>
          <w:kern w:val="0"/>
          <w:sz w:val="21"/>
          <w:szCs w:val="21"/>
          <w:shd w:fill="auto" w:val="clear"/>
          <w:lang w:val="ca-ES" w:eastAsia="es-ES"/>
        </w:rPr>
      </w:r>
    </w:p>
    <w:p>
      <w:pPr>
        <w:pStyle w:val="Normal"/>
        <w:numPr>
          <w:ilvl w:val="0"/>
          <w:numId w:val="1"/>
        </w:numPr>
        <w:suppressAutoHyphens w:val="false"/>
        <w:jc w:val="both"/>
        <w:rPr>
          <w:rFonts w:eastAsia="Times New Roman" w:cs="Arial"/>
          <w:kern w:val="0"/>
          <w:sz w:val="21"/>
          <w:szCs w:val="21"/>
          <w:lang w:val="ca-ES" w:eastAsia="es-ES"/>
        </w:rPr>
      </w:pPr>
      <w:r>
        <w:rPr>
          <w:rFonts w:eastAsia="Times New Roman" w:cs="Arial"/>
          <w:kern w:val="0"/>
          <w:sz w:val="21"/>
          <w:szCs w:val="21"/>
          <w:lang w:val="ca-ES" w:eastAsia="es-ES"/>
        </w:rPr>
        <w:t>Quantia individual dels ajuts:</w:t>
      </w:r>
    </w:p>
    <w:p>
      <w:pPr>
        <w:pStyle w:val="Normal"/>
        <w:suppressAutoHyphens w:val="false"/>
        <w:ind w:left="708" w:hanging="0"/>
        <w:rPr>
          <w:rFonts w:eastAsia="Times New Roman" w:cs="Arial"/>
          <w:kern w:val="0"/>
          <w:sz w:val="21"/>
          <w:szCs w:val="21"/>
          <w:lang w:val="ca-ES" w:eastAsia="es-ES"/>
        </w:rPr>
      </w:pPr>
      <w:r>
        <w:rPr>
          <w:rFonts w:eastAsia="Times New Roman" w:cs="Arial"/>
          <w:kern w:val="0"/>
          <w:sz w:val="21"/>
          <w:szCs w:val="21"/>
          <w:lang w:val="ca-ES" w:eastAsia="es-ES"/>
        </w:rPr>
      </w:r>
    </w:p>
    <w:p>
      <w:pPr>
        <w:pStyle w:val="Normal"/>
        <w:suppressAutoHyphens w:val="false"/>
        <w:ind w:left="708" w:hanging="0"/>
        <w:jc w:val="both"/>
        <w:rPr>
          <w:rFonts w:eastAsia="Times New Roman" w:cs="Arial"/>
          <w:kern w:val="0"/>
          <w:sz w:val="21"/>
          <w:szCs w:val="21"/>
          <w:lang w:val="ca-ES" w:eastAsia="es-ES"/>
        </w:rPr>
      </w:pPr>
      <w:r>
        <w:rPr>
          <w:rFonts w:eastAsia="Times New Roman" w:cs="Arial"/>
          <w:kern w:val="0"/>
          <w:sz w:val="21"/>
          <w:szCs w:val="21"/>
          <w:lang w:val="ca-ES" w:eastAsia="es-ES"/>
        </w:rPr>
        <w:t xml:space="preserve">L’ajut atorgat per part de l’Ajuntament serà del 10% del cost de rehabilitació de la façana, amb un màxim de 1.000 euros per actuació. Serà cost subvencionable l’IVA sempre i quan el beneficiari no se’l pugui deduir. </w:t>
      </w:r>
    </w:p>
    <w:p>
      <w:pPr>
        <w:pStyle w:val="Normal"/>
        <w:suppressAutoHyphens w:val="false"/>
        <w:ind w:left="708" w:hanging="0"/>
        <w:jc w:val="both"/>
        <w:rPr>
          <w:rFonts w:eastAsia="Times New Roman" w:cs="Arial"/>
          <w:kern w:val="0"/>
          <w:sz w:val="21"/>
          <w:szCs w:val="21"/>
          <w:lang w:val="ca-ES" w:eastAsia="es-ES"/>
        </w:rPr>
      </w:pPr>
      <w:r>
        <w:rPr>
          <w:rFonts w:eastAsia="Times New Roman" w:cs="Arial"/>
          <w:kern w:val="0"/>
          <w:sz w:val="21"/>
          <w:szCs w:val="21"/>
          <w:lang w:val="ca-ES" w:eastAsia="es-ES"/>
        </w:rPr>
      </w:r>
    </w:p>
    <w:p>
      <w:pPr>
        <w:pStyle w:val="Normal"/>
        <w:suppressAutoHyphens w:val="false"/>
        <w:ind w:left="708" w:hanging="0"/>
        <w:jc w:val="both"/>
        <w:rPr>
          <w:rFonts w:eastAsia="Times New Roman" w:cs="Arial"/>
          <w:kern w:val="0"/>
          <w:sz w:val="21"/>
          <w:szCs w:val="21"/>
          <w:lang w:val="ca-ES" w:eastAsia="es-ES"/>
        </w:rPr>
      </w:pPr>
      <w:r>
        <w:rPr>
          <w:rFonts w:eastAsia="Times New Roman" w:cs="Arial"/>
          <w:kern w:val="0"/>
          <w:sz w:val="21"/>
          <w:szCs w:val="21"/>
          <w:lang w:val="ca-ES" w:eastAsia="es-ES"/>
        </w:rPr>
        <w:t>S’estableix un increment de l’ajut d’un 5% quan els propietaris dels habitatges siguin:</w:t>
      </w:r>
    </w:p>
    <w:p>
      <w:pPr>
        <w:pStyle w:val="Normal"/>
        <w:suppressAutoHyphens w:val="false"/>
        <w:ind w:left="708" w:hanging="0"/>
        <w:jc w:val="both"/>
        <w:rPr>
          <w:rFonts w:eastAsia="Times New Roman" w:cs="Arial"/>
          <w:kern w:val="0"/>
          <w:sz w:val="21"/>
          <w:szCs w:val="21"/>
          <w:lang w:val="ca-ES" w:eastAsia="es-ES"/>
        </w:rPr>
      </w:pPr>
      <w:r>
        <w:rPr>
          <w:rFonts w:eastAsia="Times New Roman" w:cs="Arial"/>
          <w:kern w:val="0"/>
          <w:sz w:val="21"/>
          <w:szCs w:val="21"/>
          <w:lang w:val="ca-ES" w:eastAsia="es-ES"/>
        </w:rPr>
        <w:t xml:space="preserve">    • </w:t>
      </w:r>
      <w:r>
        <w:rPr>
          <w:rFonts w:eastAsia="Times New Roman" w:cs="Arial"/>
          <w:kern w:val="0"/>
          <w:sz w:val="21"/>
          <w:szCs w:val="21"/>
          <w:lang w:val="ca-ES" w:eastAsia="es-ES"/>
        </w:rPr>
        <w:t>Joves d’entre 18 i 32 anys.</w:t>
      </w:r>
    </w:p>
    <w:p>
      <w:pPr>
        <w:pStyle w:val="Normal"/>
        <w:suppressAutoHyphens w:val="false"/>
        <w:ind w:left="708" w:hanging="0"/>
        <w:jc w:val="both"/>
        <w:rPr>
          <w:rFonts w:eastAsia="Times New Roman" w:cs="Arial"/>
          <w:kern w:val="0"/>
          <w:sz w:val="21"/>
          <w:szCs w:val="21"/>
          <w:lang w:val="ca-ES" w:eastAsia="es-ES"/>
        </w:rPr>
      </w:pPr>
      <w:r>
        <w:rPr>
          <w:rFonts w:eastAsia="Times New Roman" w:cs="Arial"/>
          <w:kern w:val="0"/>
          <w:sz w:val="21"/>
          <w:szCs w:val="21"/>
          <w:lang w:val="ca-ES" w:eastAsia="es-ES"/>
        </w:rPr>
        <w:t xml:space="preserve">    • </w:t>
      </w:r>
      <w:r>
        <w:rPr>
          <w:rFonts w:eastAsia="Times New Roman" w:cs="Arial"/>
          <w:kern w:val="0"/>
          <w:sz w:val="21"/>
          <w:szCs w:val="21"/>
          <w:lang w:val="ca-ES" w:eastAsia="es-ES"/>
        </w:rPr>
        <w:t xml:space="preserve">Persones més grans de 65 anys. </w:t>
      </w:r>
    </w:p>
    <w:p>
      <w:pPr>
        <w:pStyle w:val="Normal"/>
        <w:suppressAutoHyphens w:val="false"/>
        <w:ind w:left="708" w:hanging="0"/>
        <w:jc w:val="both"/>
        <w:rPr>
          <w:rFonts w:eastAsia="Times New Roman" w:cs="Arial"/>
          <w:kern w:val="0"/>
          <w:sz w:val="21"/>
          <w:szCs w:val="21"/>
          <w:lang w:val="ca-ES" w:eastAsia="es-ES"/>
        </w:rPr>
      </w:pPr>
      <w:r>
        <w:rPr>
          <w:rFonts w:eastAsia="Times New Roman" w:cs="Arial"/>
          <w:kern w:val="0"/>
          <w:sz w:val="21"/>
          <w:szCs w:val="21"/>
          <w:lang w:val="ca-ES" w:eastAsia="es-ES"/>
        </w:rPr>
        <w:t xml:space="preserve">    • </w:t>
      </w:r>
      <w:r>
        <w:rPr>
          <w:rFonts w:eastAsia="Times New Roman" w:cs="Arial"/>
          <w:kern w:val="0"/>
          <w:sz w:val="21"/>
          <w:szCs w:val="21"/>
          <w:lang w:val="ca-ES" w:eastAsia="es-ES"/>
        </w:rPr>
        <w:t>Persones amb una discapacitat mínima del 33%.</w:t>
      </w:r>
    </w:p>
    <w:p>
      <w:pPr>
        <w:pStyle w:val="Normal"/>
        <w:suppressAutoHyphens w:val="false"/>
        <w:ind w:left="708" w:hanging="0"/>
        <w:jc w:val="both"/>
        <w:rPr>
          <w:rFonts w:eastAsia="Times New Roman" w:cs="Arial"/>
          <w:kern w:val="0"/>
          <w:sz w:val="21"/>
          <w:szCs w:val="21"/>
          <w:lang w:val="ca-ES" w:eastAsia="es-ES"/>
        </w:rPr>
      </w:pPr>
      <w:r>
        <w:rPr>
          <w:rFonts w:eastAsia="Times New Roman" w:cs="Arial"/>
          <w:kern w:val="0"/>
          <w:sz w:val="21"/>
          <w:szCs w:val="21"/>
          <w:lang w:val="ca-ES" w:eastAsia="es-ES"/>
        </w:rPr>
      </w:r>
    </w:p>
    <w:p>
      <w:pPr>
        <w:pStyle w:val="Normal"/>
        <w:suppressAutoHyphens w:val="false"/>
        <w:ind w:left="708" w:hanging="0"/>
        <w:jc w:val="both"/>
        <w:rPr>
          <w:rFonts w:eastAsia="Times New Roman" w:cs="Arial"/>
          <w:kern w:val="0"/>
          <w:sz w:val="21"/>
          <w:szCs w:val="21"/>
          <w:lang w:val="ca-ES" w:eastAsia="es-ES"/>
        </w:rPr>
      </w:pPr>
      <w:r>
        <w:rPr>
          <w:rFonts w:eastAsia="Times New Roman" w:cs="Arial"/>
          <w:kern w:val="0"/>
          <w:sz w:val="21"/>
          <w:szCs w:val="21"/>
          <w:lang w:val="ca-ES" w:eastAsia="es-ES"/>
        </w:rPr>
        <w:t>S’estableix un increment de l’ajut d’un 5% als propietaris d’habitatges que estiguin desocupats i que volen ser destinats a lloguer. No hi ha possibilitat d’acumular aquest 5% a l’establert a l’anterior paràgraf.</w:t>
      </w:r>
    </w:p>
    <w:p>
      <w:pPr>
        <w:pStyle w:val="Normal"/>
        <w:suppressAutoHyphens w:val="false"/>
        <w:ind w:left="708" w:hanging="0"/>
        <w:jc w:val="both"/>
        <w:rPr>
          <w:rFonts w:eastAsia="Times New Roman" w:cs="Arial"/>
          <w:kern w:val="0"/>
          <w:sz w:val="21"/>
          <w:szCs w:val="21"/>
          <w:lang w:val="ca-ES" w:eastAsia="es-ES"/>
        </w:rPr>
      </w:pPr>
      <w:r>
        <w:rPr>
          <w:rFonts w:eastAsia="Times New Roman" w:cs="Arial"/>
          <w:kern w:val="0"/>
          <w:sz w:val="21"/>
          <w:szCs w:val="21"/>
          <w:lang w:val="ca-ES" w:eastAsia="es-ES"/>
        </w:rPr>
      </w:r>
    </w:p>
    <w:p>
      <w:pPr>
        <w:pStyle w:val="Normal"/>
        <w:numPr>
          <w:ilvl w:val="0"/>
          <w:numId w:val="1"/>
        </w:numPr>
        <w:suppressAutoHyphens w:val="false"/>
        <w:jc w:val="both"/>
        <w:rPr>
          <w:rFonts w:eastAsia="Times New Roman" w:cs="Arial"/>
          <w:kern w:val="0"/>
          <w:sz w:val="21"/>
          <w:szCs w:val="21"/>
          <w:lang w:val="ca-ES" w:eastAsia="es-ES"/>
        </w:rPr>
      </w:pPr>
      <w:r>
        <w:rPr>
          <w:rFonts w:eastAsia="Times New Roman" w:cs="Arial"/>
          <w:kern w:val="0"/>
          <w:sz w:val="21"/>
          <w:szCs w:val="21"/>
          <w:lang w:val="ca-ES" w:eastAsia="es-ES"/>
        </w:rPr>
        <w:t>L’objecte, les condicions i la finalitat de la concessió dels ajuts, els requisits per sol·licitar-los i la documentació que s’ha d’adjuntar a la sol·licitud, les obligacions dels beneficiaris, així com els criteris de valoració consten a les bases reguladores d’aquests ajuts.</w:t>
      </w:r>
    </w:p>
    <w:p>
      <w:pPr>
        <w:pStyle w:val="Normal"/>
        <w:suppressAutoHyphens w:val="false"/>
        <w:ind w:left="708" w:hanging="0"/>
        <w:rPr>
          <w:rFonts w:eastAsia="Times New Roman" w:cs="Arial"/>
          <w:kern w:val="0"/>
          <w:sz w:val="21"/>
          <w:szCs w:val="21"/>
          <w:lang w:val="ca-ES" w:eastAsia="es-ES"/>
        </w:rPr>
      </w:pPr>
      <w:r>
        <w:rPr>
          <w:rFonts w:eastAsia="Times New Roman" w:cs="Arial"/>
          <w:kern w:val="0"/>
          <w:sz w:val="21"/>
          <w:szCs w:val="21"/>
          <w:lang w:val="ca-ES" w:eastAsia="es-ES"/>
        </w:rPr>
      </w:r>
    </w:p>
    <w:p>
      <w:pPr>
        <w:pStyle w:val="Western"/>
        <w:numPr>
          <w:ilvl w:val="0"/>
          <w:numId w:val="1"/>
        </w:numPr>
        <w:spacing w:before="100" w:after="0"/>
        <w:rPr>
          <w:color w:val="auto"/>
          <w:sz w:val="21"/>
          <w:szCs w:val="21"/>
          <w:lang w:val="es-ES"/>
        </w:rPr>
      </w:pPr>
      <w:r>
        <w:rPr>
          <w:sz w:val="21"/>
          <w:szCs w:val="21"/>
          <w:lang w:eastAsia="es-ES"/>
        </w:rPr>
        <w:t xml:space="preserve">Règim de concessió: </w:t>
      </w:r>
      <w:r>
        <w:rPr>
          <w:sz w:val="21"/>
          <w:szCs w:val="21"/>
        </w:rPr>
        <w:t>el procediment per a la concessió d'aquests ajuts és en règim de concurrència competitiva, per  ordre cronològic d’entrada al Registre General de l’Ajuntament.</w:t>
      </w:r>
    </w:p>
    <w:p>
      <w:pPr>
        <w:pStyle w:val="Normal"/>
        <w:numPr>
          <w:ilvl w:val="0"/>
          <w:numId w:val="0"/>
        </w:numPr>
        <w:suppressAutoHyphens w:val="false"/>
        <w:ind w:left="720" w:hanging="0"/>
        <w:jc w:val="both"/>
        <w:rPr>
          <w:rFonts w:eastAsia="Times New Roman" w:cs="Arial"/>
          <w:kern w:val="0"/>
          <w:sz w:val="21"/>
          <w:szCs w:val="21"/>
          <w:lang w:val="ca-ES" w:eastAsia="es-ES"/>
        </w:rPr>
      </w:pPr>
      <w:r>
        <w:rPr>
          <w:rFonts w:eastAsia="Times New Roman" w:cs="Arial"/>
          <w:kern w:val="0"/>
          <w:sz w:val="21"/>
          <w:szCs w:val="21"/>
          <w:lang w:val="ca-ES" w:eastAsia="es-ES"/>
        </w:rPr>
      </w:r>
    </w:p>
    <w:p>
      <w:pPr>
        <w:pStyle w:val="Normal"/>
        <w:numPr>
          <w:ilvl w:val="0"/>
          <w:numId w:val="1"/>
        </w:numPr>
        <w:suppressAutoHyphens w:val="false"/>
        <w:jc w:val="both"/>
        <w:rPr>
          <w:rFonts w:eastAsia="Times New Roman" w:cs="Arial"/>
          <w:kern w:val="0"/>
          <w:sz w:val="21"/>
          <w:szCs w:val="21"/>
          <w:lang w:val="ca-ES" w:eastAsia="es-ES"/>
        </w:rPr>
      </w:pPr>
      <w:r>
        <w:rPr>
          <w:rFonts w:eastAsia="Times New Roman" w:cs="Arial"/>
          <w:kern w:val="0"/>
          <w:sz w:val="21"/>
          <w:szCs w:val="21"/>
          <w:lang w:val="ca-ES" w:eastAsia="es-ES"/>
        </w:rPr>
        <w:t>Òrgan competent per a la instrucció del procediment: Secretaria Municipal.</w:t>
      </w:r>
    </w:p>
    <w:p>
      <w:pPr>
        <w:pStyle w:val="Normal"/>
        <w:suppressAutoHyphens w:val="false"/>
        <w:ind w:left="708" w:hanging="0"/>
        <w:rPr>
          <w:rFonts w:eastAsia="Times New Roman" w:cs="Arial"/>
          <w:kern w:val="0"/>
          <w:sz w:val="21"/>
          <w:szCs w:val="21"/>
          <w:lang w:val="ca-ES" w:eastAsia="es-ES"/>
        </w:rPr>
      </w:pPr>
      <w:r>
        <w:rPr>
          <w:rFonts w:eastAsia="Times New Roman" w:cs="Arial"/>
          <w:kern w:val="0"/>
          <w:sz w:val="21"/>
          <w:szCs w:val="21"/>
          <w:lang w:val="ca-ES" w:eastAsia="es-ES"/>
        </w:rPr>
      </w:r>
    </w:p>
    <w:p>
      <w:pPr>
        <w:pStyle w:val="Normal"/>
        <w:numPr>
          <w:ilvl w:val="0"/>
          <w:numId w:val="1"/>
        </w:numPr>
        <w:suppressAutoHyphens w:val="false"/>
        <w:jc w:val="both"/>
        <w:rPr>
          <w:rFonts w:eastAsia="Times New Roman" w:cs="Arial"/>
          <w:kern w:val="0"/>
          <w:sz w:val="21"/>
          <w:szCs w:val="21"/>
          <w:lang w:val="ca-ES" w:eastAsia="es-ES"/>
        </w:rPr>
      </w:pPr>
      <w:r>
        <w:rPr>
          <w:rFonts w:eastAsia="Times New Roman" w:cs="Arial"/>
          <w:kern w:val="0"/>
          <w:sz w:val="21"/>
          <w:szCs w:val="21"/>
          <w:lang w:val="ca-ES" w:eastAsia="es-ES"/>
        </w:rPr>
        <w:t xml:space="preserve">Òrgan competent per a la resolució del procediment: Junta de Govern Local. </w:t>
      </w:r>
    </w:p>
    <w:p>
      <w:pPr>
        <w:pStyle w:val="Normal"/>
        <w:suppressAutoHyphens w:val="false"/>
        <w:ind w:left="708" w:hanging="0"/>
        <w:rPr>
          <w:rFonts w:eastAsia="Times New Roman" w:cs="Arial"/>
          <w:kern w:val="0"/>
          <w:sz w:val="21"/>
          <w:szCs w:val="21"/>
          <w:lang w:val="ca-ES" w:eastAsia="es-ES"/>
        </w:rPr>
      </w:pPr>
      <w:r>
        <w:rPr>
          <w:rFonts w:eastAsia="Times New Roman" w:cs="Arial"/>
          <w:kern w:val="0"/>
          <w:sz w:val="21"/>
          <w:szCs w:val="21"/>
          <w:lang w:val="ca-ES" w:eastAsia="es-ES"/>
        </w:rPr>
      </w:r>
    </w:p>
    <w:p>
      <w:pPr>
        <w:pStyle w:val="Normal"/>
        <w:numPr>
          <w:ilvl w:val="0"/>
          <w:numId w:val="1"/>
        </w:numPr>
        <w:suppressAutoHyphens w:val="false"/>
        <w:jc w:val="both"/>
        <w:rPr>
          <w:rFonts w:eastAsia="Times New Roman" w:cs="Arial"/>
          <w:kern w:val="0"/>
          <w:sz w:val="21"/>
          <w:szCs w:val="21"/>
          <w:lang w:val="ca-ES" w:eastAsia="es-ES"/>
        </w:rPr>
      </w:pPr>
      <w:r>
        <w:rPr>
          <w:rFonts w:eastAsia="Times New Roman" w:cs="Arial"/>
          <w:kern w:val="0"/>
          <w:sz w:val="21"/>
          <w:szCs w:val="21"/>
          <w:lang w:val="ca-ES" w:eastAsia="es-ES"/>
        </w:rPr>
        <w:t xml:space="preserve">Termini de presentació de sol·licituds: per la naturalesa dels ajuts, no estan sotmesos a un termini concret de sol·licitud, es pot presentar en qualsevol moment de l’enguany, des de </w:t>
      </w:r>
      <w:r>
        <w:rPr>
          <w:rFonts w:eastAsia="Times New Roman"/>
          <w:kern w:val="0"/>
          <w:sz w:val="21"/>
          <w:szCs w:val="21"/>
          <w:lang w:val="ca-ES" w:eastAsia="es-ES"/>
        </w:rPr>
        <w:t xml:space="preserve">la publicació de l'extracte de la convocatòria en el Butlletí Oficial de la Província de Tarragona i fins al </w:t>
      </w:r>
      <w:r>
        <w:rPr>
          <w:rFonts w:eastAsia="Times New Roman"/>
          <w:kern w:val="0"/>
          <w:sz w:val="21"/>
          <w:szCs w:val="21"/>
          <w:shd w:fill="auto" w:val="clear"/>
          <w:lang w:val="ca-ES" w:eastAsia="es-ES"/>
        </w:rPr>
        <w:t>30 de novembre de 2022.</w:t>
      </w:r>
    </w:p>
    <w:p>
      <w:pPr>
        <w:pStyle w:val="Normal"/>
        <w:suppressAutoHyphens w:val="false"/>
        <w:jc w:val="both"/>
        <w:rPr>
          <w:rFonts w:eastAsia="Times New Roman" w:cs="Arial"/>
          <w:kern w:val="0"/>
          <w:sz w:val="21"/>
          <w:szCs w:val="21"/>
          <w:lang w:val="ca-ES" w:eastAsia="es-ES"/>
        </w:rPr>
      </w:pPr>
      <w:r>
        <w:rPr>
          <w:rFonts w:eastAsia="Times New Roman" w:cs="Arial"/>
          <w:kern w:val="0"/>
          <w:sz w:val="21"/>
          <w:szCs w:val="21"/>
          <w:lang w:val="ca-ES" w:eastAsia="es-ES"/>
        </w:rPr>
      </w:r>
    </w:p>
    <w:p>
      <w:pPr>
        <w:pStyle w:val="Normal"/>
        <w:widowControl/>
        <w:numPr>
          <w:ilvl w:val="0"/>
          <w:numId w:val="1"/>
        </w:numPr>
        <w:suppressAutoHyphens w:val="false"/>
        <w:jc w:val="both"/>
        <w:rPr>
          <w:rFonts w:eastAsia="Times New Roman" w:cs="Arial"/>
          <w:kern w:val="0"/>
          <w:sz w:val="21"/>
          <w:szCs w:val="21"/>
          <w:lang w:val="ca-ES" w:eastAsia="es-ES"/>
        </w:rPr>
      </w:pPr>
      <w:r>
        <w:rPr>
          <w:rFonts w:eastAsia="Times New Roman" w:cs="Arial"/>
          <w:kern w:val="0"/>
          <w:sz w:val="21"/>
          <w:szCs w:val="21"/>
          <w:lang w:val="ca-ES" w:eastAsia="es-ES"/>
        </w:rPr>
        <w:t xml:space="preserve">Forma de presentació de sol·licituds: presencialment en el Registre General de l’Ajuntament en horari d’atenció al públic o electrònicament a la Seu Electrònica de l’Ajuntament: </w:t>
      </w:r>
      <w:hyperlink r:id="rId2">
        <w:r>
          <w:rPr>
            <w:rStyle w:val="EnlladInternet"/>
            <w:rFonts w:eastAsia="Times New Roman" w:cs="Arial"/>
            <w:kern w:val="0"/>
            <w:sz w:val="21"/>
            <w:szCs w:val="21"/>
            <w:lang w:val="ca-ES" w:eastAsia="es-ES"/>
          </w:rPr>
          <w:t>https://banyeresdelpenedes.eadministracio.cat/info</w:t>
        </w:r>
      </w:hyperlink>
      <w:r>
        <w:rPr>
          <w:rStyle w:val="EnlladInternet"/>
          <w:rFonts w:eastAsia="Times New Roman" w:cs="Arial"/>
          <w:kern w:val="0"/>
          <w:sz w:val="21"/>
          <w:szCs w:val="21"/>
          <w:lang w:val="ca-ES" w:eastAsia="es-ES"/>
        </w:rPr>
        <w:t>.</w:t>
      </w:r>
    </w:p>
    <w:p>
      <w:pPr>
        <w:pStyle w:val="Normal"/>
        <w:widowControl/>
        <w:numPr>
          <w:ilvl w:val="0"/>
          <w:numId w:val="0"/>
        </w:numPr>
        <w:suppressAutoHyphens w:val="false"/>
        <w:ind w:left="720" w:hanging="0"/>
        <w:jc w:val="both"/>
        <w:rPr>
          <w:rFonts w:eastAsia="Times New Roman" w:cs="Arial"/>
          <w:kern w:val="0"/>
          <w:sz w:val="21"/>
          <w:szCs w:val="21"/>
          <w:lang w:val="ca-ES" w:eastAsia="es-ES"/>
        </w:rPr>
      </w:pPr>
      <w:r>
        <w:rPr>
          <w:rFonts w:eastAsia="Times New Roman" w:cs="Arial"/>
          <w:kern w:val="0"/>
          <w:sz w:val="21"/>
          <w:szCs w:val="21"/>
          <w:lang w:val="ca-ES" w:eastAsia="es-ES"/>
        </w:rPr>
      </w:r>
    </w:p>
    <w:p>
      <w:pPr>
        <w:pStyle w:val="Normal"/>
        <w:widowControl/>
        <w:numPr>
          <w:ilvl w:val="0"/>
          <w:numId w:val="1"/>
        </w:numPr>
        <w:suppressAutoHyphens w:val="false"/>
        <w:jc w:val="both"/>
        <w:rPr>
          <w:rFonts w:eastAsia="Times New Roman" w:cs="Arial"/>
          <w:kern w:val="0"/>
          <w:sz w:val="21"/>
          <w:szCs w:val="21"/>
          <w:lang w:val="ca-ES" w:eastAsia="es-ES"/>
        </w:rPr>
      </w:pPr>
      <w:r>
        <w:rPr>
          <w:rFonts w:eastAsia="Times New Roman" w:cs="Arial"/>
          <w:kern w:val="0"/>
          <w:sz w:val="21"/>
          <w:szCs w:val="21"/>
          <w:lang w:val="ca-ES" w:eastAsia="es-ES"/>
        </w:rPr>
        <w:t>Termini de resolució i notificació: Un cop rebuda la sol·licitud es passarà a informe dels diferents serveis municipals i la Junta de Govern resoldrà l’atorgament de la subvenció, si s’escau. En cas que en la sol·licitud es detectessin deficiències, aquestes seran notificades al sol·licitant per a la seva esmena en un termini de 10 dies hàbils, comptadors des de l’endemà d’haver rebut el requeriment d’esmena. En cas de no atendre el requeriment d’esmena efectuat per l’Ajuntament, s’entendrà que el sol·licitant desisteix de la seva petició.</w:t>
      </w:r>
    </w:p>
    <w:p>
      <w:pPr>
        <w:pStyle w:val="Normal"/>
        <w:widowControl/>
        <w:suppressAutoHyphens w:val="false"/>
        <w:ind w:left="720" w:hanging="0"/>
        <w:jc w:val="both"/>
        <w:rPr>
          <w:rFonts w:eastAsia="Times New Roman" w:cs="Arial"/>
          <w:kern w:val="0"/>
          <w:sz w:val="21"/>
          <w:szCs w:val="21"/>
          <w:lang w:val="ca-ES" w:eastAsia="es-ES"/>
        </w:rPr>
      </w:pPr>
      <w:r>
        <w:rPr>
          <w:rFonts w:eastAsia="Times New Roman" w:cs="Arial"/>
          <w:kern w:val="0"/>
          <w:sz w:val="21"/>
          <w:szCs w:val="21"/>
          <w:lang w:val="ca-ES" w:eastAsia="es-ES"/>
        </w:rPr>
      </w:r>
    </w:p>
    <w:p>
      <w:pPr>
        <w:pStyle w:val="Normal"/>
        <w:widowControl/>
        <w:suppressAutoHyphens w:val="false"/>
        <w:ind w:left="720" w:hanging="0"/>
        <w:jc w:val="both"/>
        <w:rPr>
          <w:rFonts w:eastAsia="Times New Roman" w:cs="Arial"/>
          <w:kern w:val="0"/>
          <w:sz w:val="21"/>
          <w:szCs w:val="21"/>
          <w:lang w:val="ca-ES" w:eastAsia="es-ES"/>
        </w:rPr>
      </w:pPr>
      <w:r>
        <w:rPr>
          <w:rFonts w:eastAsia="Times New Roman" w:cs="Arial"/>
          <w:kern w:val="0"/>
          <w:sz w:val="21"/>
          <w:szCs w:val="21"/>
          <w:lang w:val="ca-ES" w:eastAsia="es-ES"/>
        </w:rPr>
        <w:t xml:space="preserve">En el termini màxim de trenta dies a comptar des de l’endemà de la data de presentació de la sol·licitud, l’Ajuntament atorgarà o denegarà la subvenció. Si transcorregut aquest termini l’Ajuntament no emetés resolució expressa, el sol·licitant podrà entendre desestimada la seva sol·licitud. </w:t>
      </w:r>
    </w:p>
    <w:p>
      <w:pPr>
        <w:pStyle w:val="Normal"/>
        <w:widowControl/>
        <w:suppressAutoHyphens w:val="false"/>
        <w:ind w:left="708" w:hanging="0"/>
        <w:jc w:val="both"/>
        <w:rPr>
          <w:rFonts w:eastAsia="Times New Roman" w:cs="Arial"/>
          <w:kern w:val="0"/>
          <w:sz w:val="21"/>
          <w:szCs w:val="21"/>
          <w:lang w:val="ca-ES" w:eastAsia="es-ES"/>
        </w:rPr>
      </w:pPr>
      <w:r>
        <w:rPr>
          <w:rFonts w:eastAsia="Times New Roman" w:cs="Arial"/>
          <w:kern w:val="0"/>
          <w:sz w:val="21"/>
          <w:szCs w:val="21"/>
          <w:lang w:val="ca-ES" w:eastAsia="es-ES"/>
        </w:rPr>
      </w:r>
    </w:p>
    <w:p>
      <w:pPr>
        <w:pStyle w:val="Normal"/>
        <w:numPr>
          <w:ilvl w:val="0"/>
          <w:numId w:val="1"/>
        </w:numPr>
        <w:suppressAutoHyphens w:val="false"/>
        <w:jc w:val="both"/>
        <w:rPr>
          <w:rFonts w:eastAsia="Times New Roman" w:cs="Arial"/>
          <w:kern w:val="0"/>
          <w:sz w:val="21"/>
          <w:szCs w:val="21"/>
          <w:lang w:val="ca-ES" w:eastAsia="es-ES"/>
        </w:rPr>
      </w:pPr>
      <w:r>
        <w:rPr>
          <w:rFonts w:eastAsia="Times New Roman" w:cs="Arial"/>
          <w:kern w:val="0"/>
          <w:sz w:val="21"/>
          <w:szCs w:val="21"/>
          <w:lang w:val="ca-ES" w:eastAsia="es-ES"/>
        </w:rPr>
        <w:t xml:space="preserve">Crèdit pressupostari: </w:t>
      </w:r>
      <w:r>
        <w:rPr>
          <w:rFonts w:eastAsia="Times New Roman"/>
          <w:kern w:val="0"/>
          <w:sz w:val="21"/>
          <w:szCs w:val="21"/>
          <w:lang w:val="ca-ES" w:eastAsia="es-ES"/>
        </w:rPr>
        <w:t>al pressupost de l’exercici vigent existeix un crèdit pressupostari de 2.000</w:t>
      </w:r>
      <w:r>
        <w:rPr>
          <w:rFonts w:eastAsia="Times New Roman" w:cs="Arial"/>
          <w:kern w:val="0"/>
          <w:sz w:val="21"/>
          <w:szCs w:val="21"/>
          <w:lang w:val="ca-ES" w:eastAsia="es-ES"/>
        </w:rPr>
        <w:t xml:space="preserve"> euros </w:t>
      </w:r>
      <w:r>
        <w:rPr>
          <w:rFonts w:eastAsia="Times New Roman"/>
          <w:kern w:val="0"/>
          <w:sz w:val="21"/>
          <w:szCs w:val="21"/>
          <w:lang w:val="ca-ES" w:eastAsia="es-ES"/>
        </w:rPr>
        <w:t>per finançar les actuacions objecte d’aquestes bases. Aquest import serà el límit per a la tramitació i la concessió dels ajuts de referència.</w:t>
      </w:r>
    </w:p>
    <w:p>
      <w:pPr>
        <w:pStyle w:val="Normal"/>
        <w:widowControl/>
        <w:suppressAutoHyphens w:val="false"/>
        <w:spacing w:before="0" w:after="120"/>
        <w:ind w:left="720" w:hanging="0"/>
        <w:jc w:val="both"/>
        <w:rPr>
          <w:rFonts w:eastAsia="Times New Roman" w:cs="Arial"/>
          <w:kern w:val="0"/>
          <w:sz w:val="21"/>
          <w:szCs w:val="21"/>
          <w:lang w:val="ca-ES" w:eastAsia="es-ES"/>
        </w:rPr>
      </w:pPr>
      <w:r>
        <w:rPr>
          <w:rFonts w:eastAsia="Times New Roman" w:cs="Arial"/>
          <w:kern w:val="0"/>
          <w:sz w:val="21"/>
          <w:szCs w:val="21"/>
          <w:lang w:val="ca-ES" w:eastAsia="es-ES"/>
        </w:rPr>
      </w:r>
    </w:p>
    <w:p>
      <w:pPr>
        <w:pStyle w:val="Normal"/>
        <w:widowControl/>
        <w:numPr>
          <w:ilvl w:val="0"/>
          <w:numId w:val="1"/>
        </w:numPr>
        <w:suppressAutoHyphens w:val="false"/>
        <w:jc w:val="both"/>
        <w:rPr>
          <w:rFonts w:eastAsia="Times New Roman" w:cs="Arial"/>
          <w:kern w:val="0"/>
          <w:sz w:val="21"/>
          <w:szCs w:val="21"/>
          <w:lang w:val="ca-ES" w:eastAsia="es-ES"/>
        </w:rPr>
      </w:pPr>
      <w:r>
        <w:rPr>
          <w:rFonts w:eastAsia="Times New Roman" w:cs="Arial"/>
          <w:kern w:val="0"/>
          <w:sz w:val="21"/>
          <w:szCs w:val="21"/>
          <w:lang w:val="ca-ES" w:eastAsia="es-ES"/>
        </w:rPr>
        <w:t>Justificació dels ajuts: Un cop resolt el procediment de la concessió de la subvenció, abans de poder-ne exigir el pagament, el titular beneficiari resta obligat a justificar a l’Ajuntament que ha dut a terme la rehabilitació de la façana.</w:t>
      </w:r>
    </w:p>
    <w:p>
      <w:pPr>
        <w:pStyle w:val="Normal"/>
        <w:widowControl/>
        <w:suppressAutoHyphens w:val="false"/>
        <w:ind w:left="720" w:hanging="0"/>
        <w:jc w:val="both"/>
        <w:rPr>
          <w:rFonts w:eastAsia="Times New Roman" w:cs="Arial"/>
          <w:kern w:val="0"/>
          <w:sz w:val="21"/>
          <w:szCs w:val="21"/>
          <w:lang w:val="ca-ES" w:eastAsia="es-ES"/>
        </w:rPr>
      </w:pPr>
      <w:r>
        <w:rPr>
          <w:rFonts w:eastAsia="Times New Roman" w:cs="Arial"/>
          <w:kern w:val="0"/>
          <w:sz w:val="21"/>
          <w:szCs w:val="21"/>
          <w:lang w:val="ca-ES" w:eastAsia="es-ES"/>
        </w:rPr>
      </w:r>
    </w:p>
    <w:p>
      <w:pPr>
        <w:pStyle w:val="Normal"/>
        <w:widowControl/>
        <w:suppressAutoHyphens w:val="false"/>
        <w:ind w:left="720" w:hanging="0"/>
        <w:jc w:val="both"/>
        <w:rPr>
          <w:rFonts w:eastAsia="Times New Roman" w:cs="Arial"/>
          <w:kern w:val="0"/>
          <w:sz w:val="21"/>
          <w:szCs w:val="21"/>
          <w:lang w:val="ca-ES" w:eastAsia="es-ES"/>
        </w:rPr>
      </w:pPr>
      <w:r>
        <w:rPr>
          <w:rFonts w:eastAsia="Times New Roman" w:cs="Arial"/>
          <w:kern w:val="0"/>
          <w:sz w:val="21"/>
          <w:szCs w:val="21"/>
          <w:lang w:val="ca-ES" w:eastAsia="es-ES"/>
        </w:rPr>
        <w:t>Els beneficiaris hauran d’adjuntar la següent documentació:</w:t>
      </w:r>
    </w:p>
    <w:p>
      <w:pPr>
        <w:pStyle w:val="Normal"/>
        <w:widowControl/>
        <w:numPr>
          <w:ilvl w:val="0"/>
          <w:numId w:val="3"/>
        </w:numPr>
        <w:suppressAutoHyphens w:val="false"/>
        <w:jc w:val="both"/>
        <w:rPr>
          <w:rFonts w:eastAsia="Times New Roman" w:cs="Arial"/>
          <w:kern w:val="0"/>
          <w:sz w:val="21"/>
          <w:szCs w:val="21"/>
          <w:lang w:val="ca-ES" w:eastAsia="es-ES"/>
        </w:rPr>
      </w:pPr>
      <w:r>
        <w:rPr>
          <w:rFonts w:eastAsia="Times New Roman" w:cs="Arial"/>
          <w:kern w:val="0"/>
          <w:sz w:val="21"/>
          <w:szCs w:val="21"/>
          <w:lang w:val="ca-ES" w:eastAsia="es-ES"/>
        </w:rPr>
        <w:t>Declaració sobre la finalització de les obres.</w:t>
      </w:r>
    </w:p>
    <w:p>
      <w:pPr>
        <w:pStyle w:val="Normal"/>
        <w:widowControl/>
        <w:numPr>
          <w:ilvl w:val="0"/>
          <w:numId w:val="3"/>
        </w:numPr>
        <w:suppressAutoHyphens w:val="false"/>
        <w:jc w:val="both"/>
        <w:rPr>
          <w:rFonts w:eastAsia="Times New Roman" w:cs="Arial"/>
          <w:kern w:val="0"/>
          <w:sz w:val="21"/>
          <w:szCs w:val="21"/>
          <w:lang w:val="ca-ES" w:eastAsia="es-ES"/>
        </w:rPr>
      </w:pPr>
      <w:r>
        <w:rPr>
          <w:rFonts w:eastAsia="Times New Roman" w:cs="Arial"/>
          <w:kern w:val="0"/>
          <w:sz w:val="21"/>
          <w:szCs w:val="21"/>
          <w:lang w:val="ca-ES" w:eastAsia="es-ES"/>
        </w:rPr>
        <w:t xml:space="preserve">Declaració de no haver obtingut més subvencions o ajuts. En cas d’haver sol·licitat o rebut altres subvencions o ajuts, hauran de presentar acreditació documental de la subvenció sol·licitada o rebuda. </w:t>
      </w:r>
    </w:p>
    <w:p>
      <w:pPr>
        <w:pStyle w:val="Normal"/>
        <w:widowControl/>
        <w:numPr>
          <w:ilvl w:val="0"/>
          <w:numId w:val="3"/>
        </w:numPr>
        <w:suppressAutoHyphens w:val="false"/>
        <w:jc w:val="both"/>
        <w:rPr>
          <w:rFonts w:eastAsia="Times New Roman" w:cs="Arial"/>
          <w:kern w:val="0"/>
          <w:sz w:val="21"/>
          <w:szCs w:val="21"/>
          <w:lang w:val="ca-ES" w:eastAsia="es-ES"/>
        </w:rPr>
      </w:pPr>
      <w:r>
        <w:rPr>
          <w:rFonts w:eastAsia="Times New Roman" w:cs="Arial"/>
          <w:kern w:val="0"/>
          <w:sz w:val="21"/>
          <w:szCs w:val="21"/>
          <w:lang w:val="ca-ES" w:eastAsia="es-ES"/>
        </w:rPr>
        <w:t xml:space="preserve">Fotografia del cartell anunciador de la subvenció municipal concedida. </w:t>
      </w:r>
    </w:p>
    <w:p>
      <w:pPr>
        <w:pStyle w:val="Normal"/>
        <w:widowControl/>
        <w:suppressAutoHyphens w:val="false"/>
        <w:ind w:left="720" w:hanging="0"/>
        <w:jc w:val="both"/>
        <w:rPr>
          <w:rFonts w:eastAsia="Times New Roman" w:cs="Arial"/>
          <w:kern w:val="0"/>
          <w:sz w:val="21"/>
          <w:szCs w:val="21"/>
          <w:lang w:val="ca-ES" w:eastAsia="es-ES"/>
        </w:rPr>
      </w:pPr>
      <w:r>
        <w:rPr>
          <w:rFonts w:eastAsia="Times New Roman" w:cs="Arial"/>
          <w:kern w:val="0"/>
          <w:sz w:val="21"/>
          <w:szCs w:val="21"/>
          <w:lang w:val="ca-ES" w:eastAsia="es-ES"/>
        </w:rPr>
      </w:r>
    </w:p>
    <w:p>
      <w:pPr>
        <w:pStyle w:val="Normal"/>
        <w:widowControl/>
        <w:numPr>
          <w:ilvl w:val="0"/>
          <w:numId w:val="1"/>
        </w:numPr>
        <w:suppressAutoHyphens w:val="false"/>
        <w:jc w:val="both"/>
        <w:rPr>
          <w:rFonts w:eastAsia="Times New Roman" w:cs="Arial"/>
          <w:kern w:val="0"/>
          <w:sz w:val="21"/>
          <w:szCs w:val="21"/>
          <w:lang w:val="ca-ES" w:eastAsia="es-ES"/>
        </w:rPr>
      </w:pPr>
      <w:r>
        <w:rPr>
          <w:rFonts w:eastAsia="Times New Roman" w:cs="Arial"/>
          <w:kern w:val="0"/>
          <w:sz w:val="21"/>
          <w:szCs w:val="21"/>
          <w:lang w:val="ca-ES" w:eastAsia="es-ES"/>
        </w:rPr>
        <w:t>Llei 38/2003, de 17 de novembre, general de subvencions; Decret 179/1995, de 13 de juny, pel qual s’aprova el Reglament d’obres, activitats i serveis dels ens locals; Llei 19/2014, del 29 de desembre, de transparència, accés a la informació pública i bon govern; Llei 39/2015, de 1 d’octubre, de procediment administratiu comú de les Administracions Públiques, Llei 40/2015, de 1 d’octubre, de Règim Jurídic del Sector Públic i Llei 26/2010, de 3 d’agost, de règim jurídic i de procediment de les administracions públiques de Catalunya.</w:t>
      </w:r>
    </w:p>
    <w:p>
      <w:pPr>
        <w:pStyle w:val="Normal"/>
        <w:widowControl/>
        <w:numPr>
          <w:ilvl w:val="0"/>
          <w:numId w:val="0"/>
        </w:numPr>
        <w:suppressAutoHyphens w:val="false"/>
        <w:ind w:left="720" w:hanging="0"/>
        <w:jc w:val="both"/>
        <w:rPr>
          <w:rFonts w:eastAsia="Times New Roman" w:cs="Arial"/>
          <w:kern w:val="0"/>
          <w:sz w:val="21"/>
          <w:szCs w:val="21"/>
          <w:lang w:val="ca-ES" w:eastAsia="es-ES"/>
        </w:rPr>
      </w:pPr>
      <w:r>
        <w:rPr>
          <w:rFonts w:eastAsia="Times New Roman" w:cs="Arial"/>
          <w:kern w:val="0"/>
          <w:sz w:val="21"/>
          <w:szCs w:val="21"/>
          <w:lang w:val="ca-ES" w:eastAsia="es-ES"/>
        </w:rPr>
      </w:r>
    </w:p>
    <w:p>
      <w:pPr>
        <w:pStyle w:val="Normal"/>
        <w:widowControl/>
        <w:numPr>
          <w:ilvl w:val="0"/>
          <w:numId w:val="1"/>
        </w:numPr>
        <w:suppressAutoHyphens w:val="false"/>
        <w:jc w:val="both"/>
        <w:rPr>
          <w:shd w:fill="auto" w:val="clear"/>
        </w:rPr>
      </w:pPr>
      <w:r>
        <w:rPr>
          <w:rFonts w:eastAsia="Times New Roman" w:cs="Arial"/>
          <w:kern w:val="0"/>
          <w:sz w:val="21"/>
          <w:szCs w:val="21"/>
          <w:shd w:fill="auto" w:val="clear"/>
          <w:lang w:val="ca-ES" w:eastAsia="es-ES"/>
        </w:rPr>
        <w:t xml:space="preserve">Les resolucions dictades en execució de la convocatòria exhaureixen la via administrativa. </w:t>
      </w:r>
    </w:p>
    <w:p>
      <w:pPr>
        <w:pStyle w:val="Normal"/>
        <w:suppressAutoHyphens w:val="false"/>
        <w:ind w:left="708" w:hanging="0"/>
        <w:rPr>
          <w:rFonts w:eastAsia="Times New Roman" w:cs="Arial"/>
          <w:kern w:val="0"/>
          <w:sz w:val="21"/>
          <w:szCs w:val="21"/>
          <w:lang w:val="ca-ES" w:eastAsia="es-ES"/>
        </w:rPr>
      </w:pPr>
      <w:r>
        <w:rPr>
          <w:rFonts w:eastAsia="Times New Roman" w:cs="Arial"/>
          <w:kern w:val="0"/>
          <w:sz w:val="21"/>
          <w:szCs w:val="21"/>
          <w:lang w:val="ca-ES" w:eastAsia="es-ES"/>
        </w:rPr>
      </w:r>
    </w:p>
    <w:p>
      <w:pPr>
        <w:pStyle w:val="Normal"/>
        <w:widowControl/>
        <w:numPr>
          <w:ilvl w:val="0"/>
          <w:numId w:val="1"/>
        </w:numPr>
        <w:suppressAutoHyphens w:val="false"/>
        <w:jc w:val="both"/>
        <w:rPr>
          <w:shd w:fill="auto" w:val="clear"/>
        </w:rPr>
      </w:pPr>
      <w:r>
        <w:rPr>
          <w:rFonts w:eastAsia="Times New Roman" w:cs="Arial"/>
          <w:kern w:val="0"/>
          <w:sz w:val="21"/>
          <w:szCs w:val="21"/>
          <w:shd w:fill="auto" w:val="clear"/>
          <w:lang w:val="ca-ES" w:eastAsia="es-ES"/>
        </w:rPr>
        <w:t>Règim de recursos:</w:t>
      </w:r>
    </w:p>
    <w:p>
      <w:pPr>
        <w:pStyle w:val="Normal"/>
        <w:numPr>
          <w:ilvl w:val="0"/>
          <w:numId w:val="2"/>
        </w:numPr>
        <w:suppressAutoHyphens w:val="false"/>
        <w:jc w:val="both"/>
        <w:rPr>
          <w:shd w:fill="auto" w:val="clear"/>
        </w:rPr>
      </w:pPr>
      <w:r>
        <w:rPr>
          <w:rFonts w:eastAsia="Times New Roman" w:cs="Arial"/>
          <w:kern w:val="0"/>
          <w:sz w:val="21"/>
          <w:szCs w:val="21"/>
          <w:shd w:fill="auto" w:val="clear"/>
          <w:lang w:val="ca-ES" w:eastAsia="es-ES"/>
        </w:rPr>
        <w:t>Recurs contenciós administratiu, en el termini màxim de dos mesos des de l’endemà de la notificació, davant el Jutjat Contenciós Administratiu de Tarragona.</w:t>
      </w:r>
    </w:p>
    <w:p>
      <w:pPr>
        <w:pStyle w:val="Normal"/>
        <w:numPr>
          <w:ilvl w:val="0"/>
          <w:numId w:val="0"/>
        </w:numPr>
        <w:suppressAutoHyphens w:val="false"/>
        <w:ind w:left="720" w:hanging="0"/>
        <w:jc w:val="both"/>
        <w:rPr>
          <w:rFonts w:eastAsia="Times New Roman" w:cs="Arial"/>
          <w:kern w:val="0"/>
          <w:sz w:val="21"/>
          <w:szCs w:val="21"/>
          <w:lang w:val="ca-ES" w:eastAsia="es-ES"/>
        </w:rPr>
      </w:pPr>
      <w:r>
        <w:rPr>
          <w:rFonts w:eastAsia="Times New Roman" w:cs="Arial"/>
          <w:kern w:val="0"/>
          <w:sz w:val="21"/>
          <w:szCs w:val="21"/>
          <w:lang w:val="ca-ES" w:eastAsia="es-ES"/>
        </w:rPr>
      </w:r>
    </w:p>
    <w:p>
      <w:pPr>
        <w:pStyle w:val="Normal"/>
        <w:numPr>
          <w:ilvl w:val="0"/>
          <w:numId w:val="2"/>
        </w:numPr>
        <w:suppressAutoHyphens w:val="false"/>
        <w:ind w:left="709" w:hanging="360"/>
        <w:jc w:val="both"/>
        <w:rPr>
          <w:shd w:fill="auto" w:val="clear"/>
        </w:rPr>
      </w:pPr>
      <w:r>
        <w:rPr>
          <w:rFonts w:eastAsia="Times New Roman" w:cs="Arial"/>
          <w:kern w:val="0"/>
          <w:sz w:val="21"/>
          <w:szCs w:val="21"/>
          <w:shd w:fill="auto" w:val="clear"/>
          <w:lang w:val="ca-ES" w:eastAsia="es-ES"/>
        </w:rPr>
        <w:t xml:space="preserve">De manera alternativa i potestativa, recurs de reposició, en el termini d’un mes a comptar des de l’endemà de la notificació, davant l’òrgan competent per resoldre (Junta de Govern Local). </w:t>
      </w:r>
    </w:p>
    <w:p>
      <w:pPr>
        <w:pStyle w:val="Normal"/>
        <w:widowControl/>
        <w:suppressAutoHyphens w:val="false"/>
        <w:jc w:val="center"/>
        <w:rPr>
          <w:rFonts w:eastAsia="Times New Roman" w:cs="Arial"/>
          <w:b/>
          <w:b/>
          <w:bCs/>
          <w:color w:val="000000"/>
          <w:kern w:val="0"/>
          <w:sz w:val="21"/>
          <w:szCs w:val="21"/>
          <w:lang w:val="ca-ES" w:eastAsia="es-ES"/>
        </w:rPr>
      </w:pPr>
      <w:r>
        <w:rPr/>
      </w:r>
    </w:p>
    <w:sectPr>
      <w:headerReference w:type="default" r:id="rId3"/>
      <w:footerReference w:type="default" r:id="rId4"/>
      <w:type w:val="nextPage"/>
      <w:pgSz w:w="11906" w:h="16838"/>
      <w:pgMar w:left="1701" w:right="1701" w:header="709" w:top="1998" w:footer="709" w:bottom="1418" w:gutter="0"/>
      <w:pgNumType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Arial">
    <w:charset w:val="00"/>
    <w:family w:val="roman"/>
    <w:pitch w:val="variable"/>
  </w:font>
  <w:font w:name="Liberation Sans">
    <w:altName w:val="Arial"/>
    <w:charset w:val="00"/>
    <w:family w:val="swiss"/>
    <w:pitch w:val="variable"/>
  </w:font>
  <w:font w:name="Arial">
    <w:charset w:val="01"/>
    <w:family w:val="swiss"/>
    <w:pitch w:val="variable"/>
  </w:font>
  <w:font w:name="Courier New">
    <w:charset w:val="01"/>
    <w:family w:val="modern"/>
    <w:pitch w:val="fixed"/>
  </w:font>
  <w:font w:name="Wingdings">
    <w:charset w:val="02"/>
    <w:family w:val="auto"/>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Piedepgina"/>
      <w:rPr/>
    </w:pPr>
    <w:r>
      <w:rPr/>
      <w:drawing>
        <wp:inline distT="0" distB="0" distL="0" distR="0">
          <wp:extent cx="5391150" cy="266700"/>
          <wp:effectExtent l="0" t="0" r="0" b="0"/>
          <wp:docPr id="2" name="Imagen 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descr=""/>
                  <pic:cNvPicPr>
                    <a:picLocks noChangeAspect="1" noChangeArrowheads="1"/>
                  </pic:cNvPicPr>
                </pic:nvPicPr>
                <pic:blipFill>
                  <a:blip r:embed="rId1"/>
                  <a:stretch>
                    <a:fillRect/>
                  </a:stretch>
                </pic:blipFill>
                <pic:spPr bwMode="auto">
                  <a:xfrm>
                    <a:off x="0" y="0"/>
                    <a:ext cx="5391150" cy="266700"/>
                  </a:xfrm>
                  <a:prstGeom prst="rect">
                    <a:avLst/>
                  </a:prstGeom>
                </pic:spPr>
              </pic:pic>
            </a:graphicData>
          </a:graphic>
        </wp:inline>
      </w:drawing>
    </w:r>
    <w:r>
      <w:rPr/>
      <w:t xml:space="preserve"> </w:t>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Cabecera"/>
      <w:rPr/>
    </w:pPr>
    <w:r>
      <w:rPr/>
      <w:drawing>
        <wp:inline distT="0" distB="0" distL="0" distR="0">
          <wp:extent cx="1743075" cy="695325"/>
          <wp:effectExtent l="0" t="0" r="0" b="0"/>
          <wp:docPr id="1" name="Imagen 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descr=""/>
                  <pic:cNvPicPr>
                    <a:picLocks noChangeAspect="1" noChangeArrowheads="1"/>
                  </pic:cNvPicPr>
                </pic:nvPicPr>
                <pic:blipFill>
                  <a:blip r:embed="rId1"/>
                  <a:stretch>
                    <a:fillRect/>
                  </a:stretch>
                </pic:blipFill>
                <pic:spPr bwMode="auto">
                  <a:xfrm>
                    <a:off x="0" y="0"/>
                    <a:ext cx="1743075" cy="695325"/>
                  </a:xfrm>
                  <a:prstGeom prst="rect">
                    <a:avLst/>
                  </a:prstGeom>
                </pic:spPr>
              </pic:pic>
            </a:graphicData>
          </a:graphic>
        </wp:inline>
      </w:drawing>
    </w:r>
    <w:r>
      <w:rPr/>
      <w:t xml:space="preserve"> </w:t>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
    <w:lvl w:ilvl="0">
      <w:start w:val="1"/>
      <w:numFmt w:val="bullet"/>
      <w:lvlText w:val="-"/>
      <w:lvlJc w:val="left"/>
      <w:pPr>
        <w:tabs>
          <w:tab w:val="num" w:pos="0"/>
        </w:tabs>
        <w:ind w:left="720" w:hanging="360"/>
      </w:pPr>
      <w:rPr>
        <w:rFonts w:ascii="Arial" w:hAnsi="Arial" w:cs="Aria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3">
    <w:lvl w:ilvl="0">
      <w:start w:val="1"/>
      <w:numFmt w:val="bullet"/>
      <w:lvlText w:val=""/>
      <w:lvlJc w:val="left"/>
      <w:pPr>
        <w:tabs>
          <w:tab w:val="num" w:pos="0"/>
        </w:tabs>
        <w:ind w:left="1440" w:hanging="360"/>
      </w:pPr>
      <w:rPr>
        <w:rFonts w:ascii="Symbol" w:hAnsi="Symbol" w:cs="Symbol" w:hint="default"/>
      </w:rPr>
    </w:lvl>
    <w:lvl w:ilvl="1">
      <w:start w:val="1"/>
      <w:numFmt w:val="bullet"/>
      <w:lvlText w:val="o"/>
      <w:lvlJc w:val="left"/>
      <w:pPr>
        <w:tabs>
          <w:tab w:val="num" w:pos="0"/>
        </w:tabs>
        <w:ind w:left="2160" w:hanging="360"/>
      </w:pPr>
      <w:rPr>
        <w:rFonts w:ascii="Courier New" w:hAnsi="Courier New" w:cs="Courier New" w:hint="default"/>
      </w:rPr>
    </w:lvl>
    <w:lvl w:ilvl="2">
      <w:start w:val="1"/>
      <w:numFmt w:val="bullet"/>
      <w:lvlText w:val=""/>
      <w:lvlJc w:val="left"/>
      <w:pPr>
        <w:tabs>
          <w:tab w:val="num" w:pos="0"/>
        </w:tabs>
        <w:ind w:left="2880" w:hanging="360"/>
      </w:pPr>
      <w:rPr>
        <w:rFonts w:ascii="Wingdings" w:hAnsi="Wingdings" w:cs="Wingdings" w:hint="default"/>
      </w:rPr>
    </w:lvl>
    <w:lvl w:ilvl="3">
      <w:start w:val="1"/>
      <w:numFmt w:val="bullet"/>
      <w:lvlText w:val=""/>
      <w:lvlJc w:val="left"/>
      <w:pPr>
        <w:tabs>
          <w:tab w:val="num" w:pos="0"/>
        </w:tabs>
        <w:ind w:left="3600" w:hanging="360"/>
      </w:pPr>
      <w:rPr>
        <w:rFonts w:ascii="Symbol" w:hAnsi="Symbol" w:cs="Symbol" w:hint="default"/>
      </w:rPr>
    </w:lvl>
    <w:lvl w:ilvl="4">
      <w:start w:val="1"/>
      <w:numFmt w:val="bullet"/>
      <w:lvlText w:val="o"/>
      <w:lvlJc w:val="left"/>
      <w:pPr>
        <w:tabs>
          <w:tab w:val="num" w:pos="0"/>
        </w:tabs>
        <w:ind w:left="4320" w:hanging="360"/>
      </w:pPr>
      <w:rPr>
        <w:rFonts w:ascii="Courier New" w:hAnsi="Courier New" w:cs="Courier New" w:hint="default"/>
      </w:rPr>
    </w:lvl>
    <w:lvl w:ilvl="5">
      <w:start w:val="1"/>
      <w:numFmt w:val="bullet"/>
      <w:lvlText w:val=""/>
      <w:lvlJc w:val="left"/>
      <w:pPr>
        <w:tabs>
          <w:tab w:val="num" w:pos="0"/>
        </w:tabs>
        <w:ind w:left="5040" w:hanging="360"/>
      </w:pPr>
      <w:rPr>
        <w:rFonts w:ascii="Wingdings" w:hAnsi="Wingdings" w:cs="Wingdings" w:hint="default"/>
      </w:rPr>
    </w:lvl>
    <w:lvl w:ilvl="6">
      <w:start w:val="1"/>
      <w:numFmt w:val="bullet"/>
      <w:lvlText w:val=""/>
      <w:lvlJc w:val="left"/>
      <w:pPr>
        <w:tabs>
          <w:tab w:val="num" w:pos="0"/>
        </w:tabs>
        <w:ind w:left="5760" w:hanging="360"/>
      </w:pPr>
      <w:rPr>
        <w:rFonts w:ascii="Symbol" w:hAnsi="Symbol" w:cs="Symbol" w:hint="default"/>
      </w:rPr>
    </w:lvl>
    <w:lvl w:ilvl="7">
      <w:start w:val="1"/>
      <w:numFmt w:val="bullet"/>
      <w:lvlText w:val="o"/>
      <w:lvlJc w:val="left"/>
      <w:pPr>
        <w:tabs>
          <w:tab w:val="num" w:pos="0"/>
        </w:tabs>
        <w:ind w:left="6480" w:hanging="360"/>
      </w:pPr>
      <w:rPr>
        <w:rFonts w:ascii="Courier New" w:hAnsi="Courier New" w:cs="Courier New" w:hint="default"/>
      </w:rPr>
    </w:lvl>
    <w:lvl w:ilvl="8">
      <w:start w:val="1"/>
      <w:numFmt w:val="bullet"/>
      <w:lvlText w:val=""/>
      <w:lvlJc w:val="left"/>
      <w:pPr>
        <w:tabs>
          <w:tab w:val="num" w:pos="0"/>
        </w:tabs>
        <w:ind w:left="7200" w:hanging="360"/>
      </w:pPr>
      <w:rPr>
        <w:rFonts w:ascii="Wingdings" w:hAnsi="Wingdings" w:cs="Wingdings" w:hint="default"/>
      </w:rPr>
    </w:lvl>
  </w:abstractNum>
  <w:abstractNum w:abstractNumId="4">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 w:numId="4">
    <w:abstractNumId w:val="4"/>
  </w:num>
</w:numbering>
</file>

<file path=word/settings.xml><?xml version="1.0" encoding="utf-8"?>
<w:settings xmlns:w="http://schemas.openxmlformats.org/wordprocessingml/2006/main">
  <w:zoom w:percent="100"/>
  <w:embedSystemFonts/>
  <w:defaultTabStop w:val="709"/>
  <w:autoHyphenation w:val="tru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hyphenationZone w:val="425"/>
  <w:themeFontLang w:val="ca-ES"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Times New Roman" w:cs="Times New Roman"/>
        <w:lang w:val="ca-ES" w:eastAsia="ca-ES" w:bidi="ar-SA"/>
      </w:rPr>
    </w:rPrDefault>
    <w:pPrDefault>
      <w:pPr>
        <w:suppressAutoHyphens w:val="true"/>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widowControl w:val="false"/>
      <w:suppressAutoHyphens w:val="true"/>
      <w:bidi w:val="0"/>
      <w:spacing w:before="0" w:after="0"/>
      <w:jc w:val="left"/>
    </w:pPr>
    <w:rPr>
      <w:rFonts w:ascii="Arial" w:hAnsi="Arial" w:eastAsia="Lucida Sans Unicode" w:cs="Times New Roman"/>
      <w:color w:val="auto"/>
      <w:kern w:val="2"/>
      <w:sz w:val="22"/>
      <w:szCs w:val="24"/>
      <w:lang w:val="es-ES" w:eastAsia="ca-ES" w:bidi="ar-SA"/>
    </w:rPr>
  </w:style>
  <w:style w:type="character" w:styleId="DefaultParagraphFont" w:default="1">
    <w:name w:val="Default Paragraph Font"/>
    <w:uiPriority w:val="1"/>
    <w:semiHidden/>
    <w:unhideWhenUsed/>
    <w:qFormat/>
    <w:rPr/>
  </w:style>
  <w:style w:type="character" w:styleId="EnlladInternet">
    <w:name w:val="Enllaç d'Internet"/>
    <w:qFormat/>
    <w:rPr>
      <w:color w:val="000080"/>
      <w:u w:val="single"/>
      <w:lang w:val="zxx" w:eastAsia="zxx" w:bidi="zxx"/>
    </w:rPr>
  </w:style>
  <w:style w:type="character" w:styleId="EnlacedeInternet">
    <w:name w:val="Enlace de Internet"/>
    <w:rPr>
      <w:color w:val="000080"/>
      <w:u w:val="single"/>
      <w:lang w:val="zxx" w:eastAsia="zxx" w:bidi="zxx"/>
    </w:rPr>
  </w:style>
  <w:style w:type="paragraph" w:styleId="Ttulo">
    <w:name w:val="Título"/>
    <w:basedOn w:val="Normal"/>
    <w:next w:val="Cuerpodetexto"/>
    <w:qFormat/>
    <w:pPr>
      <w:keepNext w:val="true"/>
      <w:spacing w:before="240" w:after="120"/>
    </w:pPr>
    <w:rPr>
      <w:rFonts w:ascii="Liberation Sans" w:hAnsi="Liberation Sans" w:eastAsia="Microsoft YaHei" w:cs="Lucida Sans"/>
      <w:sz w:val="28"/>
      <w:szCs w:val="28"/>
    </w:rPr>
  </w:style>
  <w:style w:type="paragraph" w:styleId="Cuerpodetexto">
    <w:name w:val="Body Text"/>
    <w:basedOn w:val="Normal"/>
    <w:pPr>
      <w:spacing w:before="0" w:after="120"/>
    </w:pPr>
    <w:rPr/>
  </w:style>
  <w:style w:type="paragraph" w:styleId="Lista">
    <w:name w:val="List"/>
    <w:basedOn w:val="Cuerpodetexto"/>
    <w:pPr/>
    <w:rPr>
      <w:rFonts w:cs="Tahoma"/>
    </w:rPr>
  </w:style>
  <w:style w:type="paragraph" w:styleId="Leyenda">
    <w:name w:val="Caption"/>
    <w:basedOn w:val="Normal"/>
    <w:qFormat/>
    <w:pPr>
      <w:suppressLineNumbers/>
      <w:spacing w:before="120" w:after="120"/>
    </w:pPr>
    <w:rPr>
      <w:rFonts w:cs="Lucida Sans"/>
      <w:i/>
      <w:iCs/>
      <w:sz w:val="24"/>
      <w:szCs w:val="24"/>
    </w:rPr>
  </w:style>
  <w:style w:type="paragraph" w:styleId="Ndice">
    <w:name w:val="Índice"/>
    <w:basedOn w:val="Normal"/>
    <w:qFormat/>
    <w:pPr>
      <w:suppressLineNumbers/>
    </w:pPr>
    <w:rPr>
      <w:rFonts w:cs="Lucida Sans"/>
    </w:rPr>
  </w:style>
  <w:style w:type="paragraph" w:styleId="Encapalament" w:customStyle="1">
    <w:name w:val="Encapçalament"/>
    <w:basedOn w:val="Normal"/>
    <w:next w:val="Cuerpodetexto"/>
    <w:qFormat/>
    <w:pPr>
      <w:keepNext w:val="true"/>
      <w:spacing w:before="240" w:after="120"/>
    </w:pPr>
    <w:rPr>
      <w:rFonts w:eastAsia="MS Mincho" w:cs="Tahoma"/>
      <w:szCs w:val="28"/>
    </w:rPr>
  </w:style>
  <w:style w:type="paragraph" w:styleId="Ndex" w:customStyle="1">
    <w:name w:val="Índex"/>
    <w:basedOn w:val="Normal"/>
    <w:qFormat/>
    <w:pPr>
      <w:suppressLineNumbers/>
    </w:pPr>
    <w:rPr>
      <w:rFonts w:cs="Tahoma"/>
    </w:rPr>
  </w:style>
  <w:style w:type="paragraph" w:styleId="Caption">
    <w:name w:val="caption"/>
    <w:basedOn w:val="Normal"/>
    <w:qFormat/>
    <w:pPr>
      <w:suppressLineNumbers/>
      <w:spacing w:before="120" w:after="120"/>
    </w:pPr>
    <w:rPr>
      <w:rFonts w:cs="Tahoma"/>
      <w:i/>
      <w:iCs/>
    </w:rPr>
  </w:style>
  <w:style w:type="paragraph" w:styleId="Header1" w:customStyle="1">
    <w:name w:val="Header1"/>
    <w:basedOn w:val="Normal"/>
    <w:qFormat/>
    <w:pPr>
      <w:suppressLineNumbers/>
      <w:tabs>
        <w:tab w:val="clear" w:pos="709"/>
        <w:tab w:val="center" w:pos="4818" w:leader="none"/>
        <w:tab w:val="right" w:pos="9637" w:leader="none"/>
      </w:tabs>
    </w:pPr>
    <w:rPr/>
  </w:style>
  <w:style w:type="paragraph" w:styleId="Footer1" w:customStyle="1">
    <w:name w:val="Footer1"/>
    <w:basedOn w:val="Normal"/>
    <w:qFormat/>
    <w:pPr>
      <w:suppressLineNumbers/>
      <w:tabs>
        <w:tab w:val="clear" w:pos="709"/>
        <w:tab w:val="center" w:pos="4818" w:leader="none"/>
        <w:tab w:val="right" w:pos="9637" w:leader="none"/>
      </w:tabs>
    </w:pPr>
    <w:rPr/>
  </w:style>
  <w:style w:type="paragraph" w:styleId="Header2" w:customStyle="1">
    <w:name w:val="Header2"/>
    <w:basedOn w:val="Normal"/>
    <w:qFormat/>
    <w:pPr>
      <w:suppressLineNumbers/>
      <w:tabs>
        <w:tab w:val="clear" w:pos="709"/>
        <w:tab w:val="right" w:pos="9637" w:leader="none"/>
      </w:tabs>
    </w:pPr>
    <w:rPr/>
  </w:style>
  <w:style w:type="paragraph" w:styleId="Footer2" w:customStyle="1">
    <w:name w:val="Footer2"/>
    <w:basedOn w:val="Normal"/>
    <w:qFormat/>
    <w:pPr>
      <w:suppressLineNumbers/>
      <w:tabs>
        <w:tab w:val="clear" w:pos="709"/>
        <w:tab w:val="right" w:pos="9637" w:leader="none"/>
      </w:tabs>
    </w:pPr>
    <w:rPr/>
  </w:style>
  <w:style w:type="paragraph" w:styleId="Header3" w:customStyle="1">
    <w:name w:val="Header3"/>
    <w:basedOn w:val="Normal"/>
    <w:qFormat/>
    <w:pPr>
      <w:suppressLineNumbers/>
      <w:tabs>
        <w:tab w:val="clear" w:pos="709"/>
        <w:tab w:val="center" w:pos="4818" w:leader="none"/>
        <w:tab w:val="right" w:pos="9637" w:leader="none"/>
      </w:tabs>
    </w:pPr>
    <w:rPr/>
  </w:style>
  <w:style w:type="paragraph" w:styleId="Header4" w:customStyle="1">
    <w:name w:val="Header4"/>
    <w:basedOn w:val="Normal"/>
    <w:qFormat/>
    <w:pPr>
      <w:suppressLineNumbers/>
      <w:tabs>
        <w:tab w:val="clear" w:pos="709"/>
        <w:tab w:val="center" w:pos="4818" w:leader="none"/>
        <w:tab w:val="right" w:pos="9637" w:leader="none"/>
      </w:tabs>
    </w:pPr>
    <w:rPr/>
  </w:style>
  <w:style w:type="paragraph" w:styleId="Footer3" w:customStyle="1">
    <w:name w:val="Footer3"/>
    <w:basedOn w:val="Normal"/>
    <w:qFormat/>
    <w:pPr>
      <w:suppressLineNumbers/>
      <w:tabs>
        <w:tab w:val="clear" w:pos="709"/>
        <w:tab w:val="center" w:pos="4818" w:leader="none"/>
        <w:tab w:val="right" w:pos="9637" w:leader="none"/>
      </w:tabs>
    </w:pPr>
    <w:rPr/>
  </w:style>
  <w:style w:type="paragraph" w:styleId="Contingutdelataula" w:customStyle="1">
    <w:name w:val="Contingut de la taula"/>
    <w:basedOn w:val="Normal"/>
    <w:qFormat/>
    <w:pPr>
      <w:suppressLineNumbers/>
    </w:pPr>
    <w:rPr/>
  </w:style>
  <w:style w:type="paragraph" w:styleId="Encapalamentdelataula" w:customStyle="1">
    <w:name w:val="Encapçalament de la taula"/>
    <w:basedOn w:val="Contingutdelataula"/>
    <w:qFormat/>
    <w:pPr>
      <w:jc w:val="center"/>
    </w:pPr>
    <w:rPr>
      <w:b/>
      <w:bCs/>
    </w:rPr>
  </w:style>
  <w:style w:type="paragraph" w:styleId="Capaleraipeu">
    <w:name w:val="Capçalera i peu"/>
    <w:basedOn w:val="Normal"/>
    <w:qFormat/>
    <w:pPr/>
    <w:rPr/>
  </w:style>
  <w:style w:type="paragraph" w:styleId="Cabeceraypie">
    <w:name w:val="Cabecera y pie"/>
    <w:basedOn w:val="Normal"/>
    <w:qFormat/>
    <w:pPr/>
    <w:rPr/>
  </w:style>
  <w:style w:type="paragraph" w:styleId="Cabecera">
    <w:name w:val="Header"/>
    <w:basedOn w:val="Normal"/>
    <w:pPr>
      <w:suppressLineNumbers/>
      <w:tabs>
        <w:tab w:val="clear" w:pos="709"/>
        <w:tab w:val="center" w:pos="5386" w:leader="none"/>
        <w:tab w:val="right" w:pos="10772" w:leader="none"/>
      </w:tabs>
    </w:pPr>
    <w:rPr/>
  </w:style>
  <w:style w:type="paragraph" w:styleId="Piedepgina">
    <w:name w:val="Footer"/>
    <w:basedOn w:val="Normal"/>
    <w:pPr>
      <w:suppressLineNumbers/>
      <w:tabs>
        <w:tab w:val="clear" w:pos="709"/>
        <w:tab w:val="center" w:pos="5386" w:leader="none"/>
        <w:tab w:val="right" w:pos="10772" w:leader="none"/>
      </w:tabs>
    </w:pPr>
    <w:rPr/>
  </w:style>
  <w:style w:type="paragraph" w:styleId="Western" w:customStyle="1">
    <w:name w:val="western"/>
    <w:basedOn w:val="Normal"/>
    <w:qFormat/>
    <w:rsid w:val="00cc1cf0"/>
    <w:pPr>
      <w:widowControl/>
      <w:suppressAutoHyphens w:val="false"/>
      <w:spacing w:beforeAutospacing="1" w:afterAutospacing="1"/>
      <w:jc w:val="both"/>
    </w:pPr>
    <w:rPr>
      <w:rFonts w:eastAsia="Times New Roman" w:cs="Arial"/>
      <w:color w:val="000000"/>
      <w:kern w:val="0"/>
      <w:sz w:val="24"/>
      <w:lang w:val="ca-ES"/>
    </w:rPr>
  </w:style>
  <w:style w:type="numbering" w:styleId="NoList" w:default="1">
    <w:name w:val="No List"/>
    <w:uiPriority w:val="99"/>
    <w:semiHidden/>
    <w:unhideWhenUsed/>
    <w:qFormat/>
  </w:style>
  <w:style w:type="table" w:default="1" w:styleId="Tablanormal">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banyeresdelpenedes.eadministracio.cat/info.0" TargetMode="External"/><Relationship Id="rId3" Type="http://schemas.openxmlformats.org/officeDocument/2006/relationships/header" Target="header1.xml"/><Relationship Id="rId4" Type="http://schemas.openxmlformats.org/officeDocument/2006/relationships/footer" Target="footer1.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Relationship Id="rId8" Type="http://schemas.openxmlformats.org/officeDocument/2006/relationships/theme" Target="theme/theme1.xml"/>
</Relationships>
</file>

<file path=word/_rels/footer1.xml.rels><?xml version="1.0" encoding="UTF-8"?>
<Relationships xmlns="http://schemas.openxmlformats.org/package/2006/relationships"><Relationship Id="rId1" Type="http://schemas.openxmlformats.org/officeDocument/2006/relationships/image" Target="media/image2.jpeg"/>
</Relationships>
</file>

<file path=word/_rels/header1.xml.rels><?xml version="1.0" encoding="UTF-8"?>
<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38</TotalTime>
  <Application>LibreOffice/7.1.3.2$Windows_X86_64 LibreOffice_project/47f78053abe362b9384784d31a6e56f8511eb1c1</Application>
  <AppVersion>15.0000</AppVersion>
  <Pages>2</Pages>
  <Words>808</Words>
  <Characters>4404</Characters>
  <CharactersWithSpaces>5183</CharactersWithSpaces>
  <Paragraphs>33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2021-06-14T07:00:00Z</dcterms:created>
  <dc:creator>Centre Civic</dc:creator>
  <dc:description/>
  <dc:language>ca-ES</dc:language>
  <cp:lastModifiedBy/>
  <cp:lastPrinted>1899-12-31T23:00:00Z</cp:lastPrinted>
  <dcterms:modified xsi:type="dcterms:W3CDTF">2022-03-22T14:19:07Z</dcterms:modified>
  <cp:revision>10</cp:revision>
  <dc:subject/>
  <dc:title/>
</cp:coreProperties>
</file>

<file path=docProps/custom.xml><?xml version="1.0" encoding="utf-8"?>
<Properties xmlns="http://schemas.openxmlformats.org/officeDocument/2006/custom-properties" xmlns:vt="http://schemas.openxmlformats.org/officeDocument/2006/docPropsVTypes"/>
</file>