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2.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Cuerpodetexto"/>
        <w:jc w:val="center"/>
        <w:rPr>
          <w:b/>
          <w:b/>
          <w:bCs/>
          <w:sz w:val="21"/>
          <w:szCs w:val="21"/>
        </w:rPr>
      </w:pPr>
      <w:r>
        <w:rPr>
          <w:b/>
          <w:bCs/>
          <w:sz w:val="21"/>
          <w:szCs w:val="21"/>
        </w:rPr>
        <w:t>ANEXO I</w:t>
      </w:r>
    </w:p>
    <w:p>
      <w:pPr>
        <w:pStyle w:val="Cuerpodetexto"/>
        <w:rPr>
          <w:b/>
          <w:b/>
          <w:bCs/>
          <w:sz w:val="21"/>
          <w:szCs w:val="21"/>
        </w:rPr>
      </w:pPr>
      <w:r>
        <w:rPr>
          <w:b/>
          <w:bCs/>
          <w:sz w:val="21"/>
          <w:szCs w:val="21"/>
        </w:rPr>
      </w:r>
    </w:p>
    <w:p>
      <w:pPr>
        <w:pStyle w:val="Cuerpodetexto"/>
        <w:jc w:val="both"/>
        <w:rPr/>
      </w:pPr>
      <w:r>
        <w:rPr>
          <w:b/>
          <w:bCs/>
          <w:sz w:val="21"/>
          <w:szCs w:val="21"/>
        </w:rPr>
        <w:t xml:space="preserve">CONVOCATORIA PARA LA CONCESIÓN DE AYUDAS POR REHABILITACIÓN DE FACHADAS, AÑO </w:t>
      </w:r>
      <w:r>
        <w:rPr>
          <w:b/>
          <w:bCs/>
          <w:sz w:val="21"/>
          <w:szCs w:val="21"/>
          <w:shd w:fill="auto" w:val="clear"/>
        </w:rPr>
        <w:t>2022</w:t>
      </w:r>
    </w:p>
    <w:p>
      <w:pPr>
        <w:pStyle w:val="Cuerpodetexto"/>
        <w:jc w:val="both"/>
        <w:rPr>
          <w:sz w:val="21"/>
          <w:szCs w:val="21"/>
        </w:rPr>
      </w:pPr>
      <w:r>
        <w:rPr>
          <w:sz w:val="21"/>
          <w:szCs w:val="21"/>
        </w:rPr>
        <w:br/>
        <w:br/>
        <w:t>1. Régimen específico de la convocatoria: las bases reguladoras de la concesión de estas ayudas están contenidas en la Ordenanza específica para la concesión de ayudas económicas por la rehabilitación de fachadas, aprobada inicialmente en fecha 17 de mayo de 2018 y definitivamente en fecha 24 de julio de 2018. Entró en vigor en fecha 27 de agosto de 2018 con su publicación al BOPT.</w:t>
      </w:r>
    </w:p>
    <w:p>
      <w:pPr>
        <w:pStyle w:val="Cuerpodetexto"/>
        <w:jc w:val="both"/>
        <w:rPr/>
      </w:pPr>
      <w:r>
        <w:rPr>
          <w:sz w:val="21"/>
          <w:szCs w:val="21"/>
        </w:rPr>
        <w:br/>
        <w:br/>
        <w:t xml:space="preserve">2. Créditos presupuestarios a los cuales se imputan las ayudas: aplicación presupuestaria </w:t>
      </w:r>
      <w:r>
        <w:rPr>
          <w:rFonts w:eastAsia="Times New Roman" w:cs="Arial"/>
          <w:kern w:val="0"/>
          <w:sz w:val="21"/>
          <w:szCs w:val="21"/>
          <w:shd w:fill="auto" w:val="clear"/>
          <w:lang w:val="ca-ES" w:eastAsia="es-ES"/>
        </w:rPr>
        <w:t>1522 482.00</w:t>
      </w:r>
      <w:r>
        <w:rPr>
          <w:sz w:val="21"/>
          <w:szCs w:val="21"/>
        </w:rPr>
        <w:t xml:space="preserve"> del presupuesto del año</w:t>
      </w:r>
      <w:r>
        <w:rPr>
          <w:sz w:val="21"/>
          <w:szCs w:val="21"/>
          <w:shd w:fill="auto" w:val="clear"/>
        </w:rPr>
        <w:t xml:space="preserve"> 2022.</w:t>
      </w:r>
    </w:p>
    <w:p>
      <w:pPr>
        <w:pStyle w:val="Cuerpodetexto"/>
        <w:jc w:val="both"/>
        <w:rPr>
          <w:sz w:val="21"/>
          <w:szCs w:val="21"/>
        </w:rPr>
      </w:pPr>
      <w:r>
        <w:rPr>
          <w:sz w:val="21"/>
          <w:szCs w:val="21"/>
        </w:rPr>
        <w:br/>
        <w:br/>
        <w:t>3. Cuantía total máxima de las ayudas: 2.000,00 euros.</w:t>
      </w:r>
    </w:p>
    <w:p>
      <w:pPr>
        <w:pStyle w:val="Cuerpodetexto"/>
        <w:jc w:val="both"/>
        <w:rPr>
          <w:sz w:val="21"/>
          <w:szCs w:val="21"/>
        </w:rPr>
      </w:pPr>
      <w:r>
        <w:rPr>
          <w:sz w:val="21"/>
          <w:szCs w:val="21"/>
        </w:rPr>
        <w:br/>
        <w:br/>
        <w:t>4. Cuantía individual de las ayudas:</w:t>
      </w:r>
    </w:p>
    <w:p>
      <w:pPr>
        <w:pStyle w:val="Cuerpodetexto"/>
        <w:jc w:val="both"/>
        <w:rPr>
          <w:sz w:val="21"/>
          <w:szCs w:val="21"/>
        </w:rPr>
      </w:pPr>
      <w:r>
        <w:rPr>
          <w:sz w:val="21"/>
          <w:szCs w:val="21"/>
        </w:rPr>
        <w:br/>
        <w:br/>
        <w:t xml:space="preserve">La ayuda otorgada por parte del Ayuntamiento será del 10% del coste de rehabilitación de la fachada, con un máximo de 1.000 euros por actuación. Será coste subvencionable el IVA siempre y cuando el beneficiario no se lo pueda deducir. </w:t>
      </w:r>
    </w:p>
    <w:p>
      <w:pPr>
        <w:pStyle w:val="Cuerpodetexto"/>
        <w:jc w:val="both"/>
        <w:rPr>
          <w:sz w:val="21"/>
          <w:szCs w:val="21"/>
        </w:rPr>
      </w:pPr>
      <w:r>
        <w:rPr>
          <w:sz w:val="21"/>
          <w:szCs w:val="21"/>
        </w:rPr>
        <w:br/>
        <w:br/>
        <w:t>Se establece un incremento de la ayuda de un 5% cuando los propietarios de las viviendas sean:</w:t>
      </w:r>
    </w:p>
    <w:p>
      <w:pPr>
        <w:pStyle w:val="Cuerpodetexto"/>
        <w:jc w:val="both"/>
        <w:rPr>
          <w:sz w:val="21"/>
          <w:szCs w:val="21"/>
        </w:rPr>
      </w:pPr>
      <w:r>
        <w:rPr>
          <w:sz w:val="21"/>
          <w:szCs w:val="21"/>
        </w:rPr>
        <w:br/>
        <w:t>• Jóvenes de entre 18 y 32 años</w:t>
      </w:r>
    </w:p>
    <w:p>
      <w:pPr>
        <w:pStyle w:val="Cuerpodetexto"/>
        <w:jc w:val="both"/>
        <w:rPr>
          <w:sz w:val="21"/>
          <w:szCs w:val="21"/>
        </w:rPr>
      </w:pPr>
      <w:r>
        <w:rPr>
          <w:sz w:val="21"/>
          <w:szCs w:val="21"/>
        </w:rPr>
        <w:t>.</w:t>
        <w:br/>
        <w:t xml:space="preserve">• Personas más grandes de 65 años. </w:t>
      </w:r>
    </w:p>
    <w:p>
      <w:pPr>
        <w:pStyle w:val="Cuerpodetexto"/>
        <w:jc w:val="both"/>
        <w:rPr>
          <w:sz w:val="21"/>
          <w:szCs w:val="21"/>
        </w:rPr>
      </w:pPr>
      <w:r>
        <w:rPr>
          <w:sz w:val="21"/>
          <w:szCs w:val="21"/>
        </w:rPr>
        <w:br/>
        <w:t>• Personas con una discapacidad mínima del 33%.</w:t>
      </w:r>
    </w:p>
    <w:p>
      <w:pPr>
        <w:pStyle w:val="Cuerpodetexto"/>
        <w:jc w:val="both"/>
        <w:rPr>
          <w:sz w:val="21"/>
          <w:szCs w:val="21"/>
        </w:rPr>
      </w:pPr>
      <w:r>
        <w:rPr>
          <w:sz w:val="21"/>
          <w:szCs w:val="21"/>
        </w:rPr>
        <w:br/>
        <w:br/>
        <w:t>Se establece un incremento de la ayuda de un 5% a los propietarios de viviendas que estén desocupados y que quieren ser destinados a alquiler. No hay posibilidad de acumular este 5% al establecido al anterior párrafo.</w:t>
      </w:r>
    </w:p>
    <w:p>
      <w:pPr>
        <w:pStyle w:val="Cuerpodetexto"/>
        <w:jc w:val="both"/>
        <w:rPr>
          <w:sz w:val="21"/>
          <w:szCs w:val="21"/>
        </w:rPr>
      </w:pPr>
      <w:r>
        <w:rPr>
          <w:sz w:val="21"/>
          <w:szCs w:val="21"/>
        </w:rPr>
        <w:br/>
        <w:br/>
        <w:t>5. El objeto, las condiciones y la finalidad de la concesión de las ayudas, los requisitos para solicitarlos y la documentación que se tiene que adjuntar a la solicitud, las obligaciones de los beneficiarios, así como los criterios de valoración constan en las bases reguladoras de estas ayudas.</w:t>
      </w:r>
    </w:p>
    <w:p>
      <w:pPr>
        <w:pStyle w:val="Cuerpodetexto"/>
        <w:jc w:val="both"/>
        <w:rPr>
          <w:sz w:val="21"/>
          <w:szCs w:val="21"/>
        </w:rPr>
      </w:pPr>
      <w:r>
        <w:rPr>
          <w:sz w:val="21"/>
          <w:szCs w:val="21"/>
        </w:rPr>
        <w:br/>
        <w:br/>
        <w:t>6. Régimen de concesión: el procedimiento para la concesión de estas ayudas es en régimen de concurrencia competitiva, por orden cronológico de entrada al Registro General del Ayuntamiento.</w:t>
      </w:r>
    </w:p>
    <w:p>
      <w:pPr>
        <w:pStyle w:val="Cuerpodetexto"/>
        <w:jc w:val="both"/>
        <w:rPr>
          <w:sz w:val="21"/>
          <w:szCs w:val="21"/>
        </w:rPr>
      </w:pPr>
      <w:r>
        <w:rPr>
          <w:sz w:val="21"/>
          <w:szCs w:val="21"/>
        </w:rPr>
        <w:br/>
        <w:br/>
        <w:t>7. Órgano competente para la instrucción del procedimiento: Secretaría Municipal.</w:t>
      </w:r>
    </w:p>
    <w:p>
      <w:pPr>
        <w:pStyle w:val="Cuerpodetexto"/>
        <w:jc w:val="both"/>
        <w:rPr>
          <w:sz w:val="21"/>
          <w:szCs w:val="21"/>
        </w:rPr>
      </w:pPr>
      <w:r>
        <w:rPr>
          <w:sz w:val="21"/>
          <w:szCs w:val="21"/>
        </w:rPr>
        <w:br/>
        <w:br/>
        <w:t xml:space="preserve">8. Órgano competente para la resolución del procedimiento: Junta de Gobierno Local. </w:t>
      </w:r>
    </w:p>
    <w:p>
      <w:pPr>
        <w:pStyle w:val="Cuerpodetexto"/>
        <w:jc w:val="both"/>
        <w:rPr/>
      </w:pPr>
      <w:r>
        <w:rPr>
          <w:sz w:val="21"/>
          <w:szCs w:val="21"/>
        </w:rPr>
        <w:br/>
        <w:br/>
        <w:t xml:space="preserve">9. Plazo de presentación de solicitudes: por la naturaleza de las ayudas, no están sometidos a un plazo concreto de solicitud, se puede presentar en cualquier momento del este año, desde la publicación del extracto de la convocatoria en el Boletín Oficial de la Provincia de Tarragona y hasta el 30 de noviembre de </w:t>
      </w:r>
      <w:r>
        <w:rPr>
          <w:sz w:val="21"/>
          <w:szCs w:val="21"/>
          <w:shd w:fill="auto" w:val="clear"/>
        </w:rPr>
        <w:t>2022</w:t>
      </w:r>
      <w:r>
        <w:rPr>
          <w:sz w:val="21"/>
          <w:szCs w:val="21"/>
        </w:rPr>
        <w:t>.</w:t>
      </w:r>
    </w:p>
    <w:p>
      <w:pPr>
        <w:pStyle w:val="Cuerpodetexto"/>
        <w:jc w:val="both"/>
        <w:rPr/>
      </w:pPr>
      <w:r>
        <w:rPr>
          <w:sz w:val="21"/>
          <w:szCs w:val="21"/>
        </w:rPr>
        <w:br/>
        <w:br/>
        <w:t xml:space="preserve">10. Forma de presentación de solicitudes: presencialmente en el Registro General del Ayuntamiento en horario de atención al público o electrónicamente en la Sede Electrónica del Ayuntamiento: </w:t>
      </w:r>
      <w:hyperlink r:id="rId2">
        <w:r>
          <w:rPr>
            <w:rStyle w:val="EnlacedeInternet"/>
            <w:sz w:val="21"/>
            <w:szCs w:val="21"/>
          </w:rPr>
          <w:t>https://banyeresdelpenedes.eadministracio.cat/info.0</w:t>
        </w:r>
      </w:hyperlink>
      <w:r>
        <w:rPr>
          <w:sz w:val="21"/>
          <w:szCs w:val="21"/>
        </w:rPr>
        <w:t>.</w:t>
      </w:r>
    </w:p>
    <w:p>
      <w:pPr>
        <w:pStyle w:val="Cuerpodetexto"/>
        <w:jc w:val="both"/>
        <w:rPr>
          <w:sz w:val="21"/>
          <w:szCs w:val="21"/>
        </w:rPr>
      </w:pPr>
      <w:r>
        <w:rPr>
          <w:sz w:val="21"/>
          <w:szCs w:val="21"/>
        </w:rPr>
        <w:br/>
        <w:br/>
        <w:t>11. Plazo de resolución y notificación: Una vez recibida la solicitud se pasará a informe de los diferentes servicios municipales y la Junta de Gobierno resolverá el otorgamiento de la subvención, si se tercia. En caso de que en la solicitud se detectaran deficiencias, estas serán notificadas al solicitante para su enmienda en un plazo de 10 días hábiles, contadores desde el día siguiente de haber recibido el requerimiento de enmienda. En caso de no atender el requerimiento de enmienda efectuado por el Ayuntamiento, se entenderá que el solicitante desiste de su petición.</w:t>
      </w:r>
    </w:p>
    <w:p>
      <w:pPr>
        <w:pStyle w:val="Cuerpodetexto"/>
        <w:jc w:val="both"/>
        <w:rPr>
          <w:sz w:val="21"/>
          <w:szCs w:val="21"/>
        </w:rPr>
      </w:pPr>
      <w:r>
        <w:rPr>
          <w:sz w:val="21"/>
          <w:szCs w:val="21"/>
        </w:rPr>
        <w:br/>
        <w:br/>
        <w:t>En el plazo máximo de treinta días a contar desde el día siguiente de la fecha de presentación de la solicitud, el Ayuntamiento otorgará o denegará la subvención. Si transcurrido este plazo el Ayuntamiento no emitiera resolución exprés, el solicitante podrá entender desestimada su solicitud.</w:t>
      </w:r>
    </w:p>
    <w:p>
      <w:pPr>
        <w:pStyle w:val="Cuerpodetexto"/>
        <w:jc w:val="both"/>
        <w:rPr/>
      </w:pPr>
      <w:r>
        <w:rPr>
          <w:rFonts w:eastAsia="Arial"/>
          <w:sz w:val="21"/>
          <w:szCs w:val="21"/>
        </w:rPr>
        <w:t xml:space="preserve"> </w:t>
      </w:r>
      <w:r>
        <w:rPr>
          <w:sz w:val="21"/>
          <w:szCs w:val="21"/>
        </w:rPr>
        <w:br/>
        <w:br/>
        <w:t>12. Crédito presupuestario: en el presupuesto del ejercicio vigente existe un crédito presupuestario de 2.000 euros para financiar las actuaciones objeto de estas bases. Este importe será el límite para la tramitación y la concesión de las ayudas de referencia.</w:t>
      </w:r>
    </w:p>
    <w:p>
      <w:pPr>
        <w:pStyle w:val="Cuerpodetexto"/>
        <w:jc w:val="both"/>
        <w:rPr>
          <w:sz w:val="21"/>
          <w:szCs w:val="21"/>
        </w:rPr>
      </w:pPr>
      <w:r>
        <w:rPr>
          <w:sz w:val="21"/>
          <w:szCs w:val="21"/>
        </w:rPr>
        <w:br/>
        <w:br/>
        <w:t>13. Justificación de las ayudas: Una vez resuelta el procedimiento de la concesión de la subvención, antes de poder exigir el pago, el titular beneficiario resto obligado a justificar en el Ayuntamiento que ha llevado a cabo la rehabilitación de la fachada.</w:t>
      </w:r>
    </w:p>
    <w:p>
      <w:pPr>
        <w:pStyle w:val="Cuerpodetexto"/>
        <w:jc w:val="both"/>
        <w:rPr>
          <w:sz w:val="21"/>
          <w:szCs w:val="21"/>
        </w:rPr>
      </w:pPr>
      <w:r>
        <w:rPr>
          <w:sz w:val="21"/>
          <w:szCs w:val="21"/>
        </w:rPr>
        <w:br/>
        <w:br/>
        <w:t>Los beneficiarios tendrán que adjuntar la siguiente documentación:</w:t>
      </w:r>
    </w:p>
    <w:p>
      <w:pPr>
        <w:pStyle w:val="Cuerpodetexto"/>
        <w:jc w:val="both"/>
        <w:rPr>
          <w:sz w:val="21"/>
          <w:szCs w:val="21"/>
        </w:rPr>
      </w:pPr>
      <w:r>
        <w:rPr>
          <w:sz w:val="21"/>
          <w:szCs w:val="21"/>
        </w:rPr>
        <w:br/>
        <w:t>• Declaración sobre la finalización de las obras.</w:t>
      </w:r>
    </w:p>
    <w:p>
      <w:pPr>
        <w:pStyle w:val="Cuerpodetexto"/>
        <w:jc w:val="both"/>
        <w:rPr>
          <w:sz w:val="21"/>
          <w:szCs w:val="21"/>
        </w:rPr>
      </w:pPr>
      <w:r>
        <w:rPr>
          <w:sz w:val="21"/>
          <w:szCs w:val="21"/>
        </w:rPr>
        <w:br/>
        <w:t xml:space="preserve">• Declaración de no haber obtenido más subvenciones o ayudas. En caso de haber solicitado o recibo otros subvenciones o ayudas, tendrán que presentar acreditación documental de la subvención solicitada o recibimiento. </w:t>
      </w:r>
    </w:p>
    <w:p>
      <w:pPr>
        <w:pStyle w:val="Cuerpodetexto"/>
        <w:jc w:val="both"/>
        <w:rPr>
          <w:sz w:val="21"/>
          <w:szCs w:val="21"/>
        </w:rPr>
      </w:pPr>
      <w:r>
        <w:rPr>
          <w:sz w:val="21"/>
          <w:szCs w:val="21"/>
        </w:rPr>
        <w:br/>
        <w:t>• Fotografía del cartel anunciador de la subvención municipal concedida.</w:t>
      </w:r>
    </w:p>
    <w:p>
      <w:pPr>
        <w:pStyle w:val="Cuerpodetexto"/>
        <w:jc w:val="both"/>
        <w:rPr/>
      </w:pPr>
      <w:r>
        <w:rPr>
          <w:rFonts w:eastAsia="Arial"/>
          <w:sz w:val="21"/>
          <w:szCs w:val="21"/>
        </w:rPr>
        <w:t xml:space="preserve"> </w:t>
      </w:r>
      <w:r>
        <w:rPr>
          <w:sz w:val="21"/>
          <w:szCs w:val="21"/>
        </w:rPr>
        <w:br/>
        <w:br/>
        <w:t>14. Ley 38/2003, de 17 de noviembre, general de subvenciones; Decreto 179/1995, de 13 de junio, por el cual se aprueba el Reglamento de obras, actividades y servicios de los entes locales; Ley 19/2014, del 29 de diciembre, de transparencia, acceso a la información pública y buen gobierno; Ley 39/2015, de 1 de octubre, de procedimiento administrativo común de las Administraciones Públicas, Ley 40/2015, de 1 de octubre, de Régimen Jurídico del Sector Público y Ley 26/2010, de 3 de agosto, de régimen jurídico y de procedimiento de las administraciones públicas de Cataluña.</w:t>
      </w:r>
    </w:p>
    <w:p>
      <w:pPr>
        <w:pStyle w:val="Cuerpodetexto"/>
        <w:jc w:val="both"/>
        <w:rPr>
          <w:sz w:val="21"/>
          <w:szCs w:val="21"/>
        </w:rPr>
      </w:pPr>
      <w:r>
        <w:rPr>
          <w:sz w:val="21"/>
          <w:szCs w:val="21"/>
        </w:rPr>
        <w:br/>
        <w:br/>
        <w:t xml:space="preserve">15. Las resoluciones dictadas en ejecución de la convocatoria agotan la vía administrativa. </w:t>
      </w:r>
    </w:p>
    <w:p>
      <w:pPr>
        <w:pStyle w:val="Cuerpodetexto"/>
        <w:jc w:val="both"/>
        <w:rPr>
          <w:sz w:val="21"/>
          <w:szCs w:val="21"/>
        </w:rPr>
      </w:pPr>
      <w:r>
        <w:rPr>
          <w:sz w:val="21"/>
          <w:szCs w:val="21"/>
        </w:rPr>
        <w:br/>
        <w:br/>
        <w:t>16. Régimen de recursos:</w:t>
      </w:r>
    </w:p>
    <w:p>
      <w:pPr>
        <w:pStyle w:val="Cuerpodetexto"/>
        <w:jc w:val="both"/>
        <w:rPr>
          <w:sz w:val="21"/>
          <w:szCs w:val="21"/>
        </w:rPr>
      </w:pPr>
      <w:r>
        <w:rPr>
          <w:sz w:val="21"/>
          <w:szCs w:val="21"/>
        </w:rPr>
        <w:br/>
        <w:t>• Recurso contencioso-administrativo, en el plazo máximo de dos meses desde el día siguiente de la notificación, ante el Juzgado de lo contencioso-administrativo de Tarragona.</w:t>
      </w:r>
    </w:p>
    <w:p>
      <w:pPr>
        <w:pStyle w:val="Cuerpodetexto"/>
        <w:spacing w:before="0" w:after="120"/>
        <w:jc w:val="both"/>
        <w:rPr>
          <w:sz w:val="21"/>
          <w:szCs w:val="21"/>
        </w:rPr>
      </w:pPr>
      <w:r>
        <w:rPr>
          <w:sz w:val="21"/>
          <w:szCs w:val="21"/>
        </w:rPr>
        <w:br/>
        <w:br/>
        <w:t>• De manera alternativa y potestativa, recurso de reposición, en el plazo de un mes a contar desde el día siguiente de la notificación, ante el órgano competente para resolver (Junta de Gobierno Local).</w:t>
      </w:r>
    </w:p>
    <w:sectPr>
      <w:headerReference w:type="default" r:id="rId3"/>
      <w:footerReference w:type="default" r:id="rId4"/>
      <w:type w:val="nextPage"/>
      <w:pgSz w:w="11906" w:h="16838"/>
      <w:pgMar w:left="1701" w:right="1701" w:header="709" w:top="1998" w:footer="709" w:bottom="1418"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ourier New">
    <w:charset w:val="00"/>
    <w:family w:val="modern"/>
    <w:pitch w:val="default"/>
  </w:font>
  <w:font w:name="Wingdings">
    <w:charset w:val="02"/>
    <w:family w:val="auto"/>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pPr>
    <w:r>
      <w:rPr/>
      <w:drawing>
        <wp:inline distT="0" distB="0" distL="0" distR="0">
          <wp:extent cx="5396865" cy="269240"/>
          <wp:effectExtent l="0" t="0" r="0" b="0"/>
          <wp:docPr id="2"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descr=""/>
                  <pic:cNvPicPr>
                    <a:picLocks noChangeAspect="1" noChangeArrowheads="1"/>
                  </pic:cNvPicPr>
                </pic:nvPicPr>
                <pic:blipFill>
                  <a:blip r:embed="rId1"/>
                  <a:srcRect l="-31" t="-756" r="-31" b="-756"/>
                  <a:stretch>
                    <a:fillRect/>
                  </a:stretch>
                </pic:blipFill>
                <pic:spPr bwMode="auto">
                  <a:xfrm>
                    <a:off x="0" y="0"/>
                    <a:ext cx="5396865" cy="269240"/>
                  </a:xfrm>
                  <a:prstGeom prst="rect">
                    <a:avLst/>
                  </a:prstGeom>
                </pic:spPr>
              </pic:pic>
            </a:graphicData>
          </a:graphic>
        </wp:inline>
      </w:drawing>
    </w:r>
    <w:r>
      <w:rPr>
        <w:rFonts w:eastAsia="Arial" w:cs="Arial"/>
      </w:rPr>
      <w:t xml:space="preserve">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inline distT="0" distB="0" distL="0" distR="0">
          <wp:extent cx="1751330" cy="699135"/>
          <wp:effectExtent l="0" t="0" r="0" b="0"/>
          <wp:docPr id="1"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descr=""/>
                  <pic:cNvPicPr>
                    <a:picLocks noChangeAspect="1" noChangeArrowheads="1"/>
                  </pic:cNvPicPr>
                </pic:nvPicPr>
                <pic:blipFill>
                  <a:blip r:embed="rId1"/>
                  <a:srcRect l="-170" t="-425" r="-170" b="-425"/>
                  <a:stretch>
                    <a:fillRect/>
                  </a:stretch>
                </pic:blipFill>
                <pic:spPr bwMode="auto">
                  <a:xfrm>
                    <a:off x="0" y="0"/>
                    <a:ext cx="1751330" cy="699135"/>
                  </a:xfrm>
                  <a:prstGeom prst="rect">
                    <a:avLst/>
                  </a:prstGeom>
                </pic:spPr>
              </pic:pic>
            </a:graphicData>
          </a:graphic>
        </wp:inline>
      </w:drawing>
    </w:r>
    <w:r>
      <w:rPr>
        <w:rFonts w:eastAsia="Arial" w:cs="Arial"/>
      </w:rPr>
      <w:t xml:space="preserve"> </w:t>
    </w:r>
  </w:p>
</w:hdr>
</file>

<file path=word/settings.xml><?xml version="1.0" encoding="utf-8"?>
<w:settings xmlns:w="http://schemas.openxmlformats.org/wordprocessingml/2006/main">
  <w:zoom w:percent="100"/>
  <w:displayBackgroundShape/>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ca-ES" w:eastAsia="zh-CN" w:bidi="hi-IN"/>
      </w:rPr>
    </w:rPrDefault>
    <w:pPrDefault>
      <w:pPr>
        <w:suppressAutoHyphens w:val="true"/>
      </w:pPr>
    </w:pPrDefault>
  </w:docDefaults>
  <w:style w:type="paragraph" w:styleId="Normal">
    <w:name w:val="Normal"/>
    <w:qFormat/>
    <w:pPr>
      <w:widowControl w:val="false"/>
      <w:suppressAutoHyphens w:val="true"/>
      <w:bidi w:val="0"/>
    </w:pPr>
    <w:rPr>
      <w:rFonts w:ascii="Arial" w:hAnsi="Arial" w:eastAsia="Lucida Sans Unicode" w:cs="Arial"/>
      <w:color w:val="auto"/>
      <w:kern w:val="2"/>
      <w:sz w:val="22"/>
      <w:szCs w:val="24"/>
      <w:lang w:val="es-ES" w:eastAsia="zh-CN" w:bidi="ar-SA"/>
    </w:rPr>
  </w:style>
  <w:style w:type="character" w:styleId="WW8Num1z0">
    <w:name w:val="WW8Num1z0"/>
    <w:qFormat/>
    <w:rPr>
      <w:rFonts w:ascii="Symbol" w:hAnsi="Symbol" w:cs="Symbol"/>
    </w:rPr>
  </w:style>
  <w:style w:type="character" w:styleId="WW8Num1z1">
    <w:name w:val="WW8Num1z1"/>
    <w:qFormat/>
    <w:rPr>
      <w:rFonts w:ascii="Courier New" w:hAnsi="Courier New" w:cs="Courier New"/>
    </w:rPr>
  </w:style>
  <w:style w:type="character" w:styleId="WW8Num1z2">
    <w:name w:val="WW8Num1z2"/>
    <w:qFormat/>
    <w:rPr>
      <w:rFonts w:ascii="Wingdings" w:hAnsi="Wingdings" w:cs="Wingdings"/>
    </w:rPr>
  </w:style>
  <w:style w:type="character" w:styleId="Fuentedeprrafopredeter">
    <w:name w:val="Fuente de párrafo predeter."/>
    <w:qFormat/>
    <w:rPr/>
  </w:style>
  <w:style w:type="character" w:styleId="DefaultParagraphFont">
    <w:name w:val="Default Paragraph Font"/>
    <w:qFormat/>
    <w:rPr/>
  </w:style>
  <w:style w:type="character" w:styleId="EnlacedeInternet">
    <w:name w:val="Enlace de Internet"/>
    <w:rPr>
      <w:color w:val="0563C1"/>
      <w:u w:val="single"/>
    </w:rPr>
  </w:style>
  <w:style w:type="character" w:styleId="Mencinsinresolver">
    <w:name w:val="Mención sin resolver"/>
    <w:qFormat/>
    <w:rPr>
      <w:color w:val="605E5C"/>
      <w:shd w:fill="E1DFDD" w:val="clear"/>
    </w:rPr>
  </w:style>
  <w:style w:type="paragraph" w:styleId="Ttulo">
    <w:name w:val="Título"/>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Cuerpodetexto">
    <w:name w:val="Body Text"/>
    <w:basedOn w:val="Normal"/>
    <w:pPr>
      <w:spacing w:before="0" w:after="120"/>
    </w:pPr>
    <w:rPr/>
  </w:style>
  <w:style w:type="paragraph" w:styleId="Lista">
    <w:name w:val="List"/>
    <w:basedOn w:val="Cuerpodetexto"/>
    <w:pPr/>
    <w:rPr>
      <w:rFonts w:cs="Tahoma"/>
      <w:sz w:val="22"/>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Encapalament">
    <w:name w:val="Encapçalament"/>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Llegenda">
    <w:name w:val="Llegenda"/>
    <w:basedOn w:val="Normal"/>
    <w:qFormat/>
    <w:pPr>
      <w:suppressLineNumbers/>
      <w:spacing w:before="120" w:after="120"/>
    </w:pPr>
    <w:rPr>
      <w:rFonts w:cs="Lucida Sans"/>
      <w:i/>
      <w:iCs/>
      <w:sz w:val="24"/>
      <w:szCs w:val="24"/>
    </w:rPr>
  </w:style>
  <w:style w:type="paragraph" w:styleId="Ndex">
    <w:name w:val="Índex"/>
    <w:basedOn w:val="Normal"/>
    <w:qFormat/>
    <w:pPr>
      <w:suppressLineNumbers/>
    </w:pPr>
    <w:rPr>
      <w:rFonts w:cs="Lucida Sans"/>
    </w:rPr>
  </w:style>
  <w:style w:type="paragraph" w:styleId="Descripcin">
    <w:name w:val="Descripción"/>
    <w:basedOn w:val="Normal"/>
    <w:qFormat/>
    <w:pPr>
      <w:suppressLineNumbers/>
      <w:spacing w:before="120" w:after="120"/>
    </w:pPr>
    <w:rPr>
      <w:rFonts w:cs="Lucida Sans"/>
      <w:i/>
      <w:iCs/>
      <w:sz w:val="24"/>
      <w:szCs w:val="24"/>
    </w:rPr>
  </w:style>
  <w:style w:type="paragraph" w:styleId="Heading">
    <w:name w:val="Heading"/>
    <w:basedOn w:val="Normal"/>
    <w:next w:val="Cuerpodetexto"/>
    <w:qFormat/>
    <w:pPr>
      <w:keepNext w:val="true"/>
      <w:spacing w:before="240" w:after="120"/>
    </w:pPr>
    <w:rPr>
      <w:rFonts w:ascii="Arial" w:hAnsi="Arial" w:eastAsia="MS Mincho;ＭＳ 明朝" w:cs="Tahoma"/>
      <w:sz w:val="22"/>
      <w:szCs w:val="28"/>
    </w:rPr>
  </w:style>
  <w:style w:type="paragraph" w:styleId="Caption">
    <w:name w:val="Caption"/>
    <w:basedOn w:val="Normal"/>
    <w:qFormat/>
    <w:pPr>
      <w:suppressLineNumbers/>
      <w:spacing w:before="120" w:after="120"/>
    </w:pPr>
    <w:rPr>
      <w:rFonts w:cs="Tahoma"/>
      <w:i/>
      <w:iCs/>
      <w:sz w:val="22"/>
      <w:szCs w:val="24"/>
    </w:rPr>
  </w:style>
  <w:style w:type="paragraph" w:styleId="Index">
    <w:name w:val="Index"/>
    <w:basedOn w:val="Normal"/>
    <w:qFormat/>
    <w:pPr>
      <w:suppressLineNumbers/>
    </w:pPr>
    <w:rPr>
      <w:rFonts w:cs="Tahoma"/>
      <w:sz w:val="22"/>
    </w:rPr>
  </w:style>
  <w:style w:type="paragraph" w:styleId="Header1">
    <w:name w:val="Header1"/>
    <w:basedOn w:val="Normal"/>
    <w:qFormat/>
    <w:pPr>
      <w:suppressLineNumbers/>
      <w:tabs>
        <w:tab w:val="clear" w:pos="709"/>
        <w:tab w:val="center" w:pos="4818" w:leader="none"/>
        <w:tab w:val="right" w:pos="9637" w:leader="none"/>
      </w:tabs>
    </w:pPr>
    <w:rPr/>
  </w:style>
  <w:style w:type="paragraph" w:styleId="Footer1">
    <w:name w:val="Footer1"/>
    <w:basedOn w:val="Normal"/>
    <w:qFormat/>
    <w:pPr>
      <w:suppressLineNumbers/>
      <w:tabs>
        <w:tab w:val="clear" w:pos="709"/>
        <w:tab w:val="center" w:pos="4818" w:leader="none"/>
        <w:tab w:val="right" w:pos="9637" w:leader="none"/>
      </w:tabs>
      <w:textAlignment w:val="auto"/>
    </w:pPr>
    <w:rPr/>
  </w:style>
  <w:style w:type="paragraph" w:styleId="Header2">
    <w:name w:val="Header2"/>
    <w:basedOn w:val="Normal"/>
    <w:qFormat/>
    <w:pPr>
      <w:suppressLineNumbers/>
      <w:tabs>
        <w:tab w:val="clear" w:pos="709"/>
        <w:tab w:val="right" w:pos="9637" w:leader="none"/>
      </w:tabs>
    </w:pPr>
    <w:rPr/>
  </w:style>
  <w:style w:type="paragraph" w:styleId="Footer2">
    <w:name w:val="Footer2"/>
    <w:basedOn w:val="Normal"/>
    <w:qFormat/>
    <w:pPr>
      <w:suppressLineNumbers/>
      <w:tabs>
        <w:tab w:val="clear" w:pos="709"/>
        <w:tab w:val="right" w:pos="9637" w:leader="none"/>
      </w:tabs>
      <w:textAlignment w:val="auto"/>
    </w:pPr>
    <w:rPr/>
  </w:style>
  <w:style w:type="paragraph" w:styleId="Header3">
    <w:name w:val="Header3"/>
    <w:basedOn w:val="Normal"/>
    <w:qFormat/>
    <w:pPr>
      <w:suppressLineNumbers/>
      <w:tabs>
        <w:tab w:val="clear" w:pos="709"/>
        <w:tab w:val="center" w:pos="4818" w:leader="none"/>
        <w:tab w:val="right" w:pos="9637" w:leader="none"/>
      </w:tabs>
    </w:pPr>
    <w:rPr/>
  </w:style>
  <w:style w:type="paragraph" w:styleId="Header4">
    <w:name w:val="Header4"/>
    <w:basedOn w:val="Normal"/>
    <w:qFormat/>
    <w:pPr>
      <w:suppressLineNumbers/>
      <w:tabs>
        <w:tab w:val="clear" w:pos="709"/>
        <w:tab w:val="center" w:pos="4818" w:leader="none"/>
        <w:tab w:val="right" w:pos="9637" w:leader="none"/>
      </w:tabs>
    </w:pPr>
    <w:rPr/>
  </w:style>
  <w:style w:type="paragraph" w:styleId="Footer3">
    <w:name w:val="Footer3"/>
    <w:basedOn w:val="Normal"/>
    <w:qFormat/>
    <w:pPr>
      <w:suppressLineNumbers/>
      <w:tabs>
        <w:tab w:val="clear" w:pos="709"/>
        <w:tab w:val="center" w:pos="4818" w:leader="none"/>
        <w:tab w:val="right" w:pos="9637" w:leader="none"/>
      </w:tabs>
      <w:textAlignment w:val="auto"/>
    </w:pPr>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paragraph" w:styleId="Capaleraipeu">
    <w:name w:val="Capçalera i peu"/>
    <w:basedOn w:val="Normal"/>
    <w:qFormat/>
    <w:pPr>
      <w:suppressLineNumbers/>
      <w:tabs>
        <w:tab w:val="clear" w:pos="709"/>
        <w:tab w:val="center" w:pos="4819" w:leader="none"/>
        <w:tab w:val="right" w:pos="9638" w:leader="none"/>
      </w:tabs>
    </w:pPr>
    <w:rPr/>
  </w:style>
  <w:style w:type="paragraph" w:styleId="Cabeceraypie">
    <w:name w:val="Cabecera y pie"/>
    <w:basedOn w:val="Normal"/>
    <w:qFormat/>
    <w:pPr>
      <w:suppressLineNumbers/>
      <w:tabs>
        <w:tab w:val="clear" w:pos="709"/>
        <w:tab w:val="center" w:pos="4819" w:leader="none"/>
        <w:tab w:val="right" w:pos="9638" w:leader="none"/>
      </w:tabs>
    </w:pPr>
    <w:rPr/>
  </w:style>
  <w:style w:type="paragraph" w:styleId="Cabecera">
    <w:name w:val="Header"/>
    <w:basedOn w:val="Normal"/>
    <w:pPr>
      <w:suppressLineNumbers/>
      <w:tabs>
        <w:tab w:val="clear" w:pos="709"/>
        <w:tab w:val="center" w:pos="5386" w:leader="none"/>
        <w:tab w:val="right" w:pos="10772" w:leader="none"/>
      </w:tabs>
    </w:pPr>
    <w:rPr/>
  </w:style>
  <w:style w:type="paragraph" w:styleId="Piedepgina">
    <w:name w:val="Footer"/>
    <w:basedOn w:val="Normal"/>
    <w:pPr>
      <w:suppressLineNumbers/>
      <w:tabs>
        <w:tab w:val="clear" w:pos="709"/>
        <w:tab w:val="center" w:pos="5386" w:leader="none"/>
        <w:tab w:val="right" w:pos="10772" w:leader="none"/>
      </w:tabs>
    </w:pPr>
    <w:rPr/>
  </w:style>
  <w:style w:type="paragraph" w:styleId="Contingutdelataula">
    <w:name w:val="Contingut de la taula"/>
    <w:basedOn w:val="Normal"/>
    <w:qFormat/>
    <w:pPr>
      <w:widowControl w:val="false"/>
      <w:suppressLineNumbers/>
    </w:pPr>
    <w:rPr/>
  </w:style>
  <w:style w:type="paragraph" w:styleId="Encapalamentdelataula">
    <w:name w:val="Encapçalament de la taula"/>
    <w:basedOn w:val="Contingutdelataula"/>
    <w:qFormat/>
    <w:pPr>
      <w:suppressLineNumbers/>
      <w:jc w:val="center"/>
    </w:pPr>
    <w:rPr>
      <w:b/>
      <w:bCs/>
    </w:rPr>
  </w:style>
  <w:style w:type="paragraph" w:styleId="NormalTable">
    <w:name w:val="Normal Table"/>
    <w:qFormat/>
    <w:pPr>
      <w:widowControl/>
      <w:suppressAutoHyphens w:val="true"/>
      <w:bidi w:val="0"/>
    </w:pPr>
    <w:rPr>
      <w:rFonts w:ascii="Times New Roman" w:hAnsi="Times New Roman" w:eastAsia="Cambria Math" w:cs="Times New Roman"/>
      <w:color w:val="auto"/>
      <w:sz w:val="20"/>
      <w:szCs w:val="20"/>
      <w:lang w:val="ca-ES" w:eastAsia="zh-CN" w:bidi="ar-SA"/>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anyeresdelpenedes.eadministracio.cat/info.0" TargetMode="External"/><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ntTable" Target="fontTable.xml"/><Relationship Id="rId6"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Normal_x0000_</Template>
  <TotalTime>26</TotalTime>
  <Application>LibreOffice/7.1.3.2$Windows_X86_64 LibreOffice_project/47f78053abe362b9384784d31a6e56f8511eb1c1</Application>
  <AppVersion>15.0000</AppVersion>
  <Pages>2</Pages>
  <Words>859</Words>
  <Characters>4596</Characters>
  <CharactersWithSpaces>5483</CharactersWithSpaces>
  <Paragraphs>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2021-06-18T12:27:00Z</dcterms:created>
  <dc:creator>Marc Gutiérrez</dc:creator>
  <dc:description/>
  <dc:language>ca-ES</dc:language>
  <cp:lastModifiedBy/>
  <dcterms:modified xsi:type="dcterms:W3CDTF">2022-03-21T10:36:28Z</dcterms:modified>
  <cp:revision>5</cp:revision>
  <dc:subject/>
  <dc:title/>
</cp:coreProperties>
</file>