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7BB5" w:rsidRDefault="00D47BB5" w:rsidP="00D47BB5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D47BB5" w:rsidRDefault="00D47BB5" w:rsidP="00D47BB5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8A36D8" w:rsidRPr="008A36D8" w:rsidRDefault="008A36D8" w:rsidP="008A36D8">
      <w:pPr>
        <w:pBdr>
          <w:bottom w:val="single" w:sz="4" w:space="1" w:color="auto"/>
        </w:pBdr>
        <w:spacing w:after="0" w:line="360" w:lineRule="auto"/>
        <w:ind w:firstLine="708"/>
        <w:jc w:val="center"/>
        <w:rPr>
          <w:rFonts w:ascii="Arial" w:eastAsia="Batang" w:hAnsi="Arial" w:cs="Arial"/>
          <w:b/>
          <w:bCs/>
          <w:kern w:val="2"/>
          <w:sz w:val="18"/>
          <w:szCs w:val="18"/>
        </w:rPr>
      </w:pPr>
      <w:r w:rsidRPr="008A36D8">
        <w:rPr>
          <w:rFonts w:ascii="Arial" w:eastAsia="Batang" w:hAnsi="Arial" w:cs="Arial"/>
          <w:b/>
          <w:bCs/>
          <w:kern w:val="2"/>
          <w:sz w:val="18"/>
          <w:szCs w:val="18"/>
        </w:rPr>
        <w:t>BASES EJECUCIÓN PRESUPUESTO GENERAL AYUNTAMIENTO DE GUAREÑA EJERCICIO  2022</w:t>
      </w:r>
    </w:p>
    <w:p w:rsidR="00D47BB5" w:rsidRPr="008A36D8" w:rsidRDefault="00D47BB5" w:rsidP="00D47BB5">
      <w:pPr>
        <w:spacing w:after="0" w:line="240" w:lineRule="auto"/>
        <w:rPr>
          <w:rFonts w:ascii="Times New Roman" w:eastAsia="Times New Roman" w:hAnsi="Times New Roman"/>
          <w:sz w:val="18"/>
          <w:szCs w:val="18"/>
        </w:rPr>
      </w:pPr>
    </w:p>
    <w:p w:rsidR="008A36D8" w:rsidRPr="008A36D8" w:rsidRDefault="008A36D8" w:rsidP="008A36D8">
      <w:pPr>
        <w:spacing w:after="0" w:line="360" w:lineRule="auto"/>
        <w:ind w:right="-15"/>
        <w:jc w:val="both"/>
        <w:rPr>
          <w:rFonts w:ascii="Arial" w:eastAsia="Batang" w:hAnsi="Arial" w:cs="Arial"/>
          <w:b/>
          <w:bCs/>
          <w:sz w:val="18"/>
          <w:szCs w:val="18"/>
          <w:lang w:val="es-ES_tradnl"/>
        </w:rPr>
      </w:pPr>
      <w:r w:rsidRPr="008A36D8">
        <w:rPr>
          <w:rFonts w:ascii="Arial" w:eastAsia="Batang" w:hAnsi="Arial" w:cs="Arial"/>
          <w:b/>
          <w:bCs/>
          <w:sz w:val="18"/>
          <w:szCs w:val="18"/>
          <w:lang w:val="es-ES_tradnl"/>
        </w:rPr>
        <w:t>BASE 32. Procedimientos de concesión de subvenciones.</w:t>
      </w:r>
    </w:p>
    <w:p w:rsidR="008A36D8" w:rsidRPr="008A36D8" w:rsidRDefault="008A36D8" w:rsidP="008A36D8">
      <w:pPr>
        <w:spacing w:after="0" w:line="360" w:lineRule="auto"/>
        <w:ind w:right="-15"/>
        <w:jc w:val="both"/>
        <w:rPr>
          <w:rFonts w:ascii="Arial" w:eastAsia="Batang" w:hAnsi="Arial" w:cs="Arial"/>
          <w:b/>
          <w:bCs/>
          <w:sz w:val="18"/>
          <w:szCs w:val="18"/>
          <w:lang w:val="es-ES_tradnl"/>
        </w:rPr>
      </w:pPr>
    </w:p>
    <w:p w:rsidR="008A36D8" w:rsidRPr="008A36D8" w:rsidRDefault="008A36D8" w:rsidP="008A36D8">
      <w:pPr>
        <w:spacing w:after="0" w:line="360" w:lineRule="auto"/>
        <w:ind w:right="-15"/>
        <w:jc w:val="both"/>
        <w:rPr>
          <w:rFonts w:ascii="Arial" w:eastAsia="Batang" w:hAnsi="Arial" w:cs="Arial"/>
          <w:sz w:val="18"/>
          <w:szCs w:val="18"/>
          <w:lang w:val="es-ES_tradnl"/>
        </w:rPr>
      </w:pPr>
      <w:bookmarkStart w:id="0" w:name="_GoBack"/>
      <w:bookmarkEnd w:id="0"/>
      <w:r w:rsidRPr="008A36D8">
        <w:rPr>
          <w:rFonts w:ascii="Arial" w:eastAsia="Batang" w:hAnsi="Arial" w:cs="Arial"/>
          <w:b/>
          <w:bCs/>
          <w:sz w:val="18"/>
          <w:szCs w:val="18"/>
          <w:lang w:val="es-ES_tradnl"/>
        </w:rPr>
        <w:t xml:space="preserve">1. CONCURRENCIA COMPETITIVA. </w:t>
      </w:r>
      <w:r w:rsidRPr="008A36D8">
        <w:rPr>
          <w:rFonts w:ascii="Arial" w:eastAsia="Batang" w:hAnsi="Arial" w:cs="Arial"/>
          <w:sz w:val="18"/>
          <w:szCs w:val="18"/>
          <w:lang w:val="es-ES_tradnl"/>
        </w:rPr>
        <w:t>Distinguiéndose dos supuestos:</w:t>
      </w:r>
    </w:p>
    <w:p w:rsidR="008A36D8" w:rsidRPr="008A36D8" w:rsidRDefault="008A36D8" w:rsidP="008A36D8">
      <w:pPr>
        <w:spacing w:after="0" w:line="360" w:lineRule="auto"/>
        <w:ind w:right="-15"/>
        <w:jc w:val="both"/>
        <w:rPr>
          <w:rFonts w:ascii="Arial" w:eastAsia="Batang" w:hAnsi="Arial" w:cs="Arial"/>
          <w:sz w:val="18"/>
          <w:szCs w:val="18"/>
          <w:lang w:val="es-ES_tradnl"/>
        </w:rPr>
      </w:pPr>
      <w:r w:rsidRPr="008A36D8">
        <w:rPr>
          <w:rFonts w:ascii="Arial" w:eastAsia="Batang" w:hAnsi="Arial" w:cs="Arial"/>
          <w:sz w:val="18"/>
          <w:szCs w:val="18"/>
          <w:lang w:val="es-ES_tradnl"/>
        </w:rPr>
        <w:t>a. Concurrencia abierta, en el cual la presentación de solicitudes y concesión de subvenciones se realizará durante todo el ejercicio presupuestario.</w:t>
      </w:r>
    </w:p>
    <w:p w:rsidR="008A36D8" w:rsidRPr="008A36D8" w:rsidRDefault="008A36D8" w:rsidP="008A36D8">
      <w:pPr>
        <w:spacing w:after="0" w:line="360" w:lineRule="auto"/>
        <w:ind w:right="-15"/>
        <w:jc w:val="both"/>
        <w:rPr>
          <w:rFonts w:ascii="Arial" w:eastAsia="Batang" w:hAnsi="Arial" w:cs="Arial"/>
          <w:sz w:val="18"/>
          <w:szCs w:val="18"/>
          <w:lang w:val="es-ES_tradnl"/>
        </w:rPr>
      </w:pPr>
      <w:r w:rsidRPr="008A36D8">
        <w:rPr>
          <w:rFonts w:ascii="Arial" w:eastAsia="Batang" w:hAnsi="Arial" w:cs="Arial"/>
          <w:sz w:val="18"/>
          <w:szCs w:val="18"/>
          <w:lang w:val="es-ES_tradnl"/>
        </w:rPr>
        <w:t xml:space="preserve">b. Concurrencia ordinaria, en el cual la presentación de solicitudes y concesión se ajustará a un plazo determinado. </w:t>
      </w:r>
    </w:p>
    <w:p w:rsidR="008A36D8" w:rsidRPr="008A36D8" w:rsidRDefault="008A36D8" w:rsidP="008A36D8">
      <w:pPr>
        <w:spacing w:after="0" w:line="360" w:lineRule="auto"/>
        <w:ind w:right="-15"/>
        <w:jc w:val="both"/>
        <w:rPr>
          <w:rFonts w:ascii="Arial" w:eastAsia="Batang" w:hAnsi="Arial" w:cs="Arial"/>
          <w:sz w:val="18"/>
          <w:szCs w:val="18"/>
          <w:lang w:val="es-ES_tradnl"/>
        </w:rPr>
      </w:pPr>
      <w:r w:rsidRPr="008A36D8">
        <w:rPr>
          <w:rFonts w:ascii="Arial" w:eastAsia="Batang" w:hAnsi="Arial" w:cs="Arial"/>
          <w:sz w:val="18"/>
          <w:szCs w:val="18"/>
          <w:lang w:val="es-ES_tradnl"/>
        </w:rPr>
        <w:t>En ambos supuestos previamente se aprobarán y publicarán las bases específicas que regirán la selección y concesión de las subvenciones.</w:t>
      </w:r>
    </w:p>
    <w:p w:rsidR="008A36D8" w:rsidRPr="008A36D8" w:rsidRDefault="008A36D8" w:rsidP="008A36D8">
      <w:pPr>
        <w:spacing w:after="0" w:line="360" w:lineRule="auto"/>
        <w:ind w:right="-15"/>
        <w:jc w:val="both"/>
        <w:rPr>
          <w:rFonts w:ascii="Arial" w:eastAsia="Batang" w:hAnsi="Arial" w:cs="Arial"/>
          <w:sz w:val="18"/>
          <w:szCs w:val="18"/>
          <w:lang w:val="es-ES_tradnl"/>
        </w:rPr>
      </w:pPr>
      <w:r w:rsidRPr="008A36D8">
        <w:rPr>
          <w:rFonts w:ascii="Arial" w:eastAsia="Batang" w:hAnsi="Arial" w:cs="Arial"/>
          <w:sz w:val="18"/>
          <w:szCs w:val="18"/>
          <w:lang w:val="es-ES_tradnl"/>
        </w:rPr>
        <w:t>Las partidas presupuestarias a las que se le aplicarán ambos casos serán las siguientes:</w:t>
      </w:r>
    </w:p>
    <w:p w:rsidR="008A36D8" w:rsidRPr="008A36D8" w:rsidRDefault="008A36D8" w:rsidP="008A36D8">
      <w:pPr>
        <w:spacing w:after="0" w:line="360" w:lineRule="auto"/>
        <w:ind w:right="-15"/>
        <w:jc w:val="both"/>
        <w:rPr>
          <w:rFonts w:ascii="Arial" w:eastAsia="Batang" w:hAnsi="Arial" w:cs="Arial"/>
          <w:sz w:val="18"/>
          <w:szCs w:val="18"/>
          <w:lang w:val="es-ES_tradnl"/>
        </w:rPr>
      </w:pPr>
    </w:p>
    <w:p w:rsidR="008A36D8" w:rsidRPr="008A36D8" w:rsidRDefault="008A36D8" w:rsidP="008A36D8">
      <w:pPr>
        <w:spacing w:after="0" w:line="360" w:lineRule="auto"/>
        <w:ind w:right="-15"/>
        <w:jc w:val="both"/>
        <w:rPr>
          <w:rFonts w:ascii="Arial" w:eastAsia="Batang" w:hAnsi="Arial" w:cs="Arial"/>
          <w:sz w:val="18"/>
          <w:szCs w:val="18"/>
          <w:lang w:val="es-ES_tradnl"/>
        </w:rPr>
      </w:pPr>
      <w:r w:rsidRPr="008A36D8">
        <w:rPr>
          <w:rFonts w:ascii="Arial" w:eastAsia="Batang" w:hAnsi="Arial" w:cs="Arial"/>
          <w:sz w:val="18"/>
          <w:szCs w:val="18"/>
          <w:lang w:val="es-ES_tradnl"/>
        </w:rPr>
        <w:t xml:space="preserve">0106 231 480.05 </w:t>
      </w:r>
      <w:r w:rsidRPr="008A36D8">
        <w:rPr>
          <w:rFonts w:ascii="Arial" w:eastAsia="Batang" w:hAnsi="Arial" w:cs="Arial"/>
          <w:sz w:val="18"/>
          <w:szCs w:val="18"/>
          <w:lang w:val="es-ES_tradnl"/>
        </w:rPr>
        <w:tab/>
        <w:t>Cooperación al Desarrollo y Tercer Mundo.</w:t>
      </w:r>
    </w:p>
    <w:p w:rsidR="008A36D8" w:rsidRPr="008A36D8" w:rsidRDefault="008A36D8" w:rsidP="008A36D8">
      <w:pPr>
        <w:spacing w:after="0" w:line="360" w:lineRule="auto"/>
        <w:ind w:right="-15"/>
        <w:jc w:val="both"/>
        <w:rPr>
          <w:rFonts w:ascii="Arial" w:eastAsia="Batang" w:hAnsi="Arial" w:cs="Arial"/>
          <w:sz w:val="18"/>
          <w:szCs w:val="18"/>
          <w:lang w:val="es-ES_tradnl"/>
        </w:rPr>
      </w:pPr>
      <w:r w:rsidRPr="008A36D8">
        <w:rPr>
          <w:rFonts w:ascii="Arial" w:eastAsia="Batang" w:hAnsi="Arial" w:cs="Arial"/>
          <w:sz w:val="18"/>
          <w:szCs w:val="18"/>
          <w:lang w:val="es-ES_tradnl"/>
        </w:rPr>
        <w:t>0107 330 489.37</w:t>
      </w:r>
      <w:r w:rsidRPr="008A36D8">
        <w:rPr>
          <w:rFonts w:ascii="Arial" w:eastAsia="Batang" w:hAnsi="Arial" w:cs="Arial"/>
          <w:sz w:val="18"/>
          <w:szCs w:val="18"/>
          <w:lang w:val="es-ES_tradnl"/>
        </w:rPr>
        <w:tab/>
        <w:t>Cultura</w:t>
      </w:r>
      <w:r w:rsidRPr="008A36D8">
        <w:rPr>
          <w:rFonts w:ascii="Arial" w:eastAsia="Batang" w:hAnsi="Arial" w:cs="Arial"/>
          <w:sz w:val="18"/>
          <w:szCs w:val="18"/>
          <w:lang w:val="es-ES_tradnl"/>
        </w:rPr>
        <w:tab/>
      </w:r>
    </w:p>
    <w:p w:rsidR="008A36D8" w:rsidRPr="008A36D8" w:rsidRDefault="008A36D8" w:rsidP="008A36D8">
      <w:pPr>
        <w:spacing w:after="0" w:line="360" w:lineRule="auto"/>
        <w:ind w:right="-15"/>
        <w:jc w:val="both"/>
        <w:rPr>
          <w:rFonts w:ascii="Arial" w:eastAsia="Batang" w:hAnsi="Arial" w:cs="Arial"/>
          <w:sz w:val="18"/>
          <w:szCs w:val="18"/>
          <w:lang w:val="es-ES_tradnl"/>
        </w:rPr>
      </w:pPr>
      <w:r w:rsidRPr="008A36D8">
        <w:rPr>
          <w:rFonts w:ascii="Arial" w:eastAsia="Batang" w:hAnsi="Arial" w:cs="Arial"/>
          <w:sz w:val="18"/>
          <w:szCs w:val="18"/>
          <w:lang w:val="es-ES_tradnl"/>
        </w:rPr>
        <w:t xml:space="preserve">0110 320 48100 </w:t>
      </w:r>
      <w:r w:rsidRPr="008A36D8">
        <w:rPr>
          <w:rFonts w:ascii="Arial" w:eastAsia="Batang" w:hAnsi="Arial" w:cs="Arial"/>
          <w:sz w:val="18"/>
          <w:szCs w:val="18"/>
          <w:lang w:val="es-ES_tradnl"/>
        </w:rPr>
        <w:tab/>
        <w:t xml:space="preserve">Educación. Enseñanza. </w:t>
      </w:r>
    </w:p>
    <w:p w:rsidR="008A36D8" w:rsidRPr="008A36D8" w:rsidRDefault="008A36D8" w:rsidP="008A36D8">
      <w:pPr>
        <w:spacing w:after="0" w:line="360" w:lineRule="auto"/>
        <w:ind w:left="1416" w:right="-15" w:firstLine="708"/>
        <w:jc w:val="both"/>
        <w:rPr>
          <w:rFonts w:ascii="Arial" w:eastAsia="Batang" w:hAnsi="Arial" w:cs="Arial"/>
          <w:sz w:val="18"/>
          <w:szCs w:val="18"/>
          <w:lang w:val="es-ES_tradnl"/>
        </w:rPr>
      </w:pPr>
      <w:r w:rsidRPr="008A36D8">
        <w:rPr>
          <w:rFonts w:ascii="Arial" w:eastAsia="Batang" w:hAnsi="Arial" w:cs="Arial"/>
          <w:sz w:val="18"/>
          <w:szCs w:val="18"/>
          <w:lang w:val="es-ES_tradnl"/>
        </w:rPr>
        <w:t xml:space="preserve">A Instituciones sin fines de lucro (Premios, Becas, </w:t>
      </w:r>
      <w:proofErr w:type="spellStart"/>
      <w:r w:rsidRPr="008A36D8">
        <w:rPr>
          <w:rFonts w:ascii="Arial" w:eastAsia="Batang" w:hAnsi="Arial" w:cs="Arial"/>
          <w:sz w:val="18"/>
          <w:szCs w:val="18"/>
          <w:lang w:val="es-ES_tradnl"/>
        </w:rPr>
        <w:t>etc</w:t>
      </w:r>
      <w:proofErr w:type="spellEnd"/>
      <w:r w:rsidRPr="008A36D8">
        <w:rPr>
          <w:rFonts w:ascii="Arial" w:eastAsia="Batang" w:hAnsi="Arial" w:cs="Arial"/>
          <w:sz w:val="18"/>
          <w:szCs w:val="18"/>
          <w:lang w:val="es-ES_tradnl"/>
        </w:rPr>
        <w:t xml:space="preserve">) </w:t>
      </w:r>
    </w:p>
    <w:p w:rsidR="008A36D8" w:rsidRPr="008A36D8" w:rsidRDefault="008A36D8" w:rsidP="008A36D8">
      <w:pPr>
        <w:spacing w:after="0" w:line="360" w:lineRule="auto"/>
        <w:ind w:left="1416" w:right="-15" w:firstLine="708"/>
        <w:jc w:val="both"/>
        <w:rPr>
          <w:rFonts w:ascii="Arial" w:eastAsia="Batang" w:hAnsi="Arial" w:cs="Arial"/>
          <w:sz w:val="18"/>
          <w:szCs w:val="18"/>
          <w:lang w:val="es-ES_tradnl"/>
        </w:rPr>
      </w:pPr>
    </w:p>
    <w:p w:rsidR="008A36D8" w:rsidRPr="008A36D8" w:rsidRDefault="008A36D8" w:rsidP="008A36D8">
      <w:pPr>
        <w:spacing w:after="0" w:line="360" w:lineRule="auto"/>
        <w:ind w:left="1416" w:right="-15" w:firstLine="708"/>
        <w:jc w:val="both"/>
        <w:rPr>
          <w:rFonts w:ascii="Arial" w:eastAsia="Batang" w:hAnsi="Arial" w:cs="Arial"/>
          <w:sz w:val="18"/>
          <w:szCs w:val="18"/>
          <w:lang w:val="es-ES_tradnl"/>
        </w:rPr>
      </w:pPr>
    </w:p>
    <w:p w:rsidR="008A36D8" w:rsidRPr="008A36D8" w:rsidRDefault="008A36D8" w:rsidP="008A36D8">
      <w:pPr>
        <w:spacing w:after="0" w:line="360" w:lineRule="auto"/>
        <w:ind w:right="-15"/>
        <w:jc w:val="both"/>
        <w:rPr>
          <w:rFonts w:ascii="Arial" w:eastAsia="Batang" w:hAnsi="Arial" w:cs="Arial"/>
          <w:b/>
          <w:bCs/>
          <w:sz w:val="18"/>
          <w:szCs w:val="18"/>
          <w:lang w:val="es-ES_tradnl"/>
        </w:rPr>
      </w:pPr>
      <w:r w:rsidRPr="008A36D8">
        <w:rPr>
          <w:rFonts w:ascii="Arial" w:eastAsia="Batang" w:hAnsi="Arial" w:cs="Arial"/>
          <w:b/>
          <w:bCs/>
          <w:sz w:val="18"/>
          <w:szCs w:val="18"/>
          <w:lang w:val="es-ES_tradnl"/>
        </w:rPr>
        <w:t>2. CONCESIÓN DIRECTA.</w:t>
      </w:r>
    </w:p>
    <w:p w:rsidR="008A36D8" w:rsidRPr="008A36D8" w:rsidRDefault="008A36D8" w:rsidP="008A36D8">
      <w:pPr>
        <w:spacing w:after="0" w:line="360" w:lineRule="auto"/>
        <w:ind w:right="-15"/>
        <w:jc w:val="both"/>
        <w:rPr>
          <w:rFonts w:ascii="Arial" w:eastAsia="Batang" w:hAnsi="Arial" w:cs="Arial"/>
          <w:sz w:val="18"/>
          <w:szCs w:val="18"/>
          <w:lang w:val="es-ES_tradnl"/>
        </w:rPr>
      </w:pPr>
      <w:r w:rsidRPr="008A36D8">
        <w:rPr>
          <w:rFonts w:ascii="Arial" w:eastAsia="Batang" w:hAnsi="Arial" w:cs="Arial"/>
          <w:sz w:val="18"/>
          <w:szCs w:val="18"/>
          <w:lang w:val="es-ES_tradnl"/>
        </w:rPr>
        <w:t>En este procedimiento no será preceptiva la concurrencia competitiva ni la publicidad, en los siguientes supuestos:</w:t>
      </w:r>
    </w:p>
    <w:p w:rsidR="008A36D8" w:rsidRPr="008A36D8" w:rsidRDefault="008A36D8" w:rsidP="008A36D8">
      <w:pPr>
        <w:spacing w:after="0" w:line="360" w:lineRule="auto"/>
        <w:ind w:right="-15"/>
        <w:jc w:val="both"/>
        <w:rPr>
          <w:rFonts w:ascii="Arial" w:eastAsia="Batang" w:hAnsi="Arial" w:cs="Arial"/>
          <w:sz w:val="18"/>
          <w:szCs w:val="18"/>
          <w:lang w:val="es-ES_tradnl"/>
        </w:rPr>
      </w:pPr>
      <w:r w:rsidRPr="008A36D8">
        <w:rPr>
          <w:rFonts w:ascii="Arial" w:eastAsia="Batang" w:hAnsi="Arial" w:cs="Arial"/>
          <w:sz w:val="18"/>
          <w:szCs w:val="18"/>
          <w:lang w:val="es-ES_tradnl"/>
        </w:rPr>
        <w:t>a. Subvenciones consignadas nominativamente en el Presupuesto General Inicial o en sus modificaciones debidamente aprobadas.</w:t>
      </w:r>
    </w:p>
    <w:p w:rsidR="008A36D8" w:rsidRPr="008A36D8" w:rsidRDefault="008A36D8" w:rsidP="008A36D8">
      <w:pPr>
        <w:spacing w:after="0" w:line="360" w:lineRule="auto"/>
        <w:ind w:right="-15"/>
        <w:jc w:val="both"/>
        <w:rPr>
          <w:rFonts w:ascii="Arial" w:eastAsia="Batang" w:hAnsi="Arial" w:cs="Arial"/>
          <w:sz w:val="18"/>
          <w:szCs w:val="18"/>
          <w:lang w:val="es-ES_tradnl"/>
        </w:rPr>
      </w:pPr>
      <w:r w:rsidRPr="008A36D8">
        <w:rPr>
          <w:rFonts w:ascii="Arial" w:eastAsia="Batang" w:hAnsi="Arial" w:cs="Arial"/>
          <w:sz w:val="18"/>
          <w:szCs w:val="18"/>
          <w:lang w:val="es-ES_tradnl"/>
        </w:rPr>
        <w:t>b. Subvenciones cuyo otorgamiento o cuantía venga impuesta a la administración por una norma de rango legal.</w:t>
      </w:r>
    </w:p>
    <w:p w:rsidR="008A36D8" w:rsidRPr="008A36D8" w:rsidRDefault="008A36D8" w:rsidP="008A36D8">
      <w:pPr>
        <w:spacing w:after="0" w:line="360" w:lineRule="auto"/>
        <w:ind w:right="-15"/>
        <w:jc w:val="both"/>
        <w:rPr>
          <w:rFonts w:ascii="Arial" w:eastAsia="Batang" w:hAnsi="Arial" w:cs="Arial"/>
          <w:sz w:val="18"/>
          <w:szCs w:val="18"/>
          <w:lang w:val="es-ES_tradnl"/>
        </w:rPr>
      </w:pPr>
      <w:r w:rsidRPr="008A36D8">
        <w:rPr>
          <w:rFonts w:ascii="Arial" w:eastAsia="Batang" w:hAnsi="Arial" w:cs="Arial"/>
          <w:sz w:val="18"/>
          <w:szCs w:val="18"/>
          <w:lang w:val="es-ES_tradnl"/>
        </w:rPr>
        <w:t>c. Subvenciones para subsanar situaciones de emergencia o de urgencia cuando dichas situaciones sean incompatibles con el trámite de publicidad.</w:t>
      </w:r>
    </w:p>
    <w:p w:rsidR="008A36D8" w:rsidRPr="008A36D8" w:rsidRDefault="008A36D8" w:rsidP="008A36D8">
      <w:pPr>
        <w:spacing w:after="0" w:line="360" w:lineRule="auto"/>
        <w:ind w:right="-15"/>
        <w:jc w:val="both"/>
        <w:rPr>
          <w:rFonts w:ascii="Arial" w:eastAsia="Batang" w:hAnsi="Arial" w:cs="Arial"/>
          <w:sz w:val="18"/>
          <w:szCs w:val="18"/>
          <w:lang w:val="es-ES_tradnl"/>
        </w:rPr>
      </w:pPr>
      <w:r w:rsidRPr="008A36D8">
        <w:rPr>
          <w:rFonts w:ascii="Arial" w:eastAsia="Batang" w:hAnsi="Arial" w:cs="Arial"/>
          <w:sz w:val="18"/>
          <w:szCs w:val="18"/>
          <w:lang w:val="es-ES_tradnl"/>
        </w:rPr>
        <w:t>d. El resto de subvenciones en las cuales se acrediten razones de interés público, social, económico o humanitario, u otras debidamente justificadas que dificulten su convocatoria pública mediante concurrencia competitiva.</w:t>
      </w:r>
    </w:p>
    <w:p w:rsidR="008A36D8" w:rsidRPr="008A36D8" w:rsidRDefault="008A36D8" w:rsidP="008A36D8">
      <w:pPr>
        <w:spacing w:after="0" w:line="360" w:lineRule="auto"/>
        <w:ind w:right="-15"/>
        <w:jc w:val="both"/>
        <w:rPr>
          <w:rFonts w:ascii="Arial" w:eastAsia="Batang" w:hAnsi="Arial" w:cs="Arial"/>
          <w:sz w:val="18"/>
          <w:szCs w:val="18"/>
          <w:lang w:val="es-ES_tradnl"/>
        </w:rPr>
      </w:pPr>
    </w:p>
    <w:p w:rsidR="008A36D8" w:rsidRPr="008A36D8" w:rsidRDefault="008A36D8" w:rsidP="008A36D8">
      <w:pPr>
        <w:spacing w:after="0" w:line="360" w:lineRule="auto"/>
        <w:ind w:right="-15"/>
        <w:jc w:val="both"/>
        <w:rPr>
          <w:rFonts w:ascii="Arial" w:eastAsia="Batang" w:hAnsi="Arial" w:cs="Arial"/>
          <w:sz w:val="18"/>
          <w:szCs w:val="18"/>
          <w:lang w:val="es-ES_tradnl"/>
        </w:rPr>
      </w:pPr>
      <w:r w:rsidRPr="008A36D8">
        <w:rPr>
          <w:rFonts w:ascii="Arial" w:eastAsia="Batang" w:hAnsi="Arial" w:cs="Arial"/>
          <w:sz w:val="18"/>
          <w:szCs w:val="18"/>
          <w:lang w:val="es-ES_tradnl"/>
        </w:rPr>
        <w:t>A continuación se detallan las partidas presupuestarias nominativas del presupuesto para el Ejercicio 2022, así como las transferencias corrientes:</w:t>
      </w:r>
    </w:p>
    <w:p w:rsidR="008A36D8" w:rsidRPr="008A36D8" w:rsidRDefault="008A36D8" w:rsidP="008A36D8">
      <w:pPr>
        <w:spacing w:after="0" w:line="360" w:lineRule="auto"/>
        <w:ind w:right="-15"/>
        <w:jc w:val="both"/>
        <w:rPr>
          <w:rFonts w:ascii="Arial" w:eastAsia="Batang" w:hAnsi="Arial" w:cs="Arial"/>
          <w:sz w:val="18"/>
          <w:szCs w:val="18"/>
          <w:lang w:val="es-ES_tradnl"/>
        </w:rPr>
      </w:pPr>
      <w:r w:rsidRPr="008A36D8">
        <w:rPr>
          <w:noProof/>
          <w:sz w:val="18"/>
          <w:szCs w:val="18"/>
        </w:rPr>
        <w:lastRenderedPageBreak/>
        <w:drawing>
          <wp:inline distT="0" distB="0" distL="0" distR="0" wp14:anchorId="29E004FA" wp14:editId="122BC26A">
            <wp:extent cx="5400040" cy="2005111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20051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36D8" w:rsidRPr="008A36D8" w:rsidRDefault="008A36D8" w:rsidP="008A36D8">
      <w:pPr>
        <w:spacing w:after="0" w:line="360" w:lineRule="auto"/>
        <w:ind w:right="-15"/>
        <w:jc w:val="both"/>
        <w:rPr>
          <w:rFonts w:ascii="Arial" w:eastAsia="Batang" w:hAnsi="Arial" w:cs="Arial"/>
          <w:sz w:val="18"/>
          <w:szCs w:val="18"/>
          <w:lang w:val="es-ES_tradnl"/>
        </w:rPr>
      </w:pPr>
      <w:r w:rsidRPr="008A36D8">
        <w:rPr>
          <w:noProof/>
          <w:sz w:val="18"/>
          <w:szCs w:val="18"/>
        </w:rPr>
        <w:drawing>
          <wp:inline distT="0" distB="0" distL="0" distR="0" wp14:anchorId="33CE1CF2" wp14:editId="053951D9">
            <wp:extent cx="5400040" cy="5083823"/>
            <wp:effectExtent l="0" t="0" r="0" b="254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50838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A36D8">
        <w:rPr>
          <w:rFonts w:ascii="Arial" w:eastAsia="Batang" w:hAnsi="Arial" w:cs="Arial"/>
          <w:sz w:val="18"/>
          <w:szCs w:val="18"/>
          <w:lang w:val="es-ES_tradnl"/>
        </w:rPr>
        <w:tab/>
      </w:r>
    </w:p>
    <w:p w:rsidR="008A36D8" w:rsidRPr="008A36D8" w:rsidRDefault="008A36D8" w:rsidP="008A36D8">
      <w:pPr>
        <w:spacing w:after="0" w:line="360" w:lineRule="auto"/>
        <w:ind w:right="-15"/>
        <w:jc w:val="both"/>
        <w:rPr>
          <w:rFonts w:ascii="Arial" w:eastAsia="Batang" w:hAnsi="Arial" w:cs="Arial"/>
          <w:sz w:val="18"/>
          <w:szCs w:val="18"/>
          <w:lang w:val="es-ES_tradnl"/>
        </w:rPr>
      </w:pPr>
    </w:p>
    <w:p w:rsidR="008A36D8" w:rsidRPr="008A36D8" w:rsidRDefault="008A36D8" w:rsidP="008A36D8">
      <w:pPr>
        <w:spacing w:after="0" w:line="360" w:lineRule="auto"/>
        <w:ind w:right="-15"/>
        <w:jc w:val="both"/>
        <w:rPr>
          <w:rFonts w:ascii="Arial" w:eastAsia="Batang" w:hAnsi="Arial" w:cs="Arial"/>
          <w:sz w:val="18"/>
          <w:szCs w:val="18"/>
          <w:lang w:val="es-ES_tradnl"/>
        </w:rPr>
      </w:pPr>
    </w:p>
    <w:p w:rsidR="008A36D8" w:rsidRPr="008A36D8" w:rsidRDefault="008A36D8" w:rsidP="008A36D8">
      <w:pPr>
        <w:spacing w:after="0" w:line="360" w:lineRule="auto"/>
        <w:ind w:right="-15"/>
        <w:jc w:val="both"/>
        <w:rPr>
          <w:rFonts w:ascii="Batang" w:eastAsia="Batang" w:hAnsi="Batang" w:cs="Arial"/>
          <w:sz w:val="18"/>
          <w:szCs w:val="18"/>
          <w:lang w:val="es-ES_tradnl"/>
        </w:rPr>
      </w:pPr>
    </w:p>
    <w:p w:rsidR="008A36D8" w:rsidRPr="008A36D8" w:rsidRDefault="008A36D8" w:rsidP="008A36D8">
      <w:pPr>
        <w:spacing w:after="0" w:line="360" w:lineRule="auto"/>
        <w:ind w:right="-15"/>
        <w:jc w:val="both"/>
        <w:rPr>
          <w:rFonts w:ascii="Arial" w:eastAsia="Batang" w:hAnsi="Arial" w:cs="Arial"/>
          <w:sz w:val="18"/>
          <w:szCs w:val="18"/>
          <w:lang w:val="es-ES_tradnl"/>
        </w:rPr>
      </w:pPr>
    </w:p>
    <w:p w:rsidR="008A36D8" w:rsidRPr="008A36D8" w:rsidRDefault="008A36D8" w:rsidP="008A36D8">
      <w:pPr>
        <w:spacing w:after="0" w:line="360" w:lineRule="auto"/>
        <w:ind w:right="-15"/>
        <w:jc w:val="both"/>
        <w:rPr>
          <w:rFonts w:ascii="Arial" w:eastAsia="Batang" w:hAnsi="Arial" w:cs="Arial"/>
          <w:sz w:val="18"/>
          <w:szCs w:val="18"/>
          <w:lang w:val="es-ES_tradnl"/>
        </w:rPr>
      </w:pPr>
      <w:r w:rsidRPr="008A36D8">
        <w:rPr>
          <w:rFonts w:ascii="Arial" w:eastAsia="Batang" w:hAnsi="Arial" w:cs="Arial"/>
          <w:sz w:val="18"/>
          <w:szCs w:val="18"/>
          <w:lang w:val="es-ES_tradnl"/>
        </w:rPr>
        <w:lastRenderedPageBreak/>
        <w:t>En el procedimiento de concesión directa los órganos competentes serán el Presidente y la Junta de Gobierno, y los límites cuantitativos son los determinados por el crédito de las partidas presupuestarias.</w:t>
      </w:r>
    </w:p>
    <w:p w:rsidR="00D47BB5" w:rsidRPr="008A36D8" w:rsidRDefault="00D47BB5" w:rsidP="00D47BB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s-ES_tradnl"/>
        </w:rPr>
      </w:pPr>
    </w:p>
    <w:p w:rsidR="00D47BB5" w:rsidRDefault="00D47BB5" w:rsidP="00D47BB5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D47BB5" w:rsidRDefault="00D47BB5" w:rsidP="00D47BB5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D47BB5" w:rsidRDefault="00D47BB5" w:rsidP="00D47BB5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D47BB5" w:rsidRDefault="00D47BB5" w:rsidP="00D47BB5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D47BB5" w:rsidRDefault="00D47BB5" w:rsidP="00D47BB5">
      <w:pPr>
        <w:spacing w:after="0" w:line="240" w:lineRule="auto"/>
        <w:ind w:left="4248"/>
        <w:rPr>
          <w:rFonts w:ascii="Times New Roman" w:eastAsia="Times New Roman" w:hAnsi="Times New Roman"/>
          <w:sz w:val="24"/>
          <w:szCs w:val="24"/>
        </w:rPr>
      </w:pPr>
    </w:p>
    <w:sectPr w:rsidR="00D47BB5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0CF6" w:rsidRDefault="00050CF6" w:rsidP="00955E0C">
      <w:pPr>
        <w:spacing w:after="0" w:line="240" w:lineRule="auto"/>
      </w:pPr>
      <w:r>
        <w:separator/>
      </w:r>
    </w:p>
  </w:endnote>
  <w:endnote w:type="continuationSeparator" w:id="0">
    <w:p w:rsidR="00050CF6" w:rsidRDefault="00050CF6" w:rsidP="00955E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5E0C" w:rsidRPr="00955E0C" w:rsidRDefault="00955E0C" w:rsidP="00955E0C">
    <w:pPr>
      <w:pStyle w:val="Piedepgina"/>
      <w:jc w:val="center"/>
      <w:rPr>
        <w:sz w:val="18"/>
        <w:szCs w:val="18"/>
      </w:rPr>
    </w:pPr>
    <w:r w:rsidRPr="00955E0C">
      <w:rPr>
        <w:sz w:val="18"/>
        <w:szCs w:val="18"/>
      </w:rPr>
      <w:t>Plaza de España, 1.- 06470-GUAREÑA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0CF6" w:rsidRDefault="00050CF6" w:rsidP="00955E0C">
      <w:pPr>
        <w:spacing w:after="0" w:line="240" w:lineRule="auto"/>
      </w:pPr>
      <w:r>
        <w:separator/>
      </w:r>
    </w:p>
  </w:footnote>
  <w:footnote w:type="continuationSeparator" w:id="0">
    <w:p w:rsidR="00050CF6" w:rsidRDefault="00050CF6" w:rsidP="00955E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5E0C" w:rsidRDefault="00955E0C">
    <w:pPr>
      <w:pStyle w:val="Encabezado"/>
    </w:pPr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59"/>
      <w:gridCol w:w="7685"/>
    </w:tblGrid>
    <w:tr w:rsidR="00955E0C" w:rsidTr="00955E0C">
      <w:tc>
        <w:tcPr>
          <w:tcW w:w="959" w:type="dxa"/>
        </w:tcPr>
        <w:p w:rsidR="00955E0C" w:rsidRDefault="00955E0C">
          <w:pPr>
            <w:pStyle w:val="Encabezado"/>
          </w:pPr>
          <w:r>
            <w:rPr>
              <w:noProof/>
            </w:rPr>
            <w:drawing>
              <wp:inline distT="0" distB="0" distL="0" distR="0" wp14:anchorId="66CB0003" wp14:editId="14CC7086">
                <wp:extent cx="429371" cy="671185"/>
                <wp:effectExtent l="0" t="0" r="8890" b="0"/>
                <wp:docPr id="1" name="0 Ima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escudoblanco.bmp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30199" cy="67247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685" w:type="dxa"/>
          <w:vAlign w:val="center"/>
        </w:tcPr>
        <w:p w:rsidR="00955E0C" w:rsidRDefault="00955E0C" w:rsidP="00955E0C">
          <w:pPr>
            <w:pStyle w:val="Encabezado"/>
            <w:jc w:val="center"/>
            <w:rPr>
              <w:sz w:val="32"/>
              <w:szCs w:val="32"/>
            </w:rPr>
          </w:pPr>
        </w:p>
        <w:p w:rsidR="00955E0C" w:rsidRDefault="002D2822" w:rsidP="00955E0C">
          <w:pPr>
            <w:pStyle w:val="Encabezado"/>
            <w:jc w:val="center"/>
          </w:pPr>
          <w:r w:rsidRPr="00955E0C">
            <w:rPr>
              <w:sz w:val="32"/>
              <w:szCs w:val="32"/>
            </w:rPr>
            <w:t>AYUNTAMIENTO DE GUAREÑA</w:t>
          </w:r>
        </w:p>
      </w:tc>
    </w:tr>
  </w:tbl>
  <w:p w:rsidR="00955E0C" w:rsidRPr="00955E0C" w:rsidRDefault="00955E0C">
    <w:pPr>
      <w:pStyle w:val="Encabezado"/>
      <w:rPr>
        <w:sz w:val="32"/>
        <w:szCs w:val="32"/>
      </w:rPr>
    </w:pPr>
    <w:r>
      <w:tab/>
    </w:r>
    <w:r w:rsidR="00866976">
      <w:t>_____________________________________________________________</w:t>
    </w:r>
    <w:r w:rsidR="002D2822">
      <w:t>_____________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E0C"/>
    <w:rsid w:val="00050CF6"/>
    <w:rsid w:val="00052740"/>
    <w:rsid w:val="000A0E3A"/>
    <w:rsid w:val="00164707"/>
    <w:rsid w:val="002D2822"/>
    <w:rsid w:val="00866976"/>
    <w:rsid w:val="008A36D8"/>
    <w:rsid w:val="00955E0C"/>
    <w:rsid w:val="00B377CA"/>
    <w:rsid w:val="00D47BB5"/>
    <w:rsid w:val="00DD5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36D8"/>
    <w:rPr>
      <w:rFonts w:eastAsiaTheme="minorEastAsia" w:cs="Times New Roman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55E0C"/>
    <w:pPr>
      <w:tabs>
        <w:tab w:val="center" w:pos="4252"/>
        <w:tab w:val="right" w:pos="8504"/>
      </w:tabs>
      <w:spacing w:after="0" w:line="240" w:lineRule="auto"/>
    </w:pPr>
    <w:rPr>
      <w:rFonts w:eastAsiaTheme="minorHAnsi" w:cstheme="minorBidi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955E0C"/>
  </w:style>
  <w:style w:type="paragraph" w:styleId="Piedepgina">
    <w:name w:val="footer"/>
    <w:basedOn w:val="Normal"/>
    <w:link w:val="PiedepginaCar"/>
    <w:uiPriority w:val="99"/>
    <w:unhideWhenUsed/>
    <w:rsid w:val="00955E0C"/>
    <w:pPr>
      <w:tabs>
        <w:tab w:val="center" w:pos="4252"/>
        <w:tab w:val="right" w:pos="8504"/>
      </w:tabs>
      <w:spacing w:after="0" w:line="240" w:lineRule="auto"/>
    </w:pPr>
    <w:rPr>
      <w:rFonts w:eastAsiaTheme="minorHAnsi" w:cstheme="minorBidi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955E0C"/>
  </w:style>
  <w:style w:type="paragraph" w:styleId="Textodeglobo">
    <w:name w:val="Balloon Text"/>
    <w:basedOn w:val="Normal"/>
    <w:link w:val="TextodegloboCar"/>
    <w:uiPriority w:val="99"/>
    <w:semiHidden/>
    <w:unhideWhenUsed/>
    <w:rsid w:val="00955E0C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55E0C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955E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36D8"/>
    <w:rPr>
      <w:rFonts w:eastAsiaTheme="minorEastAsia" w:cs="Times New Roman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55E0C"/>
    <w:pPr>
      <w:tabs>
        <w:tab w:val="center" w:pos="4252"/>
        <w:tab w:val="right" w:pos="8504"/>
      </w:tabs>
      <w:spacing w:after="0" w:line="240" w:lineRule="auto"/>
    </w:pPr>
    <w:rPr>
      <w:rFonts w:eastAsiaTheme="minorHAnsi" w:cstheme="minorBidi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955E0C"/>
  </w:style>
  <w:style w:type="paragraph" w:styleId="Piedepgina">
    <w:name w:val="footer"/>
    <w:basedOn w:val="Normal"/>
    <w:link w:val="PiedepginaCar"/>
    <w:uiPriority w:val="99"/>
    <w:unhideWhenUsed/>
    <w:rsid w:val="00955E0C"/>
    <w:pPr>
      <w:tabs>
        <w:tab w:val="center" w:pos="4252"/>
        <w:tab w:val="right" w:pos="8504"/>
      </w:tabs>
      <w:spacing w:after="0" w:line="240" w:lineRule="auto"/>
    </w:pPr>
    <w:rPr>
      <w:rFonts w:eastAsiaTheme="minorHAnsi" w:cstheme="minorBidi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955E0C"/>
  </w:style>
  <w:style w:type="paragraph" w:styleId="Textodeglobo">
    <w:name w:val="Balloon Text"/>
    <w:basedOn w:val="Normal"/>
    <w:link w:val="TextodegloboCar"/>
    <w:uiPriority w:val="99"/>
    <w:semiHidden/>
    <w:unhideWhenUsed/>
    <w:rsid w:val="00955E0C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55E0C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955E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304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Andres</dc:creator>
  <cp:lastModifiedBy>Andres</cp:lastModifiedBy>
  <cp:revision>2</cp:revision>
  <cp:lastPrinted>2017-02-13T08:45:00Z</cp:lastPrinted>
  <dcterms:created xsi:type="dcterms:W3CDTF">2022-02-17T11:36:00Z</dcterms:created>
  <dcterms:modified xsi:type="dcterms:W3CDTF">2022-02-17T11:36:00Z</dcterms:modified>
</cp:coreProperties>
</file>