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474" w:rsidRDefault="00B60474"/>
    <w:p w:rsidR="00B60474" w:rsidRDefault="00B60474"/>
    <w:tbl>
      <w:tblPr>
        <w:tblW w:w="0" w:type="auto"/>
        <w:tblLayout w:type="fixed"/>
        <w:tblCellMar>
          <w:left w:w="70" w:type="dxa"/>
          <w:right w:w="70" w:type="dxa"/>
        </w:tblCellMar>
        <w:tblLook w:val="04A0" w:firstRow="1" w:lastRow="0" w:firstColumn="1" w:lastColumn="0" w:noHBand="0" w:noVBand="1"/>
      </w:tblPr>
      <w:tblGrid>
        <w:gridCol w:w="9426"/>
      </w:tblGrid>
      <w:tr w:rsidR="00B60474">
        <w:tc>
          <w:tcPr>
            <w:tcW w:w="9426" w:type="dxa"/>
          </w:tcPr>
          <w:p w:rsidR="00B60474" w:rsidRDefault="004A531B">
            <w:pPr>
              <w:spacing w:line="276" w:lineRule="auto"/>
              <w:jc w:val="both"/>
              <w:rPr>
                <w:rFonts w:ascii="Arial" w:hAnsi="Arial" w:cs="Arial"/>
                <w:b/>
                <w:i/>
                <w:sz w:val="20"/>
                <w:szCs w:val="20"/>
                <w:u w:val="single"/>
              </w:rPr>
            </w:pPr>
            <w:r>
              <w:rPr>
                <w:rFonts w:ascii="Arial" w:hAnsi="Arial" w:cs="Arial"/>
                <w:b/>
                <w:i/>
                <w:sz w:val="20"/>
                <w:szCs w:val="20"/>
                <w:u w:val="single"/>
              </w:rPr>
              <w:t>Bases reguladoras de la concesión de subvenciones con cargo a los programas gestionados por el Departamento de Educación.</w:t>
            </w:r>
          </w:p>
          <w:p w:rsidR="00B60474" w:rsidRDefault="00B60474">
            <w:pPr>
              <w:spacing w:line="276" w:lineRule="auto"/>
              <w:jc w:val="both"/>
              <w:rPr>
                <w:rFonts w:ascii="Arial" w:hAnsi="Arial" w:cs="Arial"/>
                <w:b/>
                <w:i/>
                <w:sz w:val="20"/>
                <w:szCs w:val="20"/>
                <w:u w:val="single"/>
              </w:rPr>
            </w:pPr>
          </w:p>
          <w:p w:rsidR="00B60474" w:rsidRDefault="00B60474">
            <w:pPr>
              <w:spacing w:line="276" w:lineRule="auto"/>
              <w:jc w:val="both"/>
              <w:rPr>
                <w:rFonts w:ascii="Arial" w:hAnsi="Arial" w:cs="Arial"/>
                <w:b/>
                <w:i/>
                <w:sz w:val="20"/>
                <w:szCs w:val="20"/>
                <w:u w:val="single"/>
              </w:rPr>
            </w:pPr>
          </w:p>
        </w:tc>
      </w:tr>
      <w:tr w:rsidR="00B60474">
        <w:tc>
          <w:tcPr>
            <w:tcW w:w="9426" w:type="dxa"/>
          </w:tcPr>
          <w:p w:rsidR="00B60474" w:rsidRDefault="004A531B">
            <w:pPr>
              <w:spacing w:line="276" w:lineRule="auto"/>
              <w:jc w:val="both"/>
              <w:rPr>
                <w:rFonts w:ascii="Arial" w:hAnsi="Arial" w:cs="Arial"/>
                <w:sz w:val="20"/>
                <w:szCs w:val="20"/>
              </w:rPr>
            </w:pPr>
            <w:r>
              <w:rPr>
                <w:rFonts w:ascii="Arial" w:hAnsi="Arial" w:cs="Arial"/>
                <w:b/>
                <w:sz w:val="20"/>
                <w:szCs w:val="20"/>
                <w:u w:val="single"/>
              </w:rPr>
              <w:t>.- Exposición de motivos</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El artículo 27 de la Constitución Española consagra el derecho a la educación como un derecho fundamental. La Ley Orgánica 2/2006 desarrolla este derecho y concreta las competencias de los Ayuntamientos en esta materia en su disposición adicional decimoquinta.</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La Ley 2/2016 de Entidades Locales de Euskadi regula en su artículo 17.1.23 como competencia propia de los municipios, entre otras, la participación en la programación de estudios.</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El artículo 72 de la Ley 7/1985, de 2 de abril, de Bases de Régimen Local, establece que las Corporaciones Locales deberán promover el desarrollo de asociaciones de defensa de interés general o sectorial de sus ciudadanos y, dentro de sus posibilidades, la utilización de recursos públicos y la obtención de subvenciones para el desarrollo de sus actividades.</w:t>
            </w:r>
          </w:p>
          <w:p w:rsidR="00B60474" w:rsidRDefault="00B60474">
            <w:pPr>
              <w:spacing w:line="276" w:lineRule="auto"/>
              <w:jc w:val="both"/>
              <w:rPr>
                <w:rFonts w:ascii="Arial" w:hAnsi="Arial" w:cs="Arial"/>
                <w:iCs/>
                <w:sz w:val="20"/>
                <w:szCs w:val="20"/>
              </w:rPr>
            </w:pPr>
          </w:p>
          <w:p w:rsidR="00B60474" w:rsidRPr="0064576F" w:rsidRDefault="004A531B">
            <w:pPr>
              <w:spacing w:line="276" w:lineRule="auto"/>
              <w:jc w:val="both"/>
              <w:rPr>
                <w:rFonts w:ascii="Arial" w:hAnsi="Arial" w:cs="Arial"/>
                <w:i/>
                <w:sz w:val="20"/>
                <w:szCs w:val="20"/>
              </w:rPr>
            </w:pPr>
            <w:r>
              <w:rPr>
                <w:rFonts w:ascii="Arial" w:hAnsi="Arial" w:cs="Arial"/>
                <w:iCs/>
                <w:sz w:val="20"/>
                <w:szCs w:val="20"/>
              </w:rPr>
              <w:t>Con el fin de fomentar la actividad educativa al margen de la actividad académica, el Ayuntamiento de Oñati financia los proyectos que los centros escolares y las asociaciones de padres y madres realizan a lo largo del año. En este sentido,</w:t>
            </w:r>
            <w:r>
              <w:t xml:space="preserve"> </w:t>
            </w:r>
            <w:r>
              <w:rPr>
                <w:rFonts w:ascii="Arial" w:hAnsi="Arial" w:cs="Arial"/>
                <w:iCs/>
                <w:sz w:val="20"/>
                <w:szCs w:val="20"/>
              </w:rPr>
              <w:t>propone</w:t>
            </w:r>
            <w:r>
              <w:t xml:space="preserve"> la </w:t>
            </w:r>
            <w:r w:rsidRPr="0064576F">
              <w:rPr>
                <w:rFonts w:ascii="Arial" w:hAnsi="Arial" w:cs="Arial"/>
                <w:sz w:val="20"/>
                <w:szCs w:val="20"/>
              </w:rPr>
              <w:t>aprobación de las siguientes bases reguladoras para adecuar la financiación de estas actividades a la Ley 38/2003, de 17 de noviembre, General de Subvenciones:</w:t>
            </w:r>
          </w:p>
          <w:p w:rsidR="00B60474" w:rsidRDefault="00B60474">
            <w:pPr>
              <w:spacing w:line="276" w:lineRule="auto"/>
              <w:jc w:val="both"/>
              <w:rPr>
                <w:rFonts w:ascii="Arial" w:hAnsi="Arial" w:cs="Arial"/>
                <w:i/>
                <w:sz w:val="20"/>
                <w:szCs w:val="20"/>
              </w:rPr>
            </w:pPr>
          </w:p>
          <w:p w:rsidR="00B60474" w:rsidRDefault="00B60474">
            <w:pPr>
              <w:keepNext/>
              <w:spacing w:line="213" w:lineRule="exact"/>
              <w:jc w:val="both"/>
              <w:rPr>
                <w:rFonts w:ascii="Arial" w:hAnsi="Arial" w:cs="Arial"/>
                <w:b/>
                <w:bCs/>
                <w:i/>
                <w:iCs/>
                <w:sz w:val="20"/>
                <w:szCs w:val="20"/>
              </w:rPr>
            </w:pPr>
          </w:p>
        </w:tc>
      </w:tr>
      <w:tr w:rsidR="00B60474">
        <w:tc>
          <w:tcPr>
            <w:tcW w:w="9426" w:type="dxa"/>
          </w:tcPr>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1. Requisitos para solicitar la subvención.</w:t>
            </w:r>
          </w:p>
          <w:p w:rsidR="00B60474" w:rsidRDefault="00B60474">
            <w:pPr>
              <w:spacing w:line="276" w:lineRule="auto"/>
              <w:jc w:val="both"/>
              <w:rPr>
                <w:rFonts w:ascii="Arial" w:hAnsi="Arial" w:cs="Arial"/>
                <w:b/>
                <w:sz w:val="20"/>
                <w:szCs w:val="20"/>
                <w:u w:val="single"/>
              </w:rPr>
            </w:pPr>
          </w:p>
          <w:p w:rsidR="00B60474" w:rsidRDefault="00B60474">
            <w:pPr>
              <w:spacing w:line="276" w:lineRule="auto"/>
              <w:jc w:val="both"/>
              <w:rPr>
                <w:rFonts w:ascii="Arial" w:hAnsi="Arial" w:cs="Arial"/>
                <w:b/>
                <w:sz w:val="20"/>
                <w:szCs w:val="20"/>
                <w:u w:val="single"/>
              </w:rPr>
            </w:pPr>
          </w:p>
        </w:tc>
      </w:tr>
      <w:tr w:rsidR="00B60474">
        <w:tc>
          <w:tcPr>
            <w:tcW w:w="9426" w:type="dxa"/>
          </w:tcPr>
          <w:p w:rsidR="00B60474" w:rsidRDefault="004A531B">
            <w:pPr>
              <w:spacing w:line="276" w:lineRule="auto"/>
              <w:jc w:val="both"/>
              <w:rPr>
                <w:rFonts w:ascii="Arial" w:hAnsi="Arial" w:cs="Arial"/>
                <w:sz w:val="20"/>
                <w:szCs w:val="20"/>
              </w:rPr>
            </w:pPr>
            <w:r>
              <w:rPr>
                <w:rFonts w:ascii="Arial" w:hAnsi="Arial" w:cs="Arial"/>
                <w:sz w:val="20"/>
                <w:szCs w:val="20"/>
              </w:rPr>
              <w:t>1.- Podrá ser beneficiaria de estas subvenciones la persona física o jurídica que haya de realizar la actividad que fundamenta la subvención o que se encuentre en la situación que fundamenta su concesión. Esta persona deberá cumplir, además, los requisitos específicos que se establecen en el anexo correspondiente para cada línea subvencional.</w:t>
            </w:r>
          </w:p>
          <w:p w:rsidR="00B60474" w:rsidRDefault="004A531B">
            <w:pPr>
              <w:spacing w:line="276" w:lineRule="auto"/>
              <w:jc w:val="both"/>
              <w:rPr>
                <w:rFonts w:ascii="Arial" w:hAnsi="Arial" w:cs="Arial"/>
                <w:sz w:val="20"/>
                <w:szCs w:val="20"/>
              </w:rPr>
            </w:pPr>
            <w:r>
              <w:rPr>
                <w:rFonts w:ascii="Arial" w:hAnsi="Arial" w:cs="Arial"/>
                <w:sz w:val="20"/>
                <w:szCs w:val="20"/>
              </w:rPr>
              <w:t>2. No podrán obtener la condición de beneficiario de las subvenciones reguladas en estas bases las personas o entidades en quienes concurra alguna de las circunstancias previstas en el artículo 13.2 de la Ley 38/2003, de 17 de noviembre, General de Subvenciones, ni las que se encuentren incursas en prohibición legal o inhabilitación por incurrir en discriminación por razón de sexo.</w:t>
            </w:r>
          </w:p>
          <w:p w:rsidR="00B60474" w:rsidRDefault="004A531B">
            <w:pPr>
              <w:spacing w:line="276" w:lineRule="auto"/>
              <w:jc w:val="both"/>
              <w:rPr>
                <w:rFonts w:ascii="Arial" w:hAnsi="Arial" w:cs="Arial"/>
                <w:sz w:val="20"/>
                <w:szCs w:val="20"/>
              </w:rPr>
            </w:pPr>
            <w:r>
              <w:rPr>
                <w:rFonts w:ascii="Arial" w:hAnsi="Arial" w:cs="Arial"/>
                <w:sz w:val="20"/>
                <w:szCs w:val="20"/>
              </w:rPr>
              <w:t>3. La acreditación de no estar incurso en prohibiciones para obtener la condición de beneficiario podrá realizarse mediante testimonio judicial o certificación, según los casos, de las personas o entidades y, cuando no sea posible su obtención, mediante declaración ante una Administración Pública o Notario.</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Los certificados tributarios o de Seguridad Social que acompañen a las solicitudes de subvención podrán ser sustituidos, en aquellos casos en que los interesados lo consientan expresamente, mediante la aportación directa de los datos necesarios al órgano responsable de la gestión de la subvención por las entidades competentes para su expedición.</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En el caso de que un grupo sin entidad jurídica organice o impulse una actividad educativa, para poder solicitar ayuda al Ayuntamiento deberá designar un máximo de cuatro representantes legales, que serán a todos los efectos representantes del grupo, responsables y responsables de la actividad ante el Ayuntamiento. Asimismo, deberán cumplir con lo dispuesto en el artículo 13 de la Ley 38/2003.</w:t>
            </w:r>
          </w:p>
          <w:p w:rsidR="00B60474" w:rsidRDefault="00B60474">
            <w:pPr>
              <w:spacing w:line="276" w:lineRule="auto"/>
              <w:jc w:val="both"/>
              <w:rPr>
                <w:rFonts w:ascii="Arial" w:hAnsi="Arial" w:cs="Arial"/>
                <w:sz w:val="20"/>
                <w:szCs w:val="20"/>
              </w:rPr>
            </w:pPr>
          </w:p>
          <w:p w:rsidR="00B60474" w:rsidRDefault="00B60474">
            <w:pPr>
              <w:spacing w:line="276" w:lineRule="auto"/>
              <w:jc w:val="both"/>
              <w:rPr>
                <w:rFonts w:ascii="Arial" w:hAnsi="Arial" w:cs="Arial"/>
                <w:i/>
                <w:iCs/>
                <w:sz w:val="20"/>
                <w:szCs w:val="20"/>
              </w:rPr>
            </w:pPr>
          </w:p>
        </w:tc>
      </w:tr>
      <w:tr w:rsidR="00B60474">
        <w:tc>
          <w:tcPr>
            <w:tcW w:w="9426" w:type="dxa"/>
            <w:hideMark/>
          </w:tcPr>
          <w:p w:rsidR="00B60474" w:rsidRDefault="004A531B">
            <w:pPr>
              <w:spacing w:line="276" w:lineRule="auto"/>
              <w:rPr>
                <w:rFonts w:ascii="Arial" w:hAnsi="Arial" w:cs="Arial"/>
                <w:b/>
                <w:sz w:val="20"/>
                <w:szCs w:val="20"/>
                <w:u w:val="single"/>
              </w:rPr>
            </w:pPr>
            <w:r>
              <w:rPr>
                <w:rFonts w:ascii="Arial" w:hAnsi="Arial" w:cs="Arial"/>
                <w:b/>
                <w:sz w:val="20"/>
                <w:szCs w:val="20"/>
                <w:u w:val="single"/>
              </w:rPr>
              <w:lastRenderedPageBreak/>
              <w:t>2.- Gastos subvencionables</w:t>
            </w:r>
          </w:p>
        </w:tc>
      </w:tr>
      <w:tr w:rsidR="00B60474">
        <w:tc>
          <w:tcPr>
            <w:tcW w:w="9426" w:type="dxa"/>
          </w:tcPr>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1. A los efectos de estas bases, se consideran gastos subvencionables aquellos que de manera indubitada correspondan a la naturaleza de la actuación subvencionable y se realicen en el plazo establecido en las bases reguladoras específicas. En ningún caso los costes de adquisición de los elementos subvencionados podrán superar el valor de mercado.</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2. Los beneficiarios de las ayudas quedan vinculados al gasto subvencionable que se les reconozca, el cual, en caso de recibir subvención, deberá justificar en su totalidad el importe del gasto subvencionable.</w:t>
            </w:r>
          </w:p>
          <w:p w:rsidR="00B60474" w:rsidRDefault="00B60474">
            <w:pPr>
              <w:spacing w:line="276" w:lineRule="auto"/>
              <w:jc w:val="both"/>
              <w:rPr>
                <w:rFonts w:ascii="Arial" w:hAnsi="Arial" w:cs="Arial"/>
                <w:i/>
                <w:iCs/>
                <w:sz w:val="20"/>
                <w:szCs w:val="20"/>
              </w:rPr>
            </w:pPr>
          </w:p>
        </w:tc>
      </w:tr>
      <w:tr w:rsidR="00B60474">
        <w:tc>
          <w:tcPr>
            <w:tcW w:w="9426" w:type="dxa"/>
          </w:tcPr>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3.- Lugar y documentación de presentación de solicitudes.</w:t>
            </w:r>
          </w:p>
          <w:p w:rsidR="00B60474" w:rsidRDefault="00B60474">
            <w:pPr>
              <w:spacing w:line="276" w:lineRule="auto"/>
              <w:jc w:val="both"/>
              <w:rPr>
                <w:rFonts w:ascii="Arial" w:hAnsi="Arial" w:cs="Arial"/>
                <w:b/>
                <w:sz w:val="20"/>
                <w:szCs w:val="20"/>
                <w:u w:val="single"/>
              </w:rPr>
            </w:pPr>
          </w:p>
        </w:tc>
      </w:tr>
      <w:tr w:rsidR="00B60474">
        <w:tc>
          <w:tcPr>
            <w:tcW w:w="9426" w:type="dxa"/>
          </w:tcPr>
          <w:p w:rsidR="00B60474" w:rsidRDefault="004A531B">
            <w:pPr>
              <w:spacing w:line="276" w:lineRule="auto"/>
              <w:jc w:val="both"/>
              <w:rPr>
                <w:rFonts w:ascii="Arial" w:hAnsi="Arial" w:cs="Arial"/>
                <w:sz w:val="20"/>
                <w:szCs w:val="20"/>
              </w:rPr>
            </w:pPr>
            <w:r>
              <w:rPr>
                <w:rFonts w:ascii="Arial" w:hAnsi="Arial" w:cs="Arial"/>
                <w:sz w:val="20"/>
                <w:szCs w:val="20"/>
              </w:rPr>
              <w:t xml:space="preserve">Las solicitudes pueden presentarse </w:t>
            </w:r>
            <w:r>
              <w:rPr>
                <w:rFonts w:ascii="Arial" w:hAnsi="Arial" w:cs="Arial"/>
                <w:b/>
                <w:sz w:val="20"/>
                <w:szCs w:val="20"/>
              </w:rPr>
              <w:t>en el Registro electrónico del Ayuntamiento</w:t>
            </w:r>
            <w:r w:rsidR="0064576F">
              <w:rPr>
                <w:rFonts w:ascii="Arial" w:hAnsi="Arial" w:cs="Arial"/>
                <w:sz w:val="20"/>
                <w:szCs w:val="20"/>
              </w:rPr>
              <w:t xml:space="preserve"> de Oñati,</w:t>
            </w:r>
            <w:r>
              <w:rPr>
                <w:rFonts w:ascii="Arial" w:hAnsi="Arial" w:cs="Arial"/>
                <w:sz w:val="20"/>
                <w:szCs w:val="20"/>
              </w:rPr>
              <w:t xml:space="preserve"> telemáticamente, </w:t>
            </w:r>
            <w:r w:rsidR="0064576F">
              <w:rPr>
                <w:rFonts w:ascii="Arial" w:hAnsi="Arial" w:cs="Arial"/>
                <w:sz w:val="20"/>
                <w:szCs w:val="20"/>
              </w:rPr>
              <w:t>así como</w:t>
            </w:r>
            <w:r>
              <w:rPr>
                <w:rFonts w:ascii="Arial" w:hAnsi="Arial" w:cs="Arial"/>
                <w:sz w:val="20"/>
                <w:szCs w:val="20"/>
              </w:rPr>
              <w:t xml:space="preserve"> en el servicio SAC. Las solicitudes se tramitarán en el Departamento de Educación.</w:t>
            </w:r>
          </w:p>
          <w:p w:rsidR="00B60474" w:rsidRDefault="00B60474">
            <w:pPr>
              <w:spacing w:line="276" w:lineRule="auto"/>
              <w:jc w:val="both"/>
              <w:rPr>
                <w:rFonts w:ascii="Arial" w:hAnsi="Arial" w:cs="Arial"/>
                <w:sz w:val="20"/>
                <w:szCs w:val="20"/>
              </w:rPr>
            </w:pPr>
          </w:p>
          <w:p w:rsidR="00B60474" w:rsidRDefault="00B60474">
            <w:pPr>
              <w:keepLines/>
              <w:spacing w:line="213" w:lineRule="exact"/>
              <w:ind w:firstLine="287"/>
              <w:jc w:val="both"/>
              <w:rPr>
                <w:rFonts w:ascii="Arial" w:hAnsi="Arial" w:cs="Arial"/>
                <w:i/>
                <w:sz w:val="18"/>
                <w:szCs w:val="18"/>
              </w:rPr>
            </w:pPr>
          </w:p>
        </w:tc>
      </w:tr>
      <w:tr w:rsidR="00B60474">
        <w:tc>
          <w:tcPr>
            <w:tcW w:w="9426" w:type="dxa"/>
          </w:tcPr>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4. Plazo de presentación de solicitudes.</w:t>
            </w:r>
          </w:p>
          <w:p w:rsidR="00B60474" w:rsidRDefault="00B60474">
            <w:pPr>
              <w:spacing w:line="276" w:lineRule="auto"/>
              <w:jc w:val="both"/>
              <w:rPr>
                <w:rFonts w:ascii="Arial" w:hAnsi="Arial" w:cs="Arial"/>
                <w:sz w:val="20"/>
                <w:szCs w:val="20"/>
                <w:u w:val="single"/>
              </w:rPr>
            </w:pPr>
          </w:p>
          <w:p w:rsidR="00B60474" w:rsidRDefault="004A531B">
            <w:pPr>
              <w:spacing w:line="276" w:lineRule="auto"/>
              <w:jc w:val="both"/>
              <w:rPr>
                <w:rFonts w:ascii="Arial" w:hAnsi="Arial" w:cs="Arial"/>
                <w:sz w:val="20"/>
                <w:szCs w:val="20"/>
              </w:rPr>
            </w:pPr>
            <w:r>
              <w:rPr>
                <w:rFonts w:ascii="Arial" w:hAnsi="Arial" w:cs="Arial"/>
                <w:sz w:val="20"/>
                <w:szCs w:val="20"/>
              </w:rPr>
              <w:t>Los solicitantes deberán presentar la solicitud de subvención en el plazo de un mes a partir del día siguiente a la publicación de la convocatoria en el Boletín Oficial de Gipuzkoa.</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En el caso de que alguno de los documentos solicitados ya estuviera en poder de algún órgano del Ayuntamiento de Oñati, la persona solicitante de la subvención podrá acogerse, con carácter potestativo, a lo establecido en los artículos 58.1.d y 28.3 de la Ley 39/2015. A tal efecto, la persona solicitante deberá indicar la fecha y departamento en el que se presentaron o entregaron, y siempre que no hayan transcurrido más de cinco años desde la finalización del procedimiento al que hubieran correspondido.</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Si las solicitudes o la documentación soporte fuesen defectuosas o incompletas, se concederá a los interesados un plazo de diez días para que subsanen los defectos observados. Si transcurrido dicho plazo no lo hiciera, se le tendrá por desistido de su petición, previa resolución que deberá ser dictada en los términos previstos en los artículos 93 y 94 de la Ley 39/2015.</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Si transcurrido el plazo de presentación de solicitudes, la Comisión Municipal de Educación recibiera una propuesta de organización de alguna acción educativa, podrá concederle, si así lo decide, la subvención que estime oportuna.</w:t>
            </w:r>
          </w:p>
          <w:p w:rsidR="00B60474" w:rsidRDefault="00B60474">
            <w:pPr>
              <w:spacing w:line="276" w:lineRule="auto"/>
              <w:jc w:val="both"/>
              <w:rPr>
                <w:rFonts w:ascii="Arial" w:hAnsi="Arial" w:cs="Arial"/>
                <w:b/>
                <w:sz w:val="20"/>
                <w:szCs w:val="20"/>
                <w:u w:val="single"/>
              </w:rPr>
            </w:pPr>
          </w:p>
        </w:tc>
      </w:tr>
      <w:tr w:rsidR="00B60474">
        <w:tc>
          <w:tcPr>
            <w:tcW w:w="9426" w:type="dxa"/>
          </w:tcPr>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5. Procedimiento de concesión.</w:t>
            </w:r>
          </w:p>
          <w:p w:rsidR="00B60474" w:rsidRDefault="00B60474">
            <w:pPr>
              <w:spacing w:line="276" w:lineRule="auto"/>
              <w:jc w:val="both"/>
              <w:rPr>
                <w:rFonts w:ascii="Arial" w:hAnsi="Arial" w:cs="Arial"/>
                <w:b/>
                <w:sz w:val="20"/>
                <w:szCs w:val="20"/>
                <w:u w:val="single"/>
              </w:rPr>
            </w:pPr>
          </w:p>
        </w:tc>
      </w:tr>
      <w:tr w:rsidR="00B60474">
        <w:tc>
          <w:tcPr>
            <w:tcW w:w="9426" w:type="dxa"/>
            <w:hideMark/>
          </w:tcPr>
          <w:p w:rsidR="00B60474" w:rsidRDefault="004A531B">
            <w:pPr>
              <w:spacing w:line="276" w:lineRule="auto"/>
              <w:jc w:val="both"/>
              <w:rPr>
                <w:rFonts w:ascii="Arial" w:hAnsi="Arial" w:cs="Arial"/>
                <w:sz w:val="18"/>
                <w:szCs w:val="18"/>
              </w:rPr>
            </w:pPr>
            <w:r>
              <w:rPr>
                <w:rFonts w:ascii="Arial" w:hAnsi="Arial" w:cs="Arial"/>
                <w:sz w:val="20"/>
                <w:szCs w:val="20"/>
              </w:rPr>
              <w:t>Estas ayudas se concederán mediante una práctica competitiva mutua. En consecuencia, en función de los criterios de valoración establecidos en cada caso, se seleccionará un número de solicitudes que asegure la calidad y viabilidad de las actividades objeto de subvención.</w:t>
            </w:r>
          </w:p>
        </w:tc>
      </w:tr>
      <w:tr w:rsidR="00B60474">
        <w:tc>
          <w:tcPr>
            <w:tcW w:w="9426" w:type="dxa"/>
          </w:tcPr>
          <w:p w:rsidR="00B60474" w:rsidRDefault="00B60474">
            <w:pPr>
              <w:spacing w:line="276" w:lineRule="auto"/>
              <w:jc w:val="both"/>
              <w:rPr>
                <w:rFonts w:ascii="Arial" w:hAnsi="Arial" w:cs="Arial"/>
                <w:b/>
                <w:sz w:val="20"/>
                <w:szCs w:val="20"/>
                <w:u w:val="single"/>
              </w:rPr>
            </w:pPr>
          </w:p>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6. Financiación de las actividades subvencionadas.</w:t>
            </w:r>
          </w:p>
          <w:p w:rsidR="00B60474" w:rsidRDefault="00B60474">
            <w:pPr>
              <w:spacing w:line="276" w:lineRule="auto"/>
              <w:jc w:val="both"/>
              <w:rPr>
                <w:rFonts w:ascii="Arial" w:hAnsi="Arial" w:cs="Arial"/>
                <w:b/>
                <w:sz w:val="20"/>
                <w:szCs w:val="20"/>
                <w:u w:val="single"/>
              </w:rPr>
            </w:pPr>
          </w:p>
        </w:tc>
      </w:tr>
      <w:tr w:rsidR="00B60474">
        <w:tc>
          <w:tcPr>
            <w:tcW w:w="9426" w:type="dxa"/>
          </w:tcPr>
          <w:p w:rsidR="00B60474" w:rsidRDefault="004A531B">
            <w:pPr>
              <w:spacing w:line="276" w:lineRule="auto"/>
              <w:jc w:val="both"/>
              <w:rPr>
                <w:rFonts w:ascii="Arial" w:hAnsi="Arial" w:cs="Arial"/>
                <w:sz w:val="20"/>
                <w:szCs w:val="20"/>
              </w:rPr>
            </w:pPr>
            <w:r>
              <w:rPr>
                <w:rFonts w:ascii="Arial" w:hAnsi="Arial" w:cs="Arial"/>
                <w:sz w:val="20"/>
                <w:szCs w:val="20"/>
              </w:rPr>
              <w:t>1. Las bases reguladoras específicas de cada tipo de subvención contenidas en los anexos que acompañan a estas bases generales podrán exigir un importe de la financiación propia de la actividad subvencionada. Se deberá acreditar la contribución propia a la actividad subvencionada como el resto de gastos incurridos en la misma.</w:t>
            </w:r>
          </w:p>
          <w:p w:rsidR="00B60474" w:rsidRDefault="004A531B">
            <w:pPr>
              <w:spacing w:line="276" w:lineRule="auto"/>
              <w:jc w:val="both"/>
              <w:rPr>
                <w:rFonts w:ascii="Arial" w:hAnsi="Arial" w:cs="Arial"/>
                <w:sz w:val="20"/>
                <w:szCs w:val="20"/>
              </w:rPr>
            </w:pPr>
            <w:r>
              <w:rPr>
                <w:rFonts w:ascii="Arial" w:hAnsi="Arial" w:cs="Arial"/>
                <w:sz w:val="20"/>
                <w:szCs w:val="20"/>
              </w:rPr>
              <w:t xml:space="preserve">2. Salvo que en las bases reguladoras específicas de cada tipo de subvención se disponga otra cosa, </w:t>
            </w:r>
            <w:r>
              <w:rPr>
                <w:rFonts w:ascii="Arial" w:hAnsi="Arial" w:cs="Arial"/>
                <w:sz w:val="20"/>
                <w:szCs w:val="20"/>
              </w:rPr>
              <w:lastRenderedPageBreak/>
              <w:t>las subvenciones contempladas en estas bases serán compatibles con otras ayudas, subvenciones, ingresos o recursos que, para la misma finalidad, pudieran ser otorgadas por cualesquiera otras Administraciones Públicas o entes públicos o privados, estatales, de la Unión Europea o de organismos internacionales, sin perjuicio de lo dispuesto en el apartado siguiente.</w:t>
            </w:r>
          </w:p>
          <w:p w:rsidR="00B60474" w:rsidRDefault="004A531B">
            <w:pPr>
              <w:spacing w:line="276" w:lineRule="auto"/>
              <w:jc w:val="both"/>
              <w:rPr>
                <w:rFonts w:ascii="Arial" w:hAnsi="Arial" w:cs="Arial"/>
                <w:sz w:val="20"/>
                <w:szCs w:val="20"/>
              </w:rPr>
            </w:pPr>
            <w:r>
              <w:rPr>
                <w:rFonts w:ascii="Arial" w:hAnsi="Arial" w:cs="Arial"/>
                <w:sz w:val="20"/>
                <w:szCs w:val="20"/>
              </w:rPr>
              <w:t>3. El importe de las subvenciones no podrá, aisladamente o en concurrencia con otras subvenciones, superar el coste de la actividad a desarrollar.</w:t>
            </w:r>
          </w:p>
          <w:p w:rsidR="00B60474" w:rsidRDefault="00B60474">
            <w:pPr>
              <w:spacing w:line="276" w:lineRule="auto"/>
              <w:jc w:val="both"/>
              <w:rPr>
                <w:rFonts w:ascii="Arial" w:hAnsi="Arial" w:cs="Arial"/>
                <w:sz w:val="20"/>
                <w:szCs w:val="20"/>
              </w:rPr>
            </w:pPr>
          </w:p>
        </w:tc>
      </w:tr>
      <w:tr w:rsidR="00B60474">
        <w:tc>
          <w:tcPr>
            <w:tcW w:w="9426" w:type="dxa"/>
          </w:tcPr>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lastRenderedPageBreak/>
              <w:t>7.- Cuantía de las subvenciones.</w:t>
            </w:r>
          </w:p>
          <w:p w:rsidR="00B60474" w:rsidRDefault="00B60474">
            <w:pPr>
              <w:spacing w:line="276" w:lineRule="auto"/>
              <w:jc w:val="both"/>
              <w:rPr>
                <w:rFonts w:ascii="Arial" w:hAnsi="Arial" w:cs="Arial"/>
                <w:b/>
                <w:sz w:val="20"/>
                <w:szCs w:val="20"/>
                <w:u w:val="single"/>
              </w:rPr>
            </w:pPr>
          </w:p>
        </w:tc>
      </w:tr>
      <w:tr w:rsidR="00B60474">
        <w:tc>
          <w:tcPr>
            <w:tcW w:w="9426" w:type="dxa"/>
          </w:tcPr>
          <w:p w:rsidR="00B60474" w:rsidRDefault="004A531B">
            <w:pPr>
              <w:spacing w:line="276" w:lineRule="auto"/>
              <w:jc w:val="both"/>
              <w:rPr>
                <w:rFonts w:ascii="Arial" w:hAnsi="Arial" w:cs="Arial"/>
                <w:sz w:val="20"/>
                <w:szCs w:val="20"/>
              </w:rPr>
            </w:pPr>
            <w:r>
              <w:rPr>
                <w:rFonts w:ascii="Arial" w:hAnsi="Arial" w:cs="Arial"/>
                <w:sz w:val="20"/>
                <w:szCs w:val="20"/>
              </w:rPr>
              <w:t>La cuantía de las subvenciones será la señalada en las bases reguladoras específicas de cada línea subvencional.</w:t>
            </w:r>
          </w:p>
          <w:p w:rsidR="00B60474" w:rsidRDefault="00B60474">
            <w:pPr>
              <w:spacing w:line="276" w:lineRule="auto"/>
              <w:jc w:val="both"/>
              <w:rPr>
                <w:rFonts w:ascii="Arial" w:hAnsi="Arial" w:cs="Arial"/>
                <w:sz w:val="20"/>
                <w:szCs w:val="20"/>
              </w:rPr>
            </w:pPr>
          </w:p>
        </w:tc>
      </w:tr>
      <w:tr w:rsidR="00B60474">
        <w:tc>
          <w:tcPr>
            <w:tcW w:w="9426" w:type="dxa"/>
            <w:hideMark/>
          </w:tcPr>
          <w:p w:rsidR="00B60474" w:rsidRDefault="004A531B">
            <w:pPr>
              <w:spacing w:line="276" w:lineRule="auto"/>
              <w:jc w:val="both"/>
              <w:rPr>
                <w:rFonts w:ascii="Arial" w:hAnsi="Arial" w:cs="Arial"/>
                <w:b/>
                <w:sz w:val="20"/>
                <w:szCs w:val="20"/>
                <w:u w:val="single"/>
              </w:rPr>
            </w:pPr>
            <w:r>
              <w:rPr>
                <w:rFonts w:ascii="Arial" w:hAnsi="Arial" w:cs="Arial"/>
                <w:b/>
                <w:iCs/>
                <w:sz w:val="20"/>
                <w:szCs w:val="20"/>
                <w:u w:val="single"/>
              </w:rPr>
              <w:t>8. Trámite.</w:t>
            </w:r>
          </w:p>
        </w:tc>
      </w:tr>
      <w:tr w:rsidR="00B60474">
        <w:tc>
          <w:tcPr>
            <w:tcW w:w="9426" w:type="dxa"/>
          </w:tcPr>
          <w:p w:rsidR="00B60474" w:rsidRDefault="004A531B">
            <w:pPr>
              <w:spacing w:line="276" w:lineRule="auto"/>
              <w:jc w:val="both"/>
              <w:rPr>
                <w:rFonts w:ascii="Arial" w:hAnsi="Arial" w:cs="Arial"/>
                <w:sz w:val="20"/>
                <w:szCs w:val="20"/>
              </w:rPr>
            </w:pPr>
            <w:r>
              <w:rPr>
                <w:rFonts w:ascii="Arial" w:hAnsi="Arial" w:cs="Arial"/>
                <w:sz w:val="20"/>
                <w:szCs w:val="20"/>
              </w:rPr>
              <w:t>1. Corresponde al Departamento de Educación la tramitación del procedimiento de concesión de las subvenciones, correspondiéndole cuantas acciones sean necesarias para la determinación, obtención y comprobación de los datos necesarios para llevar a cabo la propuesta de resolución.</w:t>
            </w:r>
          </w:p>
          <w:p w:rsidR="00B60474" w:rsidRDefault="004A531B">
            <w:pPr>
              <w:spacing w:line="276" w:lineRule="auto"/>
              <w:jc w:val="both"/>
              <w:rPr>
                <w:rFonts w:ascii="Arial" w:hAnsi="Arial" w:cs="Arial"/>
                <w:sz w:val="20"/>
                <w:szCs w:val="20"/>
              </w:rPr>
            </w:pPr>
            <w:r>
              <w:rPr>
                <w:rFonts w:ascii="Arial" w:hAnsi="Arial" w:cs="Arial"/>
                <w:sz w:val="20"/>
                <w:szCs w:val="20"/>
              </w:rPr>
              <w:t>2. La fase de tramitación comenzará con la evaluación previa que realice el Departamento de Educación de cada solicitud, consistente en comprobar que la persona solicitante reúne todos los requisitos establecidos para acceder a la condición de beneficiaria de la subvención y que la documentación presentada es completa e idónea.</w:t>
            </w:r>
          </w:p>
          <w:p w:rsidR="00B60474" w:rsidRDefault="004A531B">
            <w:pPr>
              <w:spacing w:line="276" w:lineRule="auto"/>
              <w:jc w:val="both"/>
              <w:rPr>
                <w:rFonts w:ascii="Arial" w:hAnsi="Arial" w:cs="Arial"/>
                <w:sz w:val="20"/>
                <w:szCs w:val="20"/>
              </w:rPr>
            </w:pPr>
            <w:r>
              <w:rPr>
                <w:rFonts w:ascii="Arial" w:hAnsi="Arial" w:cs="Arial"/>
                <w:sz w:val="20"/>
                <w:szCs w:val="20"/>
              </w:rPr>
              <w:t>3. El Presidente o Presidenta de la Comisión de Educación nombrará un técnico o técnica adscrito a su servicio para que informe sobre la valoración de las solicitudes presentadas en cada modalidad de subvención, salvo que las bases reguladoras específicas que se adjuntan a las presentes bases generales establezcan la necesidad de informe de otro órgano administrativo.</w:t>
            </w:r>
          </w:p>
          <w:p w:rsidR="00B60474" w:rsidRDefault="004A531B">
            <w:pPr>
              <w:spacing w:line="276" w:lineRule="auto"/>
              <w:jc w:val="both"/>
              <w:rPr>
                <w:rFonts w:ascii="Arial" w:hAnsi="Arial" w:cs="Arial"/>
                <w:sz w:val="20"/>
                <w:szCs w:val="20"/>
              </w:rPr>
            </w:pPr>
            <w:r>
              <w:rPr>
                <w:rFonts w:ascii="Arial" w:hAnsi="Arial" w:cs="Arial"/>
                <w:sz w:val="20"/>
                <w:szCs w:val="20"/>
              </w:rPr>
              <w:t>4. Una vez evaluadas las solicitudes, la Comisión de Educación elaborará la propuesta de resolución, debidamente motivada, y la elevará al órgano competente para su resolución.</w:t>
            </w:r>
          </w:p>
          <w:p w:rsidR="00B60474" w:rsidRDefault="00B60474">
            <w:pPr>
              <w:spacing w:line="276" w:lineRule="auto"/>
              <w:jc w:val="both"/>
              <w:rPr>
                <w:rFonts w:ascii="Arial" w:hAnsi="Arial" w:cs="Arial"/>
                <w:sz w:val="20"/>
                <w:szCs w:val="20"/>
              </w:rPr>
            </w:pPr>
          </w:p>
        </w:tc>
      </w:tr>
      <w:tr w:rsidR="00B60474">
        <w:tc>
          <w:tcPr>
            <w:tcW w:w="9426" w:type="dxa"/>
          </w:tcPr>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9. Subsanación de defectos en la solicitud presentada.</w:t>
            </w:r>
          </w:p>
          <w:p w:rsidR="00B60474" w:rsidRDefault="00B60474">
            <w:pPr>
              <w:spacing w:line="276" w:lineRule="auto"/>
              <w:jc w:val="both"/>
              <w:rPr>
                <w:rFonts w:ascii="Arial" w:hAnsi="Arial" w:cs="Arial"/>
                <w:b/>
                <w:sz w:val="20"/>
                <w:szCs w:val="20"/>
                <w:u w:val="single"/>
              </w:rPr>
            </w:pPr>
          </w:p>
          <w:p w:rsidR="00B60474" w:rsidRDefault="004A531B">
            <w:pPr>
              <w:spacing w:line="276" w:lineRule="auto"/>
              <w:jc w:val="both"/>
              <w:rPr>
                <w:rFonts w:ascii="Arial" w:hAnsi="Arial" w:cs="Arial"/>
                <w:sz w:val="20"/>
                <w:szCs w:val="20"/>
              </w:rPr>
            </w:pPr>
            <w:r>
              <w:rPr>
                <w:rFonts w:ascii="Arial" w:hAnsi="Arial" w:cs="Arial"/>
                <w:sz w:val="20"/>
                <w:szCs w:val="20"/>
              </w:rPr>
              <w:t>Si la solicitud presentada adoleciera de defectos, se comunicará al solicitante y deberá subsanarlos en el plazo de 10 días. En caso contrario, se tendrá por desistida a la persona solicitante.</w:t>
            </w:r>
          </w:p>
          <w:p w:rsidR="00B60474" w:rsidRDefault="00B60474">
            <w:pPr>
              <w:spacing w:line="276" w:lineRule="auto"/>
              <w:jc w:val="both"/>
              <w:rPr>
                <w:rFonts w:ascii="Arial" w:hAnsi="Arial" w:cs="Arial"/>
                <w:sz w:val="20"/>
                <w:szCs w:val="20"/>
              </w:rPr>
            </w:pPr>
          </w:p>
        </w:tc>
      </w:tr>
      <w:tr w:rsidR="00B60474">
        <w:tc>
          <w:tcPr>
            <w:tcW w:w="9426" w:type="dxa"/>
          </w:tcPr>
          <w:p w:rsidR="00B60474" w:rsidRPr="00C57D45" w:rsidRDefault="004A531B">
            <w:pPr>
              <w:spacing w:line="276" w:lineRule="auto"/>
              <w:jc w:val="both"/>
              <w:rPr>
                <w:rFonts w:ascii="Arial" w:hAnsi="Arial" w:cs="Arial"/>
                <w:b/>
                <w:sz w:val="20"/>
                <w:szCs w:val="20"/>
                <w:u w:val="single"/>
              </w:rPr>
            </w:pPr>
            <w:r w:rsidRPr="00C57D45">
              <w:rPr>
                <w:rFonts w:ascii="Arial" w:hAnsi="Arial" w:cs="Arial"/>
                <w:b/>
                <w:sz w:val="20"/>
                <w:szCs w:val="20"/>
                <w:u w:val="single"/>
              </w:rPr>
              <w:t>10.Plazo de resolución y notificación</w:t>
            </w:r>
          </w:p>
          <w:p w:rsidR="00B60474" w:rsidRDefault="00B60474">
            <w:pPr>
              <w:spacing w:line="276" w:lineRule="auto"/>
              <w:jc w:val="both"/>
              <w:rPr>
                <w:rFonts w:ascii="Arial" w:hAnsi="Arial" w:cs="Arial"/>
                <w:i/>
                <w:sz w:val="20"/>
                <w:szCs w:val="20"/>
              </w:rPr>
            </w:pPr>
          </w:p>
        </w:tc>
      </w:tr>
      <w:tr w:rsidR="00B60474">
        <w:tc>
          <w:tcPr>
            <w:tcW w:w="9426" w:type="dxa"/>
          </w:tcPr>
          <w:p w:rsidR="00B60474" w:rsidRDefault="00B60474">
            <w:pPr>
              <w:spacing w:line="276" w:lineRule="auto"/>
              <w:jc w:val="both"/>
              <w:rPr>
                <w:rFonts w:ascii="Arial" w:hAnsi="Arial" w:cs="Arial"/>
                <w:b/>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El plazo máximo para examinar, resolver y notificar el procedimiento será de tres meses. Para el cálculo del plazo se tendrá en cuenta la fecha de publicación de la convocatoria.</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Instruido el procedimiento, y en el momento anterior a redactar la propuesta de resolución, de conformidad con lo previsto en el artículo 82 de la Ley 39/2015, se dará cumplimiento al trámite de audiencia, salvo que en el procedimiento únicamente se tengan en cuenta o resulten tenidos en cuenta los hechos, pruebas y alegaciones formuladas por los interesados.</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 xml:space="preserve">La resolución pone fin a la vía administrativa. </w:t>
            </w:r>
            <w:r>
              <w:rPr>
                <w:rFonts w:ascii="Arial" w:hAnsi="Arial" w:cs="Arial"/>
                <w:sz w:val="20"/>
                <w:szCs w:val="20"/>
                <w:shd w:val="clear" w:color="auto" w:fill="FFFFFF" w:themeFill="background1"/>
              </w:rPr>
              <w:t>La aprobación de los beneficiarios de las subvenciones corresponderá a la Junta de Gobierno Local.</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De conformidad con lo establecido en el artículo 45.1.b) de la Ley 39/2015, de 1 de octubre, del Procedimiento Administrativo Común de las Administraciones Públicas, la resolución sucinta de la convocatoria se publicará en el Boletín Oficial de Gipuzkoa. Dicha publicación sustituirá a la notificación individual, que se entenderá practicada y surtirá efectos legales desde el día siguiente a la publicación de la resolución. Los interesados podrán consultar el contenido íntegro de la resolución en la página web del Ayuntamiento de Oñati (https://www.xn--oati-gqa.eus/es).</w:t>
            </w:r>
          </w:p>
        </w:tc>
      </w:tr>
      <w:tr w:rsidR="00B60474">
        <w:tc>
          <w:tcPr>
            <w:tcW w:w="9426" w:type="dxa"/>
          </w:tcPr>
          <w:p w:rsidR="00B60474" w:rsidRDefault="00B60474">
            <w:pPr>
              <w:spacing w:line="276" w:lineRule="auto"/>
              <w:jc w:val="both"/>
              <w:rPr>
                <w:rFonts w:ascii="Arial" w:hAnsi="Arial" w:cs="Arial"/>
                <w:sz w:val="20"/>
                <w:szCs w:val="20"/>
              </w:rPr>
            </w:pP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11. Obligaciones de los beneficiarios</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Los beneficiarios de las subvenciones deberán cumplir las siguientes obligaciones:</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A) Realizar el proyecto, realizar la actividad o considerar la conducta que fundamenta la concesión de la subvención.</w:t>
            </w:r>
          </w:p>
          <w:p w:rsidR="00B60474" w:rsidRDefault="004A531B">
            <w:pPr>
              <w:spacing w:line="276" w:lineRule="auto"/>
              <w:jc w:val="both"/>
              <w:rPr>
                <w:rFonts w:ascii="Arial" w:hAnsi="Arial" w:cs="Arial"/>
                <w:sz w:val="20"/>
                <w:szCs w:val="20"/>
              </w:rPr>
            </w:pPr>
            <w:r>
              <w:rPr>
                <w:rFonts w:ascii="Arial" w:hAnsi="Arial" w:cs="Arial"/>
                <w:sz w:val="20"/>
                <w:szCs w:val="20"/>
              </w:rPr>
              <w:t>B) Justificar ante el órgano concedente el cumplimiento de los requisitos y la realización de la actividad o el cumplimiento de la finalidad que determinen la concesión o disfrute de la subvención.</w:t>
            </w:r>
          </w:p>
          <w:p w:rsidR="00B60474" w:rsidRDefault="004A531B">
            <w:pPr>
              <w:spacing w:line="276" w:lineRule="auto"/>
              <w:jc w:val="both"/>
              <w:rPr>
                <w:rFonts w:ascii="Arial" w:hAnsi="Arial" w:cs="Arial"/>
                <w:sz w:val="20"/>
                <w:szCs w:val="20"/>
              </w:rPr>
            </w:pPr>
            <w:r>
              <w:rPr>
                <w:rFonts w:ascii="Arial" w:hAnsi="Arial" w:cs="Arial"/>
                <w:sz w:val="20"/>
                <w:szCs w:val="20"/>
              </w:rPr>
              <w:t>C) Someterse a las actuaciones de inspección que realice el órgano concedente, así como a las de comprobación y control financiero que puedan efectuar los órganos de control competentes, aportando cuanta información le sea requerida en el ejercicio de las anteriores funciones.</w:t>
            </w:r>
          </w:p>
          <w:p w:rsidR="00B60474" w:rsidRDefault="004A531B">
            <w:pPr>
              <w:spacing w:line="276" w:lineRule="auto"/>
              <w:jc w:val="both"/>
              <w:rPr>
                <w:rFonts w:ascii="Arial" w:hAnsi="Arial" w:cs="Arial"/>
                <w:sz w:val="20"/>
                <w:szCs w:val="20"/>
              </w:rPr>
            </w:pPr>
            <w:r>
              <w:rPr>
                <w:rFonts w:ascii="Arial" w:hAnsi="Arial" w:cs="Arial"/>
                <w:sz w:val="20"/>
                <w:szCs w:val="20"/>
              </w:rPr>
              <w:t>D) Comunicar al Ayuntamiento la obtención de ingresos o recursos para la misma finalidad, procedente de cualesquiera administraciones o entes tanto públicos como privados.</w:t>
            </w:r>
          </w:p>
          <w:p w:rsidR="00B60474" w:rsidRDefault="004A531B">
            <w:pPr>
              <w:spacing w:line="276" w:lineRule="auto"/>
              <w:jc w:val="both"/>
              <w:rPr>
                <w:rFonts w:ascii="Arial" w:hAnsi="Arial" w:cs="Arial"/>
                <w:sz w:val="20"/>
                <w:szCs w:val="20"/>
              </w:rPr>
            </w:pPr>
            <w:r>
              <w:rPr>
                <w:rFonts w:ascii="Arial" w:hAnsi="Arial" w:cs="Arial"/>
                <w:sz w:val="20"/>
                <w:szCs w:val="20"/>
              </w:rPr>
              <w:t>E) Comunicar al Ayuntamiento la modificación de cualquier circunstancia tanto objetiva como subjetiva que hubiese sido tenida en cuenta para la concesión de la subvención.</w:t>
            </w:r>
          </w:p>
          <w:p w:rsidR="00B60474" w:rsidRDefault="004A531B">
            <w:pPr>
              <w:spacing w:line="276" w:lineRule="auto"/>
              <w:jc w:val="both"/>
              <w:rPr>
                <w:rFonts w:ascii="Arial" w:hAnsi="Arial" w:cs="Arial"/>
                <w:sz w:val="20"/>
                <w:szCs w:val="20"/>
              </w:rPr>
            </w:pPr>
            <w:r>
              <w:rPr>
                <w:rFonts w:ascii="Arial" w:hAnsi="Arial" w:cs="Arial"/>
                <w:sz w:val="20"/>
                <w:szCs w:val="20"/>
              </w:rPr>
              <w:t>F) Cumplir con las obligaciones de publicidad. En la publicidad de las actividades objeto de subvención se hará constar la colaboración del Ayuntamiento de Oñati, respetando la imagen corporativa que en ese momento tenga acordada la entidad.</w:t>
            </w:r>
          </w:p>
          <w:p w:rsidR="00B60474" w:rsidRDefault="004A531B">
            <w:pPr>
              <w:spacing w:line="276" w:lineRule="auto"/>
              <w:jc w:val="both"/>
              <w:rPr>
                <w:rFonts w:ascii="Arial" w:hAnsi="Arial" w:cs="Arial"/>
                <w:sz w:val="20"/>
                <w:szCs w:val="20"/>
              </w:rPr>
            </w:pPr>
            <w:r>
              <w:rPr>
                <w:rFonts w:ascii="Arial" w:hAnsi="Arial" w:cs="Arial"/>
                <w:sz w:val="20"/>
                <w:szCs w:val="20"/>
              </w:rPr>
              <w:t>G) Cumplir en todas las actividades subvencionadas lo dispuesto en la Ley 10/82, de 24 de noviembre, básica de normalización del uso del Euskera y, en general, velar por la garantía de los derechos lingüísticos de las personas vascohablantes.</w:t>
            </w:r>
          </w:p>
          <w:p w:rsidR="00B60474" w:rsidRDefault="004A531B">
            <w:pPr>
              <w:spacing w:line="276" w:lineRule="auto"/>
              <w:jc w:val="both"/>
              <w:rPr>
                <w:rFonts w:ascii="Arial" w:hAnsi="Arial" w:cs="Arial"/>
                <w:sz w:val="20"/>
                <w:szCs w:val="20"/>
              </w:rPr>
            </w:pPr>
            <w:r>
              <w:rPr>
                <w:rFonts w:ascii="Arial" w:hAnsi="Arial" w:cs="Arial"/>
                <w:sz w:val="20"/>
                <w:szCs w:val="20"/>
              </w:rPr>
              <w:t>H) Cumplir en sus actuaciones con los principios generales establecidos en la Ley 4/2005, de 18 de febrero, para la Igualdad de Mujeres y Hombres, especialmente en lo relativo al uso no sexista del lenguaje y de las imágenes, e incorporar indicadores de género en los criterios de evaluación de la actividad subvencionada.</w:t>
            </w:r>
          </w:p>
          <w:p w:rsidR="00B60474" w:rsidRDefault="004A531B">
            <w:pPr>
              <w:spacing w:line="276" w:lineRule="auto"/>
              <w:jc w:val="both"/>
              <w:rPr>
                <w:rFonts w:ascii="Arial" w:hAnsi="Arial" w:cs="Arial"/>
                <w:sz w:val="20"/>
                <w:szCs w:val="20"/>
              </w:rPr>
            </w:pPr>
            <w:r>
              <w:rPr>
                <w:rFonts w:ascii="Arial" w:hAnsi="Arial" w:cs="Arial"/>
                <w:sz w:val="20"/>
                <w:szCs w:val="20"/>
              </w:rPr>
              <w:t>I) Obtener y cumplir las disposiciones que se establezcan para la realización de la actividad subvencionada.</w:t>
            </w:r>
          </w:p>
          <w:p w:rsidR="00B60474" w:rsidRDefault="00B60474">
            <w:pPr>
              <w:spacing w:line="276" w:lineRule="auto"/>
              <w:jc w:val="both"/>
              <w:rPr>
                <w:rFonts w:ascii="Arial" w:hAnsi="Arial" w:cs="Arial"/>
                <w:b/>
                <w:sz w:val="20"/>
                <w:szCs w:val="20"/>
                <w:u w:val="single"/>
              </w:rPr>
            </w:pPr>
          </w:p>
          <w:p w:rsidR="00B60474" w:rsidRPr="00C042EF" w:rsidRDefault="004A531B">
            <w:pPr>
              <w:spacing w:line="276" w:lineRule="auto"/>
              <w:jc w:val="both"/>
              <w:rPr>
                <w:rFonts w:ascii="Arial" w:hAnsi="Arial" w:cs="Arial"/>
                <w:b/>
                <w:sz w:val="20"/>
                <w:szCs w:val="20"/>
                <w:u w:val="single"/>
              </w:rPr>
            </w:pPr>
            <w:r w:rsidRPr="00C042EF">
              <w:rPr>
                <w:rFonts w:ascii="Arial" w:hAnsi="Arial" w:cs="Arial"/>
                <w:b/>
                <w:sz w:val="20"/>
                <w:szCs w:val="20"/>
                <w:u w:val="single"/>
              </w:rPr>
              <w:t>12.- Retirada y reintegro de la subvención</w:t>
            </w:r>
            <w:bookmarkStart w:id="0" w:name="_GoBack"/>
            <w:bookmarkEnd w:id="0"/>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Procederá el reintegro de las cantidades concedidas en los supuestos que se relacionan a continuación, así como de los intereses de demora desde el momento del pago de la subvención hasta el momento en que se acuerde el reintegro.</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A. La falta de justificación en tiempo y forma del destino dado a la cantidad percibida.</w:t>
            </w:r>
          </w:p>
          <w:p w:rsidR="00B60474" w:rsidRDefault="004A531B">
            <w:pPr>
              <w:spacing w:line="276" w:lineRule="auto"/>
              <w:jc w:val="both"/>
              <w:rPr>
                <w:rFonts w:ascii="Arial" w:hAnsi="Arial" w:cs="Arial"/>
                <w:sz w:val="20"/>
                <w:szCs w:val="20"/>
              </w:rPr>
            </w:pPr>
            <w:r>
              <w:rPr>
                <w:rFonts w:ascii="Arial" w:hAnsi="Arial" w:cs="Arial"/>
                <w:sz w:val="20"/>
                <w:szCs w:val="20"/>
              </w:rPr>
              <w:t>B. La subvención será denegada si no se aporta toda la documentación requerida. Asimismo, toda ocultación o falseamiento de datos dará lugar a la pérdida del derecho a la percepción de la subvención.</w:t>
            </w:r>
          </w:p>
          <w:p w:rsidR="00B60474" w:rsidRDefault="004A531B">
            <w:pPr>
              <w:spacing w:line="276" w:lineRule="auto"/>
              <w:jc w:val="both"/>
              <w:rPr>
                <w:rFonts w:ascii="Arial" w:hAnsi="Arial" w:cs="Arial"/>
                <w:sz w:val="20"/>
                <w:szCs w:val="20"/>
              </w:rPr>
            </w:pPr>
            <w:r>
              <w:rPr>
                <w:rFonts w:ascii="Arial" w:hAnsi="Arial" w:cs="Arial"/>
                <w:sz w:val="20"/>
                <w:szCs w:val="20"/>
              </w:rPr>
              <w:t>C. El incumplimiento de las condiciones impuestas a los beneficiarios en la concesión de las subvenciones.</w:t>
            </w:r>
          </w:p>
          <w:p w:rsidR="00B60474" w:rsidRDefault="004A531B">
            <w:pPr>
              <w:spacing w:line="276" w:lineRule="auto"/>
              <w:jc w:val="both"/>
              <w:rPr>
                <w:rFonts w:ascii="Arial" w:hAnsi="Arial" w:cs="Arial"/>
                <w:sz w:val="20"/>
                <w:szCs w:val="20"/>
              </w:rPr>
            </w:pPr>
            <w:r>
              <w:rPr>
                <w:rFonts w:ascii="Arial" w:hAnsi="Arial" w:cs="Arial"/>
                <w:sz w:val="20"/>
                <w:szCs w:val="20"/>
              </w:rPr>
              <w:t>D. Incumplimiento total o parcial del objeto de la subvención.</w:t>
            </w:r>
          </w:p>
          <w:p w:rsidR="00B60474" w:rsidRDefault="004A531B">
            <w:pPr>
              <w:spacing w:line="276" w:lineRule="auto"/>
              <w:jc w:val="both"/>
              <w:rPr>
                <w:rFonts w:ascii="Arial" w:hAnsi="Arial" w:cs="Arial"/>
                <w:sz w:val="20"/>
                <w:szCs w:val="20"/>
              </w:rPr>
            </w:pPr>
            <w:r>
              <w:rPr>
                <w:rFonts w:ascii="Arial" w:hAnsi="Arial" w:cs="Arial"/>
                <w:sz w:val="20"/>
                <w:szCs w:val="20"/>
              </w:rPr>
              <w:t>E. Obstaculizar u obstaculizar la actividad de los organismos de control</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Si en el ejercicio de la gestión, inspección y control aparecieran indicios de la incorrecta percepción o utilización de la subvención, se incoará un expediente en el que se ponga de manifiesto tal circunstancia y se adoptarán las medidas cautelares necesarias.</w:t>
            </w:r>
          </w:p>
          <w:p w:rsidR="00B60474" w:rsidRDefault="00B60474">
            <w:pPr>
              <w:spacing w:line="276" w:lineRule="auto"/>
              <w:jc w:val="both"/>
              <w:rPr>
                <w:rFonts w:ascii="Arial" w:hAnsi="Arial" w:cs="Arial"/>
                <w:sz w:val="20"/>
                <w:szCs w:val="20"/>
              </w:rPr>
            </w:pP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b/>
                <w:iCs/>
                <w:sz w:val="20"/>
                <w:szCs w:val="20"/>
                <w:u w:val="single"/>
              </w:rPr>
            </w:pPr>
            <w:r>
              <w:rPr>
                <w:rFonts w:ascii="Arial" w:hAnsi="Arial" w:cs="Arial"/>
                <w:b/>
                <w:iCs/>
                <w:sz w:val="20"/>
                <w:szCs w:val="20"/>
                <w:u w:val="single"/>
              </w:rPr>
              <w:t>13. Formas de pago y plazos.</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 xml:space="preserve">Como norma general, el pago de las subvenciones reguladas en las presentes bases se efectuará, salvo que en el anexo de cada una de ellas se disponga otra cosa: las subvenciones concedidas con cargo a este programa se abonarán en dos pagos, el 60% a partir de los 15 días siguientes a la fecha </w:t>
            </w:r>
            <w:r>
              <w:rPr>
                <w:rFonts w:ascii="Arial" w:hAnsi="Arial" w:cs="Arial"/>
                <w:sz w:val="20"/>
                <w:szCs w:val="20"/>
              </w:rPr>
              <w:lastRenderedPageBreak/>
              <w:t>de la resolución y el 40% restante, previa presentación y aprobación de la memoria anual. La liquidación deberá ser aprobada por la Junta de Gobierno Local.</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De conformidad con lo establecido en el artículo 45.1.b) de la Ley 39/2015, de 1 de octubre, del Procedimiento Administrativo Común de las Administraciones Públicas, la resolución sucinta de la convocatoria se publicará en el Boletín Oficial de Gipuzkoa. Dicha publicación sustituirá a la notificación individual, que se entenderá practicada y surtirá efectos legales desde el día siguiente a la publicación de la resolución. Los interesados podrán consultar el contenido íntegro de la resolución en la página web del Ayuntamiento de Oñati (https://www.xn--oati-gqa.eus/es).</w:t>
            </w:r>
          </w:p>
          <w:p w:rsidR="00B60474" w:rsidRDefault="00B60474">
            <w:pPr>
              <w:spacing w:line="276" w:lineRule="auto"/>
              <w:jc w:val="both"/>
              <w:rPr>
                <w:rFonts w:ascii="Arial" w:hAnsi="Arial" w:cs="Arial"/>
                <w:iCs/>
                <w:sz w:val="20"/>
                <w:szCs w:val="20"/>
              </w:rPr>
            </w:pPr>
          </w:p>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14.Interpretación.</w:t>
            </w:r>
          </w:p>
          <w:p w:rsidR="00B60474" w:rsidRDefault="00B60474">
            <w:pPr>
              <w:spacing w:line="276" w:lineRule="auto"/>
              <w:jc w:val="both"/>
              <w:rPr>
                <w:rFonts w:ascii="Arial" w:hAnsi="Arial" w:cs="Arial"/>
                <w:b/>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Las incidencias que puedan surgir en la interpretación y desarrollo de las presentes bases serán resueltas por el Alcalde o Alcaldesa, a propuesta de la Comisión de Educación.</w:t>
            </w:r>
          </w:p>
          <w:p w:rsidR="00B60474" w:rsidRDefault="00B60474">
            <w:pPr>
              <w:spacing w:line="276" w:lineRule="auto"/>
              <w:jc w:val="both"/>
              <w:rPr>
                <w:rFonts w:ascii="Arial" w:hAnsi="Arial" w:cs="Arial"/>
                <w:sz w:val="20"/>
                <w:szCs w:val="20"/>
              </w:rPr>
            </w:pPr>
          </w:p>
          <w:p w:rsidR="00B60474" w:rsidRDefault="00B60474">
            <w:pPr>
              <w:spacing w:line="276" w:lineRule="auto"/>
              <w:jc w:val="both"/>
              <w:rPr>
                <w:rFonts w:ascii="Arial" w:hAnsi="Arial" w:cs="Arial"/>
                <w:sz w:val="20"/>
                <w:szCs w:val="20"/>
              </w:rPr>
            </w:pPr>
          </w:p>
          <w:p w:rsidR="00B60474" w:rsidRDefault="00B60474">
            <w:pPr>
              <w:spacing w:line="276" w:lineRule="auto"/>
              <w:jc w:val="both"/>
              <w:rPr>
                <w:rFonts w:ascii="Arial" w:hAnsi="Arial" w:cs="Arial"/>
                <w:b/>
                <w:i/>
                <w:sz w:val="20"/>
                <w:szCs w:val="20"/>
                <w:u w:val="single"/>
              </w:rPr>
            </w:pPr>
          </w:p>
          <w:p w:rsidR="00B60474" w:rsidRDefault="004A531B">
            <w:pPr>
              <w:spacing w:line="276" w:lineRule="auto"/>
              <w:jc w:val="both"/>
              <w:rPr>
                <w:rFonts w:ascii="Arial" w:hAnsi="Arial" w:cs="Arial"/>
                <w:b/>
                <w:sz w:val="20"/>
                <w:szCs w:val="20"/>
                <w:u w:val="single"/>
              </w:rPr>
            </w:pPr>
            <w:r>
              <w:rPr>
                <w:rFonts w:ascii="Arial" w:hAnsi="Arial" w:cs="Arial"/>
                <w:b/>
                <w:sz w:val="20"/>
                <w:szCs w:val="20"/>
                <w:u w:val="single"/>
              </w:rPr>
              <w:t>15. Régimen jurídico.</w:t>
            </w:r>
          </w:p>
          <w:p w:rsidR="00B60474" w:rsidRDefault="00B60474">
            <w:pPr>
              <w:spacing w:line="276" w:lineRule="auto"/>
              <w:jc w:val="both"/>
              <w:rPr>
                <w:rFonts w:ascii="Arial" w:hAnsi="Arial" w:cs="Arial"/>
                <w:b/>
                <w:sz w:val="20"/>
                <w:szCs w:val="20"/>
              </w:rPr>
            </w:pPr>
          </w:p>
          <w:p w:rsidR="00B60474" w:rsidRDefault="004A531B">
            <w:pPr>
              <w:spacing w:line="276" w:lineRule="auto"/>
              <w:jc w:val="both"/>
              <w:rPr>
                <w:rFonts w:ascii="Arial" w:hAnsi="Arial" w:cs="Arial"/>
                <w:sz w:val="20"/>
                <w:szCs w:val="20"/>
              </w:rPr>
            </w:pPr>
            <w:r>
              <w:rPr>
                <w:rFonts w:ascii="Arial" w:hAnsi="Arial" w:cs="Arial"/>
                <w:sz w:val="20"/>
                <w:szCs w:val="20"/>
              </w:rPr>
              <w:t>En lo no regulado en estas bases, serán de aplicación las siguientes leyes y reglamentos:</w:t>
            </w:r>
          </w:p>
          <w:p w:rsidR="00B60474" w:rsidRDefault="00B60474">
            <w:pPr>
              <w:spacing w:line="276" w:lineRule="auto"/>
              <w:jc w:val="both"/>
              <w:rPr>
                <w:rFonts w:ascii="Arial" w:hAnsi="Arial" w:cs="Arial"/>
                <w:sz w:val="20"/>
                <w:szCs w:val="20"/>
              </w:rPr>
            </w:pPr>
          </w:p>
          <w:p w:rsidR="00B60474" w:rsidRDefault="004A531B">
            <w:pPr>
              <w:spacing w:line="276" w:lineRule="auto"/>
              <w:jc w:val="both"/>
              <w:rPr>
                <w:rFonts w:ascii="Arial" w:hAnsi="Arial" w:cs="Arial"/>
                <w:strike/>
                <w:sz w:val="20"/>
                <w:szCs w:val="20"/>
              </w:rPr>
            </w:pPr>
            <w:r>
              <w:rPr>
                <w:rFonts w:ascii="Arial" w:hAnsi="Arial" w:cs="Arial"/>
                <w:sz w:val="20"/>
                <w:szCs w:val="20"/>
              </w:rPr>
              <w:t>.- Ley 39/2015 de Procedimiento Administrativo de las Administraciones Públicas.</w:t>
            </w:r>
          </w:p>
          <w:p w:rsidR="00B60474" w:rsidRDefault="004A531B">
            <w:pPr>
              <w:spacing w:line="276" w:lineRule="auto"/>
              <w:jc w:val="both"/>
              <w:rPr>
                <w:rFonts w:ascii="Arial" w:hAnsi="Arial" w:cs="Arial"/>
                <w:sz w:val="20"/>
                <w:szCs w:val="20"/>
              </w:rPr>
            </w:pPr>
            <w:r>
              <w:rPr>
                <w:rFonts w:ascii="Arial" w:hAnsi="Arial" w:cs="Arial"/>
                <w:sz w:val="20"/>
                <w:szCs w:val="20"/>
              </w:rPr>
              <w:t>.- Ley 38/2003 de Subvenciones y Real Decreto 887/2006 por el que se aprueba su Reglamento.</w:t>
            </w:r>
          </w:p>
          <w:p w:rsidR="00B60474" w:rsidRDefault="004A531B">
            <w:pPr>
              <w:spacing w:line="276" w:lineRule="auto"/>
              <w:jc w:val="both"/>
              <w:rPr>
                <w:rFonts w:ascii="Arial" w:hAnsi="Arial" w:cs="Arial"/>
                <w:sz w:val="20"/>
                <w:szCs w:val="20"/>
              </w:rPr>
            </w:pPr>
            <w:r>
              <w:rPr>
                <w:rFonts w:ascii="Arial" w:hAnsi="Arial" w:cs="Arial"/>
                <w:sz w:val="20"/>
                <w:szCs w:val="20"/>
              </w:rPr>
              <w:t>.- Ordenanza General reguladora de las subvenciones del Ayuntamiento de Oñati (Boletín Oficial de Gipuzkoa nº 54, de 23 de marzo de 2009).</w:t>
            </w:r>
          </w:p>
          <w:p w:rsidR="00B60474" w:rsidRDefault="004A531B">
            <w:pPr>
              <w:spacing w:line="276" w:lineRule="auto"/>
              <w:jc w:val="both"/>
              <w:rPr>
                <w:rFonts w:ascii="Arial" w:hAnsi="Arial" w:cs="Arial"/>
                <w:sz w:val="20"/>
                <w:szCs w:val="20"/>
              </w:rPr>
            </w:pPr>
            <w:r>
              <w:rPr>
                <w:rFonts w:ascii="Arial" w:hAnsi="Arial" w:cs="Arial"/>
                <w:sz w:val="20"/>
                <w:szCs w:val="20"/>
              </w:rPr>
              <w:t>.- Plan Estratégico de Subvenciones 2015/2019: aprobado por el Pleno de 23/07/2015 y publicado en el BOG de 15/09/2015.</w:t>
            </w:r>
          </w:p>
          <w:p w:rsidR="00B60474" w:rsidRDefault="00B60474">
            <w:pPr>
              <w:spacing w:line="276" w:lineRule="auto"/>
              <w:jc w:val="both"/>
              <w:rPr>
                <w:rFonts w:ascii="Arial" w:hAnsi="Arial" w:cs="Arial"/>
                <w:sz w:val="20"/>
                <w:szCs w:val="20"/>
              </w:rPr>
            </w:pPr>
          </w:p>
          <w:p w:rsidR="00B60474" w:rsidRDefault="00B60474">
            <w:pPr>
              <w:spacing w:line="276" w:lineRule="auto"/>
              <w:jc w:val="both"/>
              <w:rPr>
                <w:rFonts w:ascii="Arial" w:hAnsi="Arial" w:cs="Arial"/>
                <w:sz w:val="20"/>
                <w:szCs w:val="20"/>
              </w:rPr>
            </w:pPr>
          </w:p>
          <w:p w:rsidR="00B60474" w:rsidRDefault="00B60474">
            <w:pPr>
              <w:spacing w:line="276" w:lineRule="auto"/>
              <w:jc w:val="both"/>
              <w:rPr>
                <w:rFonts w:ascii="Arial" w:hAnsi="Arial" w:cs="Arial"/>
                <w:b/>
                <w:bCs/>
                <w:iCs/>
                <w:sz w:val="20"/>
                <w:szCs w:val="20"/>
              </w:rPr>
            </w:pPr>
          </w:p>
        </w:tc>
      </w:tr>
    </w:tbl>
    <w:p w:rsidR="00B60474" w:rsidRDefault="00B60474"/>
    <w:p w:rsidR="00B60474" w:rsidRDefault="00B60474">
      <w:pPr>
        <w:spacing w:line="360" w:lineRule="auto"/>
        <w:rPr>
          <w:rFonts w:ascii="Trebuchet MS" w:hAnsi="Trebuchet MS"/>
        </w:rPr>
      </w:pPr>
    </w:p>
    <w:p w:rsidR="00B60474" w:rsidRDefault="00B60474">
      <w:pPr>
        <w:spacing w:line="360" w:lineRule="auto"/>
        <w:rPr>
          <w:rFonts w:ascii="Trebuchet MS" w:hAnsi="Trebuchet MS"/>
        </w:rPr>
      </w:pPr>
    </w:p>
    <w:sectPr w:rsidR="00B60474">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474" w:rsidRDefault="004A531B">
      <w:r>
        <w:separator/>
      </w:r>
    </w:p>
  </w:endnote>
  <w:endnote w:type="continuationSeparator" w:id="0">
    <w:p w:rsidR="00B60474" w:rsidRDefault="004A5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74" w:rsidRDefault="004A531B">
    <w:pPr>
      <w:pStyle w:val="Orri-oina"/>
      <w:ind w:left="-1134" w:right="-1268"/>
      <w:jc w:val="center"/>
    </w:pPr>
    <w:r>
      <w:rPr>
        <w:rFonts w:ascii="Trebuchet MS" w:hAnsi="Trebuchet MS"/>
        <w:b/>
        <w:color w:val="7F7F7F"/>
        <w:sz w:val="16"/>
      </w:rPr>
      <w:t>Ayuntamiento de Oñati • Foruen Enparantza, 1 • 20560 Oñati • Tel: (34) 943 78 04 11 • Fax: 943 78 30 69 • www.oñati.eus</w:t>
    </w:r>
  </w:p>
  <w:p w:rsidR="00B60474" w:rsidRDefault="004A531B">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74" w:rsidRDefault="004A531B">
    <w:pPr>
      <w:pStyle w:val="Orri-oina"/>
      <w:ind w:left="-1134" w:right="-1268"/>
      <w:jc w:val="center"/>
    </w:pPr>
    <w:r>
      <w:rPr>
        <w:rFonts w:ascii="Trebuchet MS" w:hAnsi="Trebuchet MS"/>
        <w:b/>
        <w:color w:val="7F7F7F"/>
        <w:sz w:val="16"/>
      </w:rPr>
      <w:t>Ayuntamiento de Oñati • Foruen Enparantza, 1 • 20560 Oñati • Tel: (34) 943 78 04 11 • Fax: 943 78 30 69 • www.oñati.eus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474" w:rsidRDefault="004A531B">
      <w:r>
        <w:separator/>
      </w:r>
    </w:p>
  </w:footnote>
  <w:footnote w:type="continuationSeparator" w:id="0">
    <w:p w:rsidR="00B60474" w:rsidRDefault="004A53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74" w:rsidRDefault="004A531B">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AYUNTAMIENTO DE OÑATI</w:t>
    </w:r>
    <w:r>
      <w:tab/>
    </w:r>
    <w:r>
      <w:tab/>
    </w:r>
    <w:r>
      <w:tab/>
    </w:r>
  </w:p>
  <w:p w:rsidR="00B60474" w:rsidRDefault="00C042EF">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474" w:rsidRDefault="004A531B">
    <w:pPr>
      <w:pStyle w:val="Goiburua"/>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F0F"/>
    <w:rsid w:val="00026A66"/>
    <w:rsid w:val="00027608"/>
    <w:rsid w:val="000F5295"/>
    <w:rsid w:val="001447B3"/>
    <w:rsid w:val="001C0830"/>
    <w:rsid w:val="001F1B17"/>
    <w:rsid w:val="002024D6"/>
    <w:rsid w:val="0021058A"/>
    <w:rsid w:val="002800C0"/>
    <w:rsid w:val="00290D5E"/>
    <w:rsid w:val="003473A6"/>
    <w:rsid w:val="0036385B"/>
    <w:rsid w:val="003A5E10"/>
    <w:rsid w:val="003D2AFB"/>
    <w:rsid w:val="004767AD"/>
    <w:rsid w:val="00486B73"/>
    <w:rsid w:val="0049534C"/>
    <w:rsid w:val="004A4D49"/>
    <w:rsid w:val="004A531B"/>
    <w:rsid w:val="004D0C80"/>
    <w:rsid w:val="00583E33"/>
    <w:rsid w:val="00597A23"/>
    <w:rsid w:val="0064576F"/>
    <w:rsid w:val="006D3B5B"/>
    <w:rsid w:val="006E1849"/>
    <w:rsid w:val="008B0725"/>
    <w:rsid w:val="008F35D7"/>
    <w:rsid w:val="009056AF"/>
    <w:rsid w:val="00936CB9"/>
    <w:rsid w:val="00942D00"/>
    <w:rsid w:val="009A7152"/>
    <w:rsid w:val="00A50FE3"/>
    <w:rsid w:val="00AB72D3"/>
    <w:rsid w:val="00B60474"/>
    <w:rsid w:val="00B8080D"/>
    <w:rsid w:val="00BD3B34"/>
    <w:rsid w:val="00BE6E3B"/>
    <w:rsid w:val="00C042EF"/>
    <w:rsid w:val="00C06446"/>
    <w:rsid w:val="00C3035C"/>
    <w:rsid w:val="00C548B6"/>
    <w:rsid w:val="00C57D45"/>
    <w:rsid w:val="00C96222"/>
    <w:rsid w:val="00CD4F0F"/>
    <w:rsid w:val="00D62E4C"/>
    <w:rsid w:val="00DA4BE9"/>
    <w:rsid w:val="00E02135"/>
    <w:rsid w:val="00E40710"/>
    <w:rsid w:val="00E472B5"/>
    <w:rsid w:val="00FE6CF9"/>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CD4F0F"/>
    <w:rPr>
      <w:rFonts w:ascii="Times New Roman" w:eastAsia="Times New Roman" w:hAnsi="Times New Roman"/>
      <w:sz w:val="24"/>
      <w:szCs w:val="24"/>
      <w:lang w:val="es"/>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styleId="Bunbuiloarentestua">
    <w:name w:val="Balloon Text"/>
    <w:basedOn w:val="Normala"/>
    <w:link w:val="BunbuiloarentestuaKar"/>
    <w:uiPriority w:val="99"/>
    <w:semiHidden/>
    <w:unhideWhenUsed/>
    <w:rsid w:val="0049534C"/>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49534C"/>
    <w:rPr>
      <w:rFonts w:ascii="Tahoma" w:eastAsia="Times New Roman" w:hAnsi="Tahoma" w:cs="Tahoma"/>
      <w:sz w:val="16"/>
      <w:szCs w:val="16"/>
      <w:lang w:val="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CD4F0F"/>
    <w:rPr>
      <w:rFonts w:ascii="Times New Roman" w:eastAsia="Times New Roman" w:hAnsi="Times New Roman"/>
      <w:sz w:val="24"/>
      <w:szCs w:val="24"/>
      <w:lang w:val="es"/>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styleId="Bunbuiloarentestua">
    <w:name w:val="Balloon Text"/>
    <w:basedOn w:val="Normala"/>
    <w:link w:val="BunbuiloarentestuaKar"/>
    <w:uiPriority w:val="99"/>
    <w:semiHidden/>
    <w:unhideWhenUsed/>
    <w:rsid w:val="0049534C"/>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49534C"/>
    <w:rPr>
      <w:rFonts w:ascii="Tahoma" w:eastAsia="Times New Roman" w:hAnsi="Tahoma" w:cs="Tahoma"/>
      <w:sz w:val="16"/>
      <w:szCs w:val="16"/>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275</TotalTime>
  <Pages>5</Pages>
  <Words>2215</Words>
  <Characters>12240</Characters>
  <Application>Microsoft Office Word</Application>
  <DocSecurity>0</DocSecurity>
  <Lines>102</Lines>
  <Paragraphs>28</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14427</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Oñati, Blanca</dc:creator>
  <cp:lastModifiedBy>Oñatiko Udala, Iñaki Akizu</cp:lastModifiedBy>
  <cp:revision>3</cp:revision>
  <cp:lastPrinted>2022-01-17T16:24:00Z</cp:lastPrinted>
  <dcterms:created xsi:type="dcterms:W3CDTF">2022-02-09T13:32:00Z</dcterms:created>
  <dcterms:modified xsi:type="dcterms:W3CDTF">2022-02-10T13:17:00Z</dcterms:modified>
</cp:coreProperties>
</file>