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507" w:rsidRPr="00C10507" w:rsidRDefault="00C10507" w:rsidP="00C10507">
      <w:pPr>
        <w:pBdr>
          <w:bottom w:val="single" w:sz="4" w:space="1" w:color="auto"/>
        </w:pBdr>
        <w:spacing w:after="180" w:line="336" w:lineRule="auto"/>
        <w:jc w:val="both"/>
        <w:rPr>
          <w:rFonts w:eastAsia="Times New Roman" w:cs="Times New Roman"/>
          <w:color w:val="000000"/>
          <w:lang w:eastAsia="de-DE"/>
        </w:rPr>
      </w:pPr>
      <w:bookmarkStart w:id="0" w:name="_GoBack"/>
      <w:bookmarkEnd w:id="0"/>
      <w:r w:rsidRPr="00C10507">
        <w:rPr>
          <w:rFonts w:eastAsia="Times New Roman" w:cs="Times New Roman"/>
          <w:color w:val="000000"/>
          <w:lang w:eastAsia="de-DE"/>
        </w:rPr>
        <w:t xml:space="preserve">ORDEN DEL CONSEJERO DE VERTEBRACIÓN DEL TERRITORIO, MOVILIDAD Y VIVIENDA POR LA QUE SE </w:t>
      </w:r>
      <w:r w:rsidR="00C81910">
        <w:rPr>
          <w:rFonts w:eastAsia="Times New Roman" w:cs="Times New Roman"/>
          <w:color w:val="000000"/>
          <w:lang w:eastAsia="de-DE"/>
        </w:rPr>
        <w:t>CONCEDE UNA SUBVENCIÓN</w:t>
      </w:r>
      <w:r w:rsidRPr="00C10507">
        <w:rPr>
          <w:rFonts w:eastAsia="Times New Roman" w:cs="Times New Roman"/>
          <w:color w:val="000000"/>
          <w:lang w:eastAsia="de-DE"/>
        </w:rPr>
        <w:t xml:space="preserve"> A LA EMPRESA PÚBLICA “SUELO Y VIVIENDA DE ARAGÓN, S.L.U.” CON OBJETO DE PROMOVER UN EDIFICIO DE VIVIENDAS EN EL ANTIGUO SOLAR DE LA MERCED, EN LA CIUDAD DE HUESCA.</w:t>
      </w:r>
    </w:p>
    <w:p w:rsidR="00C10507" w:rsidRPr="00C10507" w:rsidRDefault="00C10507" w:rsidP="00C10507">
      <w:pPr>
        <w:spacing w:after="180" w:line="336" w:lineRule="auto"/>
        <w:ind w:firstLine="284"/>
        <w:jc w:val="both"/>
        <w:rPr>
          <w:rFonts w:eastAsia="Times New Roman" w:cs="Times New Roman"/>
          <w:color w:val="000000"/>
          <w:lang w:eastAsia="de-DE"/>
        </w:rPr>
      </w:pPr>
    </w:p>
    <w:p w:rsidR="00874328" w:rsidRPr="00874328" w:rsidRDefault="00874328" w:rsidP="00C10507">
      <w:pPr>
        <w:spacing w:after="180" w:line="336" w:lineRule="auto"/>
        <w:ind w:firstLine="284"/>
        <w:jc w:val="both"/>
        <w:rPr>
          <w:rFonts w:eastAsia="Times New Roman" w:cs="Times New Roman"/>
          <w:color w:val="000000"/>
          <w:u w:val="single"/>
          <w:lang w:eastAsia="de-DE"/>
        </w:rPr>
      </w:pPr>
      <w:r w:rsidRPr="00874328">
        <w:rPr>
          <w:rFonts w:eastAsia="Times New Roman" w:cs="Times New Roman"/>
          <w:color w:val="000000"/>
          <w:u w:val="single"/>
          <w:lang w:eastAsia="de-DE"/>
        </w:rPr>
        <w:t>ANTECEDENTES</w:t>
      </w:r>
      <w:r>
        <w:rPr>
          <w:rFonts w:eastAsia="Times New Roman" w:cs="Times New Roman"/>
          <w:color w:val="000000"/>
          <w:u w:val="single"/>
          <w:lang w:eastAsia="de-DE"/>
        </w:rPr>
        <w:t>.</w:t>
      </w:r>
    </w:p>
    <w:p w:rsidR="00C10507" w:rsidRPr="00C10507" w:rsidRDefault="00C10507" w:rsidP="00C10507">
      <w:pPr>
        <w:spacing w:after="180" w:line="336" w:lineRule="auto"/>
        <w:ind w:firstLine="284"/>
        <w:jc w:val="both"/>
        <w:rPr>
          <w:rFonts w:eastAsia="Times New Roman" w:cs="Times New Roman"/>
          <w:color w:val="000000"/>
          <w:lang w:eastAsia="de-DE"/>
        </w:rPr>
      </w:pPr>
      <w:r w:rsidRPr="00C10507">
        <w:rPr>
          <w:rFonts w:eastAsia="Times New Roman" w:cs="Times New Roman"/>
          <w:color w:val="000000"/>
          <w:lang w:eastAsia="de-DE"/>
        </w:rPr>
        <w:t>El Departamento de Vertebración del Territorio, Movilidad y Vivienda, tiene atribuida, entre otras, el ejercicio de las competencias y funciones en materia de vivienda. Más concretamente, según dispone el</w:t>
      </w:r>
      <w:r w:rsidRPr="00C10507">
        <w:rPr>
          <w:rFonts w:eastAsia="Times New Roman" w:cs="Times New Roman"/>
          <w:color w:val="000000"/>
          <w:sz w:val="21"/>
          <w:lang w:eastAsia="de-DE"/>
        </w:rPr>
        <w:t xml:space="preserve"> </w:t>
      </w:r>
      <w:r w:rsidRPr="00C10507">
        <w:rPr>
          <w:rFonts w:eastAsia="Times New Roman" w:cs="Times New Roman"/>
          <w:color w:val="000000"/>
          <w:lang w:eastAsia="de-DE"/>
        </w:rPr>
        <w:t>Decreto 34/2020, de 25 de marzo, del Gobierno de Aragón, por el que se aprueba la estructura orgánica del Departamento de Vertebración del Territorio, Movilidad y Vivienda, corresponde a la Dirección General de Vivienda y Rehabilitación el fomento de las iniciativas pública y privada para la adquisición y preparación de suelo y equipamiento comunitario, así como para la construcción y rehabilitación de edificios y viviendas.</w:t>
      </w:r>
    </w:p>
    <w:p w:rsidR="00C10507" w:rsidRPr="00C10507" w:rsidRDefault="00C10507" w:rsidP="00C10507">
      <w:pPr>
        <w:spacing w:after="180" w:line="336" w:lineRule="auto"/>
        <w:ind w:firstLine="284"/>
        <w:jc w:val="both"/>
        <w:rPr>
          <w:rFonts w:eastAsia="Times New Roman" w:cs="Times New Roman"/>
          <w:color w:val="000000"/>
          <w:lang w:eastAsia="de-DE"/>
        </w:rPr>
      </w:pPr>
      <w:r w:rsidRPr="00C10507">
        <w:rPr>
          <w:rFonts w:eastAsia="Times New Roman" w:cs="Times New Roman"/>
          <w:color w:val="000000"/>
          <w:lang w:eastAsia="de-DE"/>
        </w:rPr>
        <w:t>Mediante el Decreto 295/2001, de 6 de noviembre, del Gobierno de Aragón, se crea la empresa pública "Suelo y Vivienda de Aragón, S.L.U. (SVA), como instrumento de gestión adecuado para la promoción de vivienda en ·sus aspectos mercantiles y de promoción de vivienda protegida.</w:t>
      </w:r>
    </w:p>
    <w:p w:rsidR="00C10507" w:rsidRPr="00C10507" w:rsidRDefault="00C10507" w:rsidP="00C10507">
      <w:pPr>
        <w:spacing w:after="180" w:line="336" w:lineRule="auto"/>
        <w:ind w:firstLine="284"/>
        <w:jc w:val="both"/>
        <w:rPr>
          <w:rFonts w:eastAsia="Times New Roman" w:cs="Times New Roman"/>
          <w:color w:val="000000"/>
          <w:lang w:eastAsia="de-DE"/>
        </w:rPr>
      </w:pPr>
      <w:r w:rsidRPr="00C10507">
        <w:rPr>
          <w:rFonts w:eastAsia="Times New Roman" w:cs="Times New Roman"/>
          <w:color w:val="000000"/>
          <w:lang w:eastAsia="de-DE"/>
        </w:rPr>
        <w:t xml:space="preserve">El objeto social de la empresa pública es la adquisición y gestión de suelo y patrimonio inmobiliario para su venta o alquiler, preferentemente de protección oficial. Esta actividad comprenderá: el planeamiento, urbanización, parcelación y adquisición de terrenos residenciales e inmuebles con destino a operaciones de promoción de viviendas; la adjudicación y contratación de toda clase de obras, estudios, proyectos y trabajos de mantenimiento y gestión relacionados con el equipamiento comunitario; la urbanización de terrenos y la construcción y rehabilitación de viviendas, adecuadas a las exigencias sociales y características territoriales de la Comunidad Autónoma; actuaciones de rehabilitación con destino a operaciones de vivienda, ya se refieran a adquisición y preparación de </w:t>
      </w:r>
      <w:r w:rsidRPr="00C10507">
        <w:rPr>
          <w:rFonts w:eastAsia="Times New Roman" w:cs="Times New Roman"/>
          <w:color w:val="000000"/>
          <w:lang w:eastAsia="de-DE"/>
        </w:rPr>
        <w:lastRenderedPageBreak/>
        <w:t>suelo, ordenación y conservación de conjuntos históricos o arquitectónicos, y otras similares.</w:t>
      </w:r>
    </w:p>
    <w:p w:rsidR="00C10507" w:rsidRDefault="00C10507" w:rsidP="00C10507">
      <w:pPr>
        <w:spacing w:after="180" w:line="336" w:lineRule="auto"/>
        <w:ind w:firstLine="284"/>
        <w:jc w:val="both"/>
        <w:rPr>
          <w:rFonts w:eastAsia="Times New Roman" w:cs="Times New Roman"/>
          <w:color w:val="000000"/>
          <w:lang w:eastAsia="de-DE"/>
        </w:rPr>
      </w:pPr>
      <w:r w:rsidRPr="00C10507">
        <w:rPr>
          <w:rFonts w:eastAsia="Times New Roman" w:cs="Times New Roman"/>
          <w:color w:val="000000"/>
          <w:lang w:eastAsia="de-DE"/>
        </w:rPr>
        <w:t>Las relaciones de la empresa pública SVA con el Departamento de Vertebración del Territorio, Movilidad y Vivienda en su condición de medio propio, tienen naturaleza instrumental y no contractual, por lo que, a todos los efectos, son de carácter interno, dependiente y subordinado, estando capacitada para realizar, como medio propio y dentro de las funciones atribuidas a la empresa, las actuaciones de promoción de viviendas.</w:t>
      </w:r>
    </w:p>
    <w:p w:rsidR="00C81910" w:rsidRPr="00C81910" w:rsidRDefault="00C81910" w:rsidP="00C81910">
      <w:pPr>
        <w:spacing w:after="180" w:line="336" w:lineRule="auto"/>
        <w:ind w:firstLine="284"/>
        <w:jc w:val="both"/>
        <w:rPr>
          <w:rFonts w:eastAsia="Times New Roman" w:cs="Times New Roman"/>
          <w:color w:val="000000"/>
          <w:lang w:eastAsia="de-DE"/>
        </w:rPr>
      </w:pPr>
      <w:r w:rsidRPr="00C81910">
        <w:rPr>
          <w:rFonts w:eastAsia="Times New Roman" w:cs="Times New Roman"/>
          <w:color w:val="000000"/>
          <w:lang w:eastAsia="de-DE"/>
        </w:rPr>
        <w:t>La empresa pública Suelo y Vivienda de Aragón, S.L.U. va a realizar una promoción de 88 viviendas, para alquiler, en el solar del cuartel de la Merced situado en la C\ de la Merced y C\ San Lorenzo de Huesca, propiedad de la citada empresa, empezando por una primera fase de 27 viviendas.</w:t>
      </w:r>
    </w:p>
    <w:p w:rsidR="00C81910" w:rsidRDefault="00C81910" w:rsidP="00C81910">
      <w:pPr>
        <w:spacing w:after="180" w:line="336" w:lineRule="auto"/>
        <w:ind w:firstLine="284"/>
        <w:jc w:val="both"/>
        <w:rPr>
          <w:rFonts w:eastAsia="Times New Roman" w:cs="Times New Roman"/>
          <w:color w:val="000000"/>
          <w:lang w:eastAsia="de-DE"/>
        </w:rPr>
      </w:pPr>
      <w:r w:rsidRPr="00C81910">
        <w:rPr>
          <w:rFonts w:eastAsia="Times New Roman" w:cs="Times New Roman"/>
          <w:color w:val="000000"/>
          <w:lang w:eastAsia="de-DE"/>
        </w:rPr>
        <w:t>El desarrollo de la primera fase no se limita a la ejecución de las 27 viviendas, sino que también incluye la urbanización, siguiendo las prescripciones municipales, de las calles La Merced y San Lorenzo, que dan a la fachada del edificio completo, los garajes y cimentaciones correspondientes a las tres fases y la urbanización interior del solar y espacios libres de uso comunitario, también comunes a las tres fases.</w:t>
      </w:r>
      <w:r>
        <w:rPr>
          <w:rFonts w:eastAsia="Times New Roman" w:cs="Times New Roman"/>
          <w:color w:val="000000"/>
          <w:lang w:eastAsia="de-DE"/>
        </w:rPr>
        <w:t xml:space="preserve"> </w:t>
      </w:r>
      <w:r w:rsidRPr="00C81910">
        <w:rPr>
          <w:rFonts w:eastAsia="Times New Roman" w:cs="Times New Roman"/>
          <w:color w:val="000000"/>
          <w:lang w:eastAsia="de-DE"/>
        </w:rPr>
        <w:t>El plazo de ejecución de la obra de esta prim</w:t>
      </w:r>
      <w:r>
        <w:rPr>
          <w:rFonts w:eastAsia="Times New Roman" w:cs="Times New Roman"/>
          <w:color w:val="000000"/>
          <w:lang w:eastAsia="de-DE"/>
        </w:rPr>
        <w:t>era fase se estima en 18 meses.</w:t>
      </w:r>
    </w:p>
    <w:p w:rsidR="00C81910" w:rsidRDefault="00C81910" w:rsidP="00C81910">
      <w:pPr>
        <w:spacing w:after="180" w:line="336" w:lineRule="auto"/>
        <w:ind w:firstLine="284"/>
        <w:jc w:val="both"/>
        <w:rPr>
          <w:rFonts w:eastAsia="Times New Roman" w:cs="Times New Roman"/>
          <w:color w:val="000000"/>
          <w:lang w:eastAsia="de-DE"/>
        </w:rPr>
      </w:pPr>
      <w:r>
        <w:rPr>
          <w:rFonts w:eastAsia="Times New Roman" w:cs="Times New Roman"/>
          <w:color w:val="000000"/>
          <w:lang w:eastAsia="de-DE"/>
        </w:rPr>
        <w:t>Mediante acuerdo del Gobierno de Aragón, en sesión celebrada el 28 de diciembre de 2021, se ha aprobado un gasto plurianual, cuyos créditos se irán transfiriendo a SVA de la siguiente forma:</w:t>
      </w:r>
    </w:p>
    <w:p w:rsidR="00C81910" w:rsidRDefault="00C81910" w:rsidP="00C81910">
      <w:pPr>
        <w:spacing w:after="180" w:line="336" w:lineRule="auto"/>
        <w:ind w:firstLine="284"/>
        <w:jc w:val="both"/>
        <w:rPr>
          <w:rFonts w:eastAsia="Times New Roman" w:cs="Times New Roman"/>
          <w:color w:val="000000"/>
          <w:lang w:eastAsia="de-DE"/>
        </w:rPr>
      </w:pPr>
    </w:p>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4"/>
        <w:gridCol w:w="2452"/>
      </w:tblGrid>
      <w:tr w:rsidR="00C81910" w:rsidRPr="00C10507" w:rsidTr="005D7D61">
        <w:tc>
          <w:tcPr>
            <w:tcW w:w="2084" w:type="dxa"/>
            <w:tcBorders>
              <w:top w:val="single" w:sz="4" w:space="0" w:color="auto"/>
              <w:left w:val="single" w:sz="4" w:space="0" w:color="auto"/>
              <w:bottom w:val="single" w:sz="4" w:space="0" w:color="auto"/>
              <w:right w:val="single" w:sz="4" w:space="0" w:color="auto"/>
            </w:tcBorders>
            <w:hideMark/>
          </w:tcPr>
          <w:p w:rsidR="00C81910" w:rsidRPr="00C10507" w:rsidRDefault="00C81910" w:rsidP="005D7D61">
            <w:pPr>
              <w:suppressAutoHyphens/>
              <w:spacing w:after="0" w:line="360" w:lineRule="auto"/>
              <w:jc w:val="both"/>
              <w:rPr>
                <w:rFonts w:eastAsia="Times New Roman"/>
                <w:b/>
                <w:sz w:val="22"/>
                <w:szCs w:val="22"/>
                <w:lang w:eastAsia="es-ES"/>
              </w:rPr>
            </w:pPr>
            <w:r w:rsidRPr="00C10507">
              <w:rPr>
                <w:rFonts w:eastAsia="Times New Roman"/>
                <w:b/>
                <w:sz w:val="22"/>
                <w:szCs w:val="22"/>
                <w:lang w:eastAsia="es-ES"/>
              </w:rPr>
              <w:t>EJERCICIO</w:t>
            </w:r>
          </w:p>
        </w:tc>
        <w:tc>
          <w:tcPr>
            <w:tcW w:w="2452" w:type="dxa"/>
            <w:tcBorders>
              <w:top w:val="single" w:sz="4" w:space="0" w:color="auto"/>
              <w:left w:val="single" w:sz="4" w:space="0" w:color="auto"/>
              <w:bottom w:val="single" w:sz="4" w:space="0" w:color="auto"/>
              <w:right w:val="single" w:sz="4" w:space="0" w:color="auto"/>
            </w:tcBorders>
            <w:hideMark/>
          </w:tcPr>
          <w:p w:rsidR="00C81910" w:rsidRPr="00C10507" w:rsidRDefault="00C81910" w:rsidP="005D7D61">
            <w:pPr>
              <w:suppressAutoHyphens/>
              <w:spacing w:after="0" w:line="360" w:lineRule="auto"/>
              <w:jc w:val="both"/>
              <w:rPr>
                <w:rFonts w:eastAsia="Times New Roman"/>
                <w:b/>
                <w:sz w:val="22"/>
                <w:szCs w:val="22"/>
                <w:lang w:eastAsia="es-ES"/>
              </w:rPr>
            </w:pPr>
            <w:r w:rsidRPr="00C10507">
              <w:rPr>
                <w:rFonts w:eastAsia="Times New Roman"/>
                <w:b/>
                <w:sz w:val="22"/>
                <w:szCs w:val="22"/>
                <w:lang w:eastAsia="es-ES"/>
              </w:rPr>
              <w:t>IMPORTE</w:t>
            </w:r>
          </w:p>
        </w:tc>
      </w:tr>
      <w:tr w:rsidR="00C81910" w:rsidRPr="00C10507" w:rsidTr="005D7D61">
        <w:tc>
          <w:tcPr>
            <w:tcW w:w="2084" w:type="dxa"/>
            <w:tcBorders>
              <w:top w:val="single" w:sz="4" w:space="0" w:color="auto"/>
              <w:left w:val="single" w:sz="4" w:space="0" w:color="auto"/>
              <w:bottom w:val="single" w:sz="4" w:space="0" w:color="auto"/>
              <w:right w:val="single" w:sz="4" w:space="0" w:color="auto"/>
            </w:tcBorders>
            <w:hideMark/>
          </w:tcPr>
          <w:p w:rsidR="00C81910" w:rsidRPr="00C10507" w:rsidRDefault="00C81910" w:rsidP="005D7D61">
            <w:pPr>
              <w:suppressAutoHyphens/>
              <w:spacing w:after="0" w:line="360" w:lineRule="auto"/>
              <w:jc w:val="both"/>
              <w:rPr>
                <w:rFonts w:eastAsia="Times New Roman"/>
                <w:sz w:val="22"/>
                <w:szCs w:val="22"/>
                <w:lang w:eastAsia="es-ES"/>
              </w:rPr>
            </w:pPr>
            <w:r w:rsidRPr="00C10507">
              <w:rPr>
                <w:rFonts w:eastAsia="Times New Roman"/>
                <w:sz w:val="22"/>
                <w:szCs w:val="22"/>
                <w:lang w:eastAsia="es-ES"/>
              </w:rPr>
              <w:t>2021</w:t>
            </w:r>
          </w:p>
        </w:tc>
        <w:tc>
          <w:tcPr>
            <w:tcW w:w="2452" w:type="dxa"/>
            <w:tcBorders>
              <w:top w:val="single" w:sz="4" w:space="0" w:color="auto"/>
              <w:left w:val="single" w:sz="4" w:space="0" w:color="auto"/>
              <w:bottom w:val="single" w:sz="4" w:space="0" w:color="auto"/>
              <w:right w:val="single" w:sz="4" w:space="0" w:color="auto"/>
            </w:tcBorders>
            <w:hideMark/>
          </w:tcPr>
          <w:p w:rsidR="00C81910" w:rsidRPr="00C10507" w:rsidRDefault="00C81910" w:rsidP="005D7D61">
            <w:pPr>
              <w:suppressAutoHyphens/>
              <w:spacing w:after="0" w:line="360" w:lineRule="auto"/>
              <w:jc w:val="both"/>
              <w:rPr>
                <w:rFonts w:eastAsia="Times New Roman"/>
                <w:sz w:val="22"/>
                <w:szCs w:val="22"/>
                <w:lang w:eastAsia="es-ES"/>
              </w:rPr>
            </w:pPr>
            <w:r w:rsidRPr="00C10507">
              <w:rPr>
                <w:rFonts w:eastAsia="Times New Roman"/>
                <w:sz w:val="22"/>
                <w:szCs w:val="22"/>
                <w:lang w:eastAsia="es-ES"/>
              </w:rPr>
              <w:t>3.000.000,00 €</w:t>
            </w:r>
          </w:p>
        </w:tc>
      </w:tr>
      <w:tr w:rsidR="00C81910" w:rsidRPr="00C10507" w:rsidTr="005D7D61">
        <w:tc>
          <w:tcPr>
            <w:tcW w:w="2084" w:type="dxa"/>
            <w:tcBorders>
              <w:top w:val="single" w:sz="4" w:space="0" w:color="auto"/>
              <w:left w:val="single" w:sz="4" w:space="0" w:color="auto"/>
              <w:bottom w:val="single" w:sz="4" w:space="0" w:color="auto"/>
              <w:right w:val="single" w:sz="4" w:space="0" w:color="auto"/>
            </w:tcBorders>
            <w:hideMark/>
          </w:tcPr>
          <w:p w:rsidR="00C81910" w:rsidRPr="00C10507" w:rsidRDefault="00C81910" w:rsidP="005D7D61">
            <w:pPr>
              <w:suppressAutoHyphens/>
              <w:spacing w:after="0" w:line="360" w:lineRule="auto"/>
              <w:jc w:val="both"/>
              <w:rPr>
                <w:rFonts w:eastAsia="Times New Roman"/>
                <w:sz w:val="22"/>
                <w:szCs w:val="22"/>
                <w:lang w:eastAsia="es-ES"/>
              </w:rPr>
            </w:pPr>
            <w:r w:rsidRPr="00C10507">
              <w:rPr>
                <w:rFonts w:eastAsia="Times New Roman"/>
                <w:sz w:val="22"/>
                <w:szCs w:val="22"/>
                <w:lang w:eastAsia="es-ES"/>
              </w:rPr>
              <w:t>2022</w:t>
            </w:r>
          </w:p>
        </w:tc>
        <w:tc>
          <w:tcPr>
            <w:tcW w:w="2452" w:type="dxa"/>
            <w:tcBorders>
              <w:top w:val="single" w:sz="4" w:space="0" w:color="auto"/>
              <w:left w:val="single" w:sz="4" w:space="0" w:color="auto"/>
              <w:bottom w:val="single" w:sz="4" w:space="0" w:color="auto"/>
              <w:right w:val="single" w:sz="4" w:space="0" w:color="auto"/>
            </w:tcBorders>
            <w:hideMark/>
          </w:tcPr>
          <w:p w:rsidR="00C81910" w:rsidRPr="00C10507" w:rsidRDefault="00C81910" w:rsidP="005D7D61">
            <w:pPr>
              <w:suppressAutoHyphens/>
              <w:spacing w:after="0" w:line="360" w:lineRule="auto"/>
              <w:jc w:val="both"/>
              <w:rPr>
                <w:rFonts w:eastAsia="Times New Roman"/>
                <w:sz w:val="22"/>
                <w:szCs w:val="22"/>
                <w:lang w:eastAsia="es-ES"/>
              </w:rPr>
            </w:pPr>
            <w:r w:rsidRPr="00C10507">
              <w:rPr>
                <w:rFonts w:eastAsia="Times New Roman"/>
                <w:sz w:val="22"/>
                <w:szCs w:val="22"/>
                <w:lang w:eastAsia="es-ES"/>
              </w:rPr>
              <w:t>3.000.000,00 €</w:t>
            </w:r>
          </w:p>
        </w:tc>
      </w:tr>
      <w:tr w:rsidR="00C81910" w:rsidRPr="00C10507" w:rsidTr="005D7D61">
        <w:tc>
          <w:tcPr>
            <w:tcW w:w="2084" w:type="dxa"/>
            <w:tcBorders>
              <w:top w:val="single" w:sz="4" w:space="0" w:color="auto"/>
              <w:left w:val="single" w:sz="4" w:space="0" w:color="auto"/>
              <w:bottom w:val="single" w:sz="4" w:space="0" w:color="auto"/>
              <w:right w:val="single" w:sz="4" w:space="0" w:color="auto"/>
            </w:tcBorders>
            <w:hideMark/>
          </w:tcPr>
          <w:p w:rsidR="00C81910" w:rsidRPr="00C10507" w:rsidRDefault="00C81910" w:rsidP="005D7D61">
            <w:pPr>
              <w:suppressAutoHyphens/>
              <w:spacing w:after="0" w:line="360" w:lineRule="auto"/>
              <w:jc w:val="both"/>
              <w:rPr>
                <w:rFonts w:eastAsia="Times New Roman"/>
                <w:sz w:val="22"/>
                <w:szCs w:val="22"/>
                <w:lang w:eastAsia="es-ES"/>
              </w:rPr>
            </w:pPr>
            <w:r w:rsidRPr="00C10507">
              <w:rPr>
                <w:rFonts w:eastAsia="Times New Roman"/>
                <w:sz w:val="22"/>
                <w:szCs w:val="22"/>
                <w:lang w:eastAsia="es-ES"/>
              </w:rPr>
              <w:t>2023</w:t>
            </w:r>
          </w:p>
        </w:tc>
        <w:tc>
          <w:tcPr>
            <w:tcW w:w="2452" w:type="dxa"/>
            <w:tcBorders>
              <w:top w:val="single" w:sz="4" w:space="0" w:color="auto"/>
              <w:left w:val="single" w:sz="4" w:space="0" w:color="auto"/>
              <w:bottom w:val="single" w:sz="4" w:space="0" w:color="auto"/>
              <w:right w:val="single" w:sz="4" w:space="0" w:color="auto"/>
            </w:tcBorders>
            <w:hideMark/>
          </w:tcPr>
          <w:p w:rsidR="00C81910" w:rsidRPr="00C10507" w:rsidRDefault="00C81910" w:rsidP="005D7D61">
            <w:pPr>
              <w:suppressAutoHyphens/>
              <w:spacing w:after="0" w:line="360" w:lineRule="auto"/>
              <w:jc w:val="both"/>
              <w:rPr>
                <w:rFonts w:eastAsia="Times New Roman"/>
                <w:sz w:val="22"/>
                <w:szCs w:val="22"/>
                <w:lang w:eastAsia="es-ES"/>
              </w:rPr>
            </w:pPr>
            <w:r w:rsidRPr="00C10507">
              <w:rPr>
                <w:rFonts w:eastAsia="Times New Roman"/>
                <w:sz w:val="22"/>
                <w:szCs w:val="22"/>
                <w:lang w:eastAsia="es-ES"/>
              </w:rPr>
              <w:t>1.000.000,00 €</w:t>
            </w:r>
          </w:p>
        </w:tc>
      </w:tr>
      <w:tr w:rsidR="00C81910" w:rsidRPr="00C10507" w:rsidTr="005D7D61">
        <w:tc>
          <w:tcPr>
            <w:tcW w:w="2084" w:type="dxa"/>
            <w:tcBorders>
              <w:top w:val="single" w:sz="4" w:space="0" w:color="auto"/>
              <w:left w:val="single" w:sz="4" w:space="0" w:color="auto"/>
              <w:bottom w:val="single" w:sz="4" w:space="0" w:color="auto"/>
              <w:right w:val="single" w:sz="4" w:space="0" w:color="auto"/>
            </w:tcBorders>
            <w:hideMark/>
          </w:tcPr>
          <w:p w:rsidR="00C81910" w:rsidRPr="00C10507" w:rsidRDefault="00C81910" w:rsidP="005D7D61">
            <w:pPr>
              <w:suppressAutoHyphens/>
              <w:spacing w:after="0" w:line="360" w:lineRule="auto"/>
              <w:jc w:val="both"/>
              <w:rPr>
                <w:rFonts w:eastAsia="Times New Roman"/>
                <w:b/>
                <w:sz w:val="22"/>
                <w:szCs w:val="22"/>
                <w:lang w:eastAsia="es-ES"/>
              </w:rPr>
            </w:pPr>
            <w:r w:rsidRPr="00C10507">
              <w:rPr>
                <w:rFonts w:eastAsia="Times New Roman"/>
                <w:b/>
                <w:sz w:val="22"/>
                <w:szCs w:val="22"/>
                <w:lang w:eastAsia="es-ES"/>
              </w:rPr>
              <w:t>TOTAL</w:t>
            </w:r>
          </w:p>
        </w:tc>
        <w:tc>
          <w:tcPr>
            <w:tcW w:w="2452" w:type="dxa"/>
            <w:tcBorders>
              <w:top w:val="single" w:sz="4" w:space="0" w:color="auto"/>
              <w:left w:val="single" w:sz="4" w:space="0" w:color="auto"/>
              <w:bottom w:val="single" w:sz="4" w:space="0" w:color="auto"/>
              <w:right w:val="single" w:sz="4" w:space="0" w:color="auto"/>
            </w:tcBorders>
            <w:hideMark/>
          </w:tcPr>
          <w:p w:rsidR="00C81910" w:rsidRPr="00C10507" w:rsidRDefault="00C81910" w:rsidP="005D7D61">
            <w:pPr>
              <w:suppressAutoHyphens/>
              <w:spacing w:after="0" w:line="360" w:lineRule="auto"/>
              <w:jc w:val="both"/>
              <w:rPr>
                <w:rFonts w:eastAsia="Times New Roman"/>
                <w:b/>
                <w:sz w:val="22"/>
                <w:szCs w:val="22"/>
                <w:lang w:eastAsia="es-ES"/>
              </w:rPr>
            </w:pPr>
            <w:r w:rsidRPr="00C10507">
              <w:rPr>
                <w:rFonts w:eastAsia="Times New Roman"/>
                <w:b/>
                <w:sz w:val="22"/>
                <w:szCs w:val="22"/>
                <w:lang w:eastAsia="es-ES"/>
              </w:rPr>
              <w:t>7.000.000,00 €</w:t>
            </w:r>
          </w:p>
        </w:tc>
      </w:tr>
    </w:tbl>
    <w:p w:rsidR="00C81910" w:rsidRPr="00C81910" w:rsidRDefault="00C81910" w:rsidP="00C81910">
      <w:pPr>
        <w:spacing w:after="180" w:line="336" w:lineRule="auto"/>
        <w:ind w:firstLine="284"/>
        <w:jc w:val="both"/>
        <w:rPr>
          <w:rFonts w:eastAsia="Times New Roman" w:cs="Times New Roman"/>
          <w:color w:val="000000"/>
          <w:lang w:eastAsia="de-DE"/>
        </w:rPr>
      </w:pPr>
    </w:p>
    <w:p w:rsidR="00C81910" w:rsidRPr="00C10507" w:rsidRDefault="00C81910" w:rsidP="00C10507">
      <w:pPr>
        <w:spacing w:after="180" w:line="336" w:lineRule="auto"/>
        <w:ind w:firstLine="284"/>
        <w:jc w:val="both"/>
        <w:rPr>
          <w:rFonts w:eastAsia="Times New Roman" w:cs="Times New Roman"/>
          <w:color w:val="000000"/>
          <w:lang w:eastAsia="de-DE"/>
        </w:rPr>
      </w:pPr>
    </w:p>
    <w:p w:rsidR="00C10507" w:rsidRPr="00C10507" w:rsidRDefault="00C81910" w:rsidP="00C10507">
      <w:pPr>
        <w:spacing w:after="180" w:line="336" w:lineRule="auto"/>
        <w:ind w:firstLine="284"/>
        <w:jc w:val="both"/>
        <w:rPr>
          <w:rFonts w:eastAsia="Times New Roman" w:cs="Times New Roman"/>
          <w:color w:val="000000"/>
          <w:lang w:eastAsia="de-DE"/>
        </w:rPr>
      </w:pPr>
      <w:r>
        <w:rPr>
          <w:rFonts w:eastAsia="Times New Roman" w:cs="Times New Roman"/>
          <w:color w:val="000000"/>
          <w:lang w:eastAsia="de-DE"/>
        </w:rPr>
        <w:t>Estos créditos se han aprobado sobre el fundamento de</w:t>
      </w:r>
      <w:r w:rsidR="00C10507" w:rsidRPr="00C10507">
        <w:rPr>
          <w:rFonts w:eastAsia="Times New Roman" w:cs="Times New Roman"/>
          <w:color w:val="000000"/>
          <w:lang w:eastAsia="de-DE"/>
        </w:rPr>
        <w:t>l apartado 2 del artículo 2 de la Ley 38/2003, de 17 de noviembre, General de Subvenciones,</w:t>
      </w:r>
      <w:r>
        <w:rPr>
          <w:rFonts w:eastAsia="Times New Roman" w:cs="Times New Roman"/>
          <w:color w:val="000000"/>
          <w:lang w:eastAsia="de-DE"/>
        </w:rPr>
        <w:t xml:space="preserve"> que</w:t>
      </w:r>
      <w:r w:rsidR="00C10507" w:rsidRPr="00C10507">
        <w:rPr>
          <w:rFonts w:eastAsia="Times New Roman" w:cs="Times New Roman"/>
          <w:color w:val="000000"/>
          <w:lang w:eastAsia="de-DE"/>
        </w:rPr>
        <w:t xml:space="preserve"> </w:t>
      </w:r>
      <w:r w:rsidR="00C10507" w:rsidRPr="00C10507">
        <w:rPr>
          <w:rFonts w:eastAsia="Times New Roman" w:cs="Times New Roman"/>
          <w:color w:val="000000"/>
          <w:lang w:eastAsia="de-DE"/>
        </w:rPr>
        <w:lastRenderedPageBreak/>
        <w:t>establece que "no están comprendidas en el ámbito de aplicación de esta Ley las aportaciones dinerarias entre diferentes Administraciones Públicas, para financiar globalmente la actividad de la Administración a la que vayan destinadas, y las que se realicen entre los distintos agentes de una Administración cuyos presupuestos se integren en los Presupuestos Generales de la Administración a la que pertenezcan, tanto si se destinan a financiar globalmente su actividad como a la realización de actuaciones concretas a desarrollar en el marco de las funciones que tenga atribuidas, siempre que no· resulten de una convocatoria pública.”</w:t>
      </w:r>
    </w:p>
    <w:p w:rsidR="00C10507" w:rsidRDefault="00C10507" w:rsidP="00C10507">
      <w:pPr>
        <w:spacing w:after="180" w:line="336" w:lineRule="auto"/>
        <w:ind w:firstLine="284"/>
        <w:jc w:val="both"/>
        <w:rPr>
          <w:rFonts w:eastAsia="Times New Roman" w:cs="Times New Roman"/>
          <w:color w:val="000000"/>
          <w:lang w:eastAsia="de-DE"/>
        </w:rPr>
      </w:pPr>
      <w:r w:rsidRPr="00C10507">
        <w:rPr>
          <w:rFonts w:eastAsia="Times New Roman" w:cs="Times New Roman"/>
          <w:color w:val="000000"/>
          <w:lang w:eastAsia="de-DE"/>
        </w:rPr>
        <w:t>En este sentido, la Circular 1/2018, de la Intervención General de la Administración de la Comunidad Autónoma de Aragón, sobre la fiscalización de transferencias a entidades del sector público de la Comunidad Autónoma de Aragón, indica que “se trata de aportaciones dinerarias a favor de entidades del sector público autonómico que han de destinarse a un fin, a un propósito, a una actividad o a un proyecto específico, siempre que éste se encuentre recogido entre las funciones atribuidas a la entidad pública. En este caso, existe la obligación de cumplir las condiciones y requisitos que se hubieran establecido o, en caso contrario, proceder a su reintegro. A diferencia de las contempladas en el punto anterior, no se encuentran recogidas en el presupuesto con asignación nominativa. Como se ha indicado anteriormente, estas subvenciones no se rigen por la normativa en materia de subvenciones y al no existir una regulación específica, su régimen jurídico se encuentra en el texto refundido de la Ley de Hacienda (Decreto legislativo 1/2000) y en el texto refundido de la Ley de la Administración (Decreto Legislativo 2/2001), ambos de la Comunidad Autónoma”.</w:t>
      </w:r>
    </w:p>
    <w:p w:rsidR="00F51A5B" w:rsidRDefault="00F51A5B" w:rsidP="00F51A5B">
      <w:pPr>
        <w:spacing w:line="336" w:lineRule="auto"/>
        <w:ind w:firstLine="284"/>
        <w:jc w:val="both"/>
        <w:rPr>
          <w:rFonts w:eastAsia="Times New Roman" w:cs="Times New Roman"/>
          <w:color w:val="000000"/>
          <w:lang w:eastAsia="de-DE"/>
        </w:rPr>
      </w:pPr>
      <w:r>
        <w:rPr>
          <w:rFonts w:eastAsia="Times New Roman" w:cs="Times New Roman"/>
          <w:color w:val="000000"/>
          <w:lang w:eastAsia="de-DE"/>
        </w:rPr>
        <w:t xml:space="preserve">Por otro lado, el programa 4, “Programa de fomento del parque de vivienda en alquiler”, del </w:t>
      </w:r>
      <w:r w:rsidR="00C81910" w:rsidRPr="00C81910">
        <w:rPr>
          <w:rFonts w:eastAsia="Times New Roman" w:cs="Times New Roman"/>
          <w:color w:val="000000"/>
          <w:lang w:eastAsia="de-DE"/>
        </w:rPr>
        <w:t>Real Decreto 106/2018, de 9 de marzo, por el que se regula el Pla</w:t>
      </w:r>
      <w:r>
        <w:rPr>
          <w:rFonts w:eastAsia="Times New Roman" w:cs="Times New Roman"/>
          <w:color w:val="000000"/>
          <w:lang w:eastAsia="de-DE"/>
        </w:rPr>
        <w:t xml:space="preserve">n Estatal de Vivienda 2018-2021, permite subvencionar a las empresas públicas que realicen este tipo de promociones (artículo 26). </w:t>
      </w:r>
      <w:r w:rsidRPr="00F51A5B">
        <w:rPr>
          <w:rFonts w:eastAsia="Times New Roman" w:cs="Times New Roman"/>
          <w:color w:val="000000"/>
          <w:lang w:eastAsia="de-DE"/>
        </w:rPr>
        <w:t>La financiación de este programa exige la suscripción de un Acuerdo en el seno de la</w:t>
      </w:r>
      <w:r>
        <w:rPr>
          <w:rFonts w:eastAsia="Times New Roman" w:cs="Times New Roman"/>
          <w:color w:val="000000"/>
          <w:lang w:eastAsia="de-DE"/>
        </w:rPr>
        <w:t xml:space="preserve"> Comisiones Bilateral</w:t>
      </w:r>
      <w:r w:rsidRPr="00F51A5B">
        <w:rPr>
          <w:rFonts w:eastAsia="Times New Roman" w:cs="Times New Roman"/>
          <w:color w:val="000000"/>
          <w:lang w:eastAsia="de-DE"/>
        </w:rPr>
        <w:t xml:space="preserve"> de Seguimiento entre el Ministerio de Transportes, Movilidad y Agenda Urbana, las Comunidades Autónomas y el Ayuntamiento correspondiente</w:t>
      </w:r>
      <w:r>
        <w:rPr>
          <w:rFonts w:eastAsia="Times New Roman" w:cs="Times New Roman"/>
          <w:color w:val="000000"/>
          <w:lang w:eastAsia="de-DE"/>
        </w:rPr>
        <w:t>, en este caso el de Huesca.</w:t>
      </w:r>
    </w:p>
    <w:p w:rsidR="00012237" w:rsidRDefault="00A06B31" w:rsidP="00F51A5B">
      <w:pPr>
        <w:spacing w:line="336" w:lineRule="auto"/>
        <w:ind w:firstLine="284"/>
        <w:jc w:val="both"/>
        <w:rPr>
          <w:rFonts w:eastAsia="Times New Roman" w:cs="Times New Roman"/>
          <w:color w:val="000000"/>
          <w:lang w:eastAsia="de-DE"/>
        </w:rPr>
      </w:pPr>
      <w:r>
        <w:rPr>
          <w:rFonts w:eastAsia="Times New Roman" w:cs="Times New Roman"/>
          <w:color w:val="000000"/>
          <w:lang w:eastAsia="de-DE"/>
        </w:rPr>
        <w:lastRenderedPageBreak/>
        <w:t>L</w:t>
      </w:r>
      <w:r w:rsidR="00012237">
        <w:rPr>
          <w:rFonts w:eastAsia="Times New Roman" w:cs="Times New Roman"/>
          <w:color w:val="000000"/>
          <w:lang w:eastAsia="de-DE"/>
        </w:rPr>
        <w:t>a Comisión Bilateral ha acordado la concesión de una subvención de 570.882 euros con cargo a los fondos estatales, y de 1.000.000 de euros con cargo a los fondos propios cofinanciadores.</w:t>
      </w:r>
      <w:r w:rsidR="003A5428">
        <w:rPr>
          <w:rFonts w:eastAsia="Times New Roman" w:cs="Times New Roman"/>
          <w:color w:val="000000"/>
          <w:lang w:eastAsia="de-DE"/>
        </w:rPr>
        <w:t xml:space="preserve"> Es una subvención de concesión directa por razones de interés público, al ser el promotor medio propio de la comunidad autónoma de Aragón, y tener como una de sus finalidades principales, como ya se ha expresado anteriormente, la promoción de viviendas con objeto de garantizar el derecho a la vivienda previsto constitucionalmente.</w:t>
      </w:r>
    </w:p>
    <w:p w:rsidR="00C10507" w:rsidRPr="00C10507" w:rsidRDefault="003A5428" w:rsidP="003A5428">
      <w:pPr>
        <w:spacing w:line="336" w:lineRule="auto"/>
        <w:ind w:firstLine="284"/>
        <w:jc w:val="both"/>
        <w:rPr>
          <w:rFonts w:eastAsia="Times New Roman" w:cs="Times New Roman"/>
          <w:color w:val="000000"/>
          <w:lang w:eastAsia="de-DE"/>
        </w:rPr>
      </w:pPr>
      <w:r>
        <w:rPr>
          <w:rFonts w:eastAsia="Times New Roman" w:cs="Times New Roman"/>
          <w:color w:val="000000"/>
          <w:lang w:eastAsia="de-DE"/>
        </w:rPr>
        <w:t xml:space="preserve">No obstante, como el presupuesto de esta primera fase es de </w:t>
      </w:r>
      <w:r w:rsidRPr="003A5428">
        <w:rPr>
          <w:rFonts w:eastAsia="Times New Roman" w:cs="Times New Roman"/>
          <w:color w:val="000000"/>
          <w:lang w:eastAsia="de-DE"/>
        </w:rPr>
        <w:t>7.738.071,19 euros</w:t>
      </w:r>
      <w:r>
        <w:rPr>
          <w:rFonts w:eastAsia="Times New Roman" w:cs="Times New Roman"/>
          <w:color w:val="000000"/>
          <w:lang w:eastAsia="de-DE"/>
        </w:rPr>
        <w:t>, y ya se ha realizado una transferencia a SVA por 7.000.000 de euros, tal y como se ha indicado, no procede conceder una subvención por la totalidad de lo acordado en la comisión bilateral, ya que supondría una cuantía total de 8.570.882 euros, es decir, por encima del coste real de la promoción (primera fase). La subvención que ahora se concede, por tanto, es por 738.071,12 euros, que es la máxima posible, sin que supere el coste total de la obra.</w:t>
      </w:r>
    </w:p>
    <w:p w:rsidR="00C10507" w:rsidRPr="00C10507" w:rsidRDefault="00C10507" w:rsidP="00C10507">
      <w:pPr>
        <w:spacing w:after="180" w:line="336" w:lineRule="auto"/>
        <w:ind w:firstLine="284"/>
        <w:jc w:val="both"/>
        <w:rPr>
          <w:rFonts w:eastAsia="Times New Roman" w:cs="Times New Roman"/>
          <w:color w:val="000000"/>
          <w:lang w:eastAsia="de-DE"/>
        </w:rPr>
      </w:pPr>
    </w:p>
    <w:p w:rsidR="00C10507" w:rsidRPr="00C10507" w:rsidRDefault="00C10507" w:rsidP="00C10507">
      <w:pPr>
        <w:spacing w:after="180" w:line="336" w:lineRule="auto"/>
        <w:ind w:firstLine="284"/>
        <w:jc w:val="both"/>
        <w:rPr>
          <w:rFonts w:eastAsia="Times New Roman" w:cs="Times New Roman"/>
          <w:color w:val="000000"/>
          <w:lang w:eastAsia="de-DE"/>
        </w:rPr>
      </w:pPr>
      <w:r w:rsidRPr="00C10507">
        <w:rPr>
          <w:rFonts w:eastAsia="Times New Roman" w:cs="Times New Roman"/>
          <w:color w:val="000000"/>
          <w:lang w:eastAsia="de-DE"/>
        </w:rPr>
        <w:t xml:space="preserve">Por todo Io anteriormente expuesto, </w:t>
      </w:r>
    </w:p>
    <w:p w:rsidR="00C10507" w:rsidRPr="00C10507" w:rsidRDefault="00C10507" w:rsidP="00C10507">
      <w:pPr>
        <w:spacing w:after="180" w:line="336" w:lineRule="auto"/>
        <w:ind w:firstLine="284"/>
        <w:jc w:val="both"/>
        <w:rPr>
          <w:rFonts w:eastAsia="Times New Roman" w:cs="Times New Roman"/>
          <w:color w:val="000000"/>
          <w:lang w:eastAsia="de-DE"/>
        </w:rPr>
      </w:pPr>
      <w:r w:rsidRPr="00C10507">
        <w:rPr>
          <w:rFonts w:eastAsia="Times New Roman" w:cs="Times New Roman"/>
          <w:color w:val="000000"/>
          <w:lang w:eastAsia="de-DE"/>
        </w:rPr>
        <w:t>RESUELVO:</w:t>
      </w:r>
    </w:p>
    <w:p w:rsidR="00C10507" w:rsidRPr="00C10507" w:rsidRDefault="00C10507" w:rsidP="00C10507">
      <w:pPr>
        <w:spacing w:after="180" w:line="336" w:lineRule="auto"/>
        <w:ind w:firstLine="284"/>
        <w:jc w:val="both"/>
        <w:rPr>
          <w:rFonts w:eastAsia="Times New Roman" w:cs="Times New Roman"/>
          <w:color w:val="000000"/>
          <w:lang w:eastAsia="de-DE"/>
        </w:rPr>
      </w:pPr>
    </w:p>
    <w:p w:rsidR="00C10507" w:rsidRDefault="006D2A83" w:rsidP="00C10507">
      <w:pPr>
        <w:spacing w:after="180" w:line="336" w:lineRule="auto"/>
        <w:ind w:firstLine="284"/>
        <w:jc w:val="both"/>
        <w:rPr>
          <w:rFonts w:eastAsia="Times New Roman" w:cs="Times New Roman"/>
          <w:color w:val="000000"/>
          <w:lang w:eastAsia="de-DE"/>
        </w:rPr>
      </w:pPr>
      <w:r>
        <w:rPr>
          <w:rFonts w:eastAsia="Times New Roman" w:cs="Times New Roman"/>
          <w:color w:val="000000"/>
          <w:lang w:eastAsia="de-DE"/>
        </w:rPr>
        <w:t>PRIMERO</w:t>
      </w:r>
      <w:r w:rsidR="00C10507" w:rsidRPr="00C10507">
        <w:rPr>
          <w:rFonts w:eastAsia="Times New Roman" w:cs="Times New Roman"/>
          <w:color w:val="000000"/>
          <w:lang w:eastAsia="de-DE"/>
        </w:rPr>
        <w:t xml:space="preserve">. </w:t>
      </w:r>
      <w:r w:rsidR="002F19F2">
        <w:rPr>
          <w:rFonts w:eastAsia="Times New Roman" w:cs="Times New Roman"/>
          <w:color w:val="000000"/>
          <w:lang w:eastAsia="de-DE"/>
        </w:rPr>
        <w:t xml:space="preserve">Conceder una subvención </w:t>
      </w:r>
      <w:r w:rsidR="00C10507" w:rsidRPr="00C10507">
        <w:rPr>
          <w:rFonts w:eastAsia="Times New Roman" w:cs="Times New Roman"/>
          <w:color w:val="000000"/>
          <w:lang w:eastAsia="de-DE"/>
        </w:rPr>
        <w:t>a “Suelo y Vivienda de Aragón, S.L.U.” (SVA) para la promoción de la primera fase</w:t>
      </w:r>
      <w:r w:rsidR="00263135">
        <w:rPr>
          <w:rFonts w:eastAsia="Times New Roman" w:cs="Times New Roman"/>
          <w:color w:val="000000"/>
          <w:lang w:eastAsia="de-DE"/>
        </w:rPr>
        <w:t>, así como los elementos comunes a las tres fases,</w:t>
      </w:r>
      <w:r w:rsidR="00C10507" w:rsidRPr="00C10507">
        <w:rPr>
          <w:rFonts w:eastAsia="Times New Roman" w:cs="Times New Roman"/>
          <w:color w:val="000000"/>
          <w:lang w:eastAsia="de-DE"/>
        </w:rPr>
        <w:t xml:space="preserve"> del proyecto de construcción de viviendas, en el antiguo solar del cuartel de La</w:t>
      </w:r>
      <w:r w:rsidR="0021382C">
        <w:rPr>
          <w:rFonts w:eastAsia="Times New Roman" w:cs="Times New Roman"/>
          <w:color w:val="000000"/>
          <w:lang w:eastAsia="de-DE"/>
        </w:rPr>
        <w:t xml:space="preserve"> Merced, en la ciudad de Huesca, con cargo a las siguientes partidas y por las cuantías que se indican:</w:t>
      </w:r>
    </w:p>
    <w:tbl>
      <w:tblPr>
        <w:tblStyle w:val="Tablaconcuadrcula"/>
        <w:tblW w:w="0" w:type="auto"/>
        <w:tblLook w:val="04A0" w:firstRow="1" w:lastRow="0" w:firstColumn="1" w:lastColumn="0" w:noHBand="0" w:noVBand="1"/>
      </w:tblPr>
      <w:tblGrid>
        <w:gridCol w:w="4247"/>
        <w:gridCol w:w="4247"/>
      </w:tblGrid>
      <w:tr w:rsidR="0021382C" w:rsidTr="0021382C">
        <w:tc>
          <w:tcPr>
            <w:tcW w:w="4247" w:type="dxa"/>
          </w:tcPr>
          <w:p w:rsidR="0021382C" w:rsidRDefault="0021382C" w:rsidP="00C10507">
            <w:pPr>
              <w:spacing w:after="180" w:line="336" w:lineRule="auto"/>
              <w:jc w:val="both"/>
              <w:rPr>
                <w:rFonts w:eastAsia="Times New Roman" w:cs="Times New Roman"/>
                <w:color w:val="000000"/>
                <w:lang w:eastAsia="de-DE"/>
              </w:rPr>
            </w:pPr>
            <w:r>
              <w:rPr>
                <w:rFonts w:eastAsia="Times New Roman" w:cs="Times New Roman"/>
                <w:color w:val="000000"/>
                <w:lang w:eastAsia="de-DE"/>
              </w:rPr>
              <w:t>13050 G/4312/780186/39127</w:t>
            </w:r>
          </w:p>
        </w:tc>
        <w:tc>
          <w:tcPr>
            <w:tcW w:w="4247" w:type="dxa"/>
          </w:tcPr>
          <w:p w:rsidR="0021382C" w:rsidRPr="00C8320E" w:rsidRDefault="00C8320E" w:rsidP="00C10507">
            <w:pPr>
              <w:spacing w:after="180" w:line="336" w:lineRule="auto"/>
              <w:jc w:val="both"/>
              <w:rPr>
                <w:rFonts w:eastAsia="Times New Roman" w:cs="Times New Roman"/>
                <w:color w:val="000000"/>
                <w:lang w:eastAsia="de-DE"/>
              </w:rPr>
            </w:pPr>
            <w:r w:rsidRPr="00C8320E">
              <w:rPr>
                <w:rFonts w:eastAsia="Times New Roman" w:cs="Times New Roman"/>
                <w:color w:val="000000"/>
                <w:lang w:eastAsia="de-DE"/>
              </w:rPr>
              <w:t>238.071,19 euros</w:t>
            </w:r>
          </w:p>
        </w:tc>
      </w:tr>
      <w:tr w:rsidR="0021382C" w:rsidTr="0021382C">
        <w:tc>
          <w:tcPr>
            <w:tcW w:w="4247" w:type="dxa"/>
          </w:tcPr>
          <w:p w:rsidR="0021382C" w:rsidRDefault="0021382C" w:rsidP="00C10507">
            <w:pPr>
              <w:spacing w:after="180" w:line="336" w:lineRule="auto"/>
              <w:jc w:val="both"/>
              <w:rPr>
                <w:rFonts w:eastAsia="Times New Roman" w:cs="Times New Roman"/>
                <w:color w:val="000000"/>
                <w:lang w:eastAsia="de-DE"/>
              </w:rPr>
            </w:pPr>
            <w:r>
              <w:rPr>
                <w:rFonts w:eastAsia="Times New Roman" w:cs="Times New Roman"/>
                <w:color w:val="000000"/>
                <w:lang w:eastAsia="de-DE"/>
              </w:rPr>
              <w:t>13050 G/4312/780186/91001</w:t>
            </w:r>
          </w:p>
        </w:tc>
        <w:tc>
          <w:tcPr>
            <w:tcW w:w="4247" w:type="dxa"/>
          </w:tcPr>
          <w:p w:rsidR="0021382C" w:rsidRPr="00C8320E" w:rsidRDefault="00C8320E" w:rsidP="00C10507">
            <w:pPr>
              <w:spacing w:after="180" w:line="336" w:lineRule="auto"/>
              <w:jc w:val="both"/>
              <w:rPr>
                <w:rFonts w:eastAsia="Times New Roman" w:cs="Times New Roman"/>
                <w:color w:val="000000"/>
                <w:lang w:eastAsia="de-DE"/>
              </w:rPr>
            </w:pPr>
            <w:r w:rsidRPr="00C8320E">
              <w:rPr>
                <w:rFonts w:eastAsia="Times New Roman" w:cs="Times New Roman"/>
                <w:color w:val="000000"/>
                <w:lang w:eastAsia="de-DE"/>
              </w:rPr>
              <w:t>500.000 euros</w:t>
            </w:r>
          </w:p>
        </w:tc>
      </w:tr>
    </w:tbl>
    <w:p w:rsidR="0021382C" w:rsidRPr="00C10507" w:rsidRDefault="0021382C" w:rsidP="00C10507">
      <w:pPr>
        <w:spacing w:after="180" w:line="336" w:lineRule="auto"/>
        <w:ind w:firstLine="284"/>
        <w:jc w:val="both"/>
        <w:rPr>
          <w:rFonts w:eastAsia="Times New Roman" w:cs="Times New Roman"/>
          <w:color w:val="000000"/>
          <w:lang w:eastAsia="de-DE"/>
        </w:rPr>
      </w:pPr>
    </w:p>
    <w:p w:rsidR="00C10507" w:rsidRPr="00C10507" w:rsidRDefault="00CF6F3C" w:rsidP="00CF6F3C">
      <w:pPr>
        <w:spacing w:after="180" w:line="336" w:lineRule="auto"/>
        <w:ind w:firstLine="284"/>
        <w:jc w:val="both"/>
        <w:rPr>
          <w:rFonts w:eastAsia="Times New Roman" w:cs="Times New Roman"/>
          <w:color w:val="000000"/>
          <w:lang w:eastAsia="de-DE"/>
        </w:rPr>
      </w:pPr>
      <w:r>
        <w:rPr>
          <w:rFonts w:eastAsia="Times New Roman" w:cs="Times New Roman"/>
          <w:color w:val="000000"/>
          <w:lang w:eastAsia="de-DE"/>
        </w:rPr>
        <w:t xml:space="preserve">SEGUNDO. </w:t>
      </w:r>
      <w:r w:rsidR="00C10507" w:rsidRPr="00C10507">
        <w:rPr>
          <w:rFonts w:eastAsia="Times New Roman" w:cs="Times New Roman"/>
          <w:color w:val="000000"/>
          <w:lang w:eastAsia="de-DE"/>
        </w:rPr>
        <w:t>En noviembre de 2022, SVA presentará una memoria explicativa de las actuaciones realizadas y los resultados obtenidos, indicando si se han cumplido las previsiones del proyecto, y, en su caso, los motivos de las desviaciones de dichas previsiones. Se detallarán los gastos realizados.</w:t>
      </w:r>
    </w:p>
    <w:p w:rsidR="00C10507" w:rsidRPr="00C10507" w:rsidRDefault="00C10507" w:rsidP="007545FB">
      <w:pPr>
        <w:spacing w:after="180" w:line="336" w:lineRule="auto"/>
        <w:jc w:val="both"/>
        <w:rPr>
          <w:rFonts w:eastAsia="Times New Roman" w:cs="Times New Roman"/>
          <w:color w:val="000000"/>
          <w:lang w:eastAsia="de-DE"/>
        </w:rPr>
      </w:pPr>
      <w:r w:rsidRPr="00C10507">
        <w:rPr>
          <w:rFonts w:eastAsia="Times New Roman" w:cs="Times New Roman"/>
          <w:color w:val="000000"/>
          <w:lang w:eastAsia="de-DE"/>
        </w:rPr>
        <w:t>Antes del 30 de septiembre de 2023, SVA presentará:</w:t>
      </w:r>
    </w:p>
    <w:p w:rsidR="00C10507" w:rsidRPr="00C10507" w:rsidRDefault="00C10507" w:rsidP="00C10507">
      <w:pPr>
        <w:numPr>
          <w:ilvl w:val="0"/>
          <w:numId w:val="2"/>
        </w:numPr>
        <w:spacing w:after="180" w:line="336" w:lineRule="auto"/>
        <w:jc w:val="both"/>
        <w:rPr>
          <w:rFonts w:eastAsia="Times New Roman" w:cs="Times New Roman"/>
          <w:color w:val="000000"/>
          <w:lang w:eastAsia="de-DE"/>
        </w:rPr>
      </w:pPr>
      <w:r w:rsidRPr="00C10507">
        <w:rPr>
          <w:rFonts w:eastAsia="Times New Roman" w:cs="Times New Roman"/>
          <w:color w:val="000000"/>
          <w:lang w:eastAsia="de-DE"/>
        </w:rPr>
        <w:lastRenderedPageBreak/>
        <w:t>Una memoria de actuación justificativa del cumplimiento de los objetivos, en la concesión de la subvención, con indicación de las actividades realizadas y de los resultados obtenidos. Se deberá incluir el certificado final de la obra.</w:t>
      </w:r>
    </w:p>
    <w:p w:rsidR="00C10507" w:rsidRPr="00C10507" w:rsidRDefault="00C10507" w:rsidP="00C10507">
      <w:pPr>
        <w:numPr>
          <w:ilvl w:val="0"/>
          <w:numId w:val="2"/>
        </w:numPr>
        <w:spacing w:after="180" w:line="336" w:lineRule="auto"/>
        <w:jc w:val="both"/>
        <w:rPr>
          <w:rFonts w:eastAsia="Times New Roman" w:cs="Times New Roman"/>
          <w:color w:val="000000"/>
          <w:lang w:eastAsia="de-DE"/>
        </w:rPr>
      </w:pPr>
      <w:r w:rsidRPr="00C10507">
        <w:rPr>
          <w:rFonts w:eastAsia="Times New Roman" w:cs="Times New Roman"/>
          <w:color w:val="000000"/>
          <w:lang w:eastAsia="de-DE"/>
        </w:rPr>
        <w:t>Una memoria económica justificativa del coste de las actividades realizadas, que contendrá:</w:t>
      </w:r>
    </w:p>
    <w:p w:rsidR="00C10507" w:rsidRPr="00C10507" w:rsidRDefault="00C10507" w:rsidP="00C10507">
      <w:pPr>
        <w:spacing w:after="180" w:line="336" w:lineRule="auto"/>
        <w:ind w:left="709" w:hanging="65"/>
        <w:jc w:val="both"/>
        <w:rPr>
          <w:rFonts w:eastAsia="Times New Roman" w:cs="Times New Roman"/>
          <w:color w:val="000000"/>
          <w:lang w:eastAsia="de-DE"/>
        </w:rPr>
      </w:pPr>
      <w:r w:rsidRPr="00C10507">
        <w:rPr>
          <w:rFonts w:eastAsia="Times New Roman" w:cs="Times New Roman"/>
          <w:color w:val="000000"/>
          <w:lang w:eastAsia="de-DE"/>
        </w:rPr>
        <w:t xml:space="preserve">b1) Una relación clasificada de los gastos e inversiones de la actividad, con identificación del acreedor y del documento, su importe, fecha de emisión y, en su caso, fecha de pago. </w:t>
      </w:r>
    </w:p>
    <w:p w:rsidR="00C10507" w:rsidRPr="00C10507" w:rsidRDefault="00C10507" w:rsidP="00C10507">
      <w:pPr>
        <w:spacing w:after="180" w:line="336" w:lineRule="auto"/>
        <w:ind w:left="644"/>
        <w:jc w:val="both"/>
        <w:rPr>
          <w:rFonts w:eastAsia="Times New Roman" w:cs="Times New Roman"/>
          <w:color w:val="000000"/>
          <w:lang w:eastAsia="de-DE"/>
        </w:rPr>
      </w:pPr>
      <w:r w:rsidRPr="00C10507">
        <w:rPr>
          <w:rFonts w:eastAsia="Times New Roman" w:cs="Times New Roman"/>
          <w:color w:val="000000"/>
          <w:lang w:eastAsia="de-DE"/>
        </w:rPr>
        <w:t>b2) Las facturas o documentos de valor probatorio equivalente en el tráfico jurídico mercantil o con eficacia administrativa incorporados en la relación a que se hace referencia en el párrafo anterior y, en su caso, la documentación acreditativa del pago.</w:t>
      </w:r>
    </w:p>
    <w:p w:rsidR="00C10507" w:rsidRPr="00C10507" w:rsidRDefault="00C10507" w:rsidP="00C10507">
      <w:pPr>
        <w:spacing w:after="180" w:line="336" w:lineRule="auto"/>
        <w:ind w:left="644"/>
        <w:jc w:val="both"/>
        <w:rPr>
          <w:rFonts w:eastAsia="Times New Roman" w:cs="Times New Roman"/>
          <w:color w:val="000000"/>
          <w:lang w:eastAsia="de-DE"/>
        </w:rPr>
      </w:pPr>
      <w:r w:rsidRPr="00C10507">
        <w:rPr>
          <w:rFonts w:eastAsia="Times New Roman" w:cs="Times New Roman"/>
          <w:color w:val="000000"/>
          <w:lang w:eastAsia="de-DE"/>
        </w:rPr>
        <w:t>b3) Una relación detallada de otros ingresos o subvenciones que hayan financiado la actividad subvencionada con indicación del importe y su procedencia.</w:t>
      </w:r>
    </w:p>
    <w:p w:rsidR="00C10507" w:rsidRPr="00C10507" w:rsidRDefault="00C10507" w:rsidP="00C10507">
      <w:pPr>
        <w:spacing w:after="180" w:line="336" w:lineRule="auto"/>
        <w:ind w:firstLine="284"/>
        <w:jc w:val="both"/>
        <w:rPr>
          <w:rFonts w:eastAsia="Times New Roman" w:cs="Times New Roman"/>
          <w:color w:val="000000"/>
          <w:lang w:eastAsia="de-DE"/>
        </w:rPr>
      </w:pPr>
    </w:p>
    <w:p w:rsidR="00D558C9" w:rsidRPr="00D558C9" w:rsidRDefault="00D558C9" w:rsidP="00D558C9">
      <w:pPr>
        <w:spacing w:after="180" w:line="336" w:lineRule="auto"/>
        <w:ind w:firstLine="284"/>
        <w:jc w:val="both"/>
        <w:rPr>
          <w:rFonts w:eastAsia="Times New Roman" w:cs="Times New Roman"/>
          <w:color w:val="000000"/>
          <w:lang w:eastAsia="de-DE"/>
        </w:rPr>
      </w:pPr>
      <w:r>
        <w:rPr>
          <w:rFonts w:eastAsia="Times New Roman" w:cs="Times New Roman"/>
          <w:color w:val="000000"/>
          <w:lang w:eastAsia="de-DE"/>
        </w:rPr>
        <w:t>TERCERO.</w:t>
      </w:r>
      <w:r w:rsidRPr="00D558C9">
        <w:rPr>
          <w:rFonts w:eastAsia="Times New Roman"/>
          <w:lang w:eastAsia="es-ES"/>
        </w:rPr>
        <w:t xml:space="preserve"> </w:t>
      </w:r>
      <w:r w:rsidRPr="00D558C9">
        <w:rPr>
          <w:rFonts w:eastAsia="Times New Roman" w:cs="Times New Roman"/>
          <w:color w:val="000000"/>
          <w:lang w:eastAsia="de-DE"/>
        </w:rPr>
        <w:t>Notificar la presente Orden al interesado, que pone fin a la vía administrativa de acuerdo con el artículo 60.1.a) de la Ley 5/2021, de 29 de junio, de Organización y Régimen Jurídico del Sector Público Autonómico de Aragón, contra la que podrá interponer recurso contencioso-administrativo 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C10507" w:rsidRPr="00C10507" w:rsidRDefault="00C10507" w:rsidP="00C10507">
      <w:pPr>
        <w:spacing w:after="180" w:line="336" w:lineRule="auto"/>
        <w:ind w:firstLine="284"/>
        <w:jc w:val="both"/>
        <w:rPr>
          <w:rFonts w:eastAsia="Times New Roman" w:cs="Times New Roman"/>
          <w:color w:val="000000"/>
          <w:lang w:eastAsia="de-DE"/>
        </w:rPr>
      </w:pPr>
    </w:p>
    <w:p w:rsidR="00C10507" w:rsidRPr="00C10507" w:rsidRDefault="00C10507" w:rsidP="00C10507">
      <w:pPr>
        <w:spacing w:after="180" w:line="336" w:lineRule="auto"/>
        <w:jc w:val="center"/>
        <w:rPr>
          <w:rFonts w:eastAsia="Times New Roman" w:cs="Times New Roman"/>
          <w:color w:val="000000"/>
          <w:lang w:eastAsia="de-DE"/>
        </w:rPr>
      </w:pPr>
      <w:r w:rsidRPr="00C10507">
        <w:rPr>
          <w:rFonts w:eastAsia="Times New Roman" w:cs="Times New Roman"/>
          <w:color w:val="000000"/>
          <w:lang w:eastAsia="de-DE"/>
        </w:rPr>
        <w:t>Zaragoza, a fecha de firma electrónica</w:t>
      </w:r>
    </w:p>
    <w:p w:rsidR="00C10507" w:rsidRPr="00C10507" w:rsidRDefault="00C10507" w:rsidP="00C10507">
      <w:pPr>
        <w:spacing w:after="180" w:line="336" w:lineRule="auto"/>
        <w:jc w:val="center"/>
        <w:rPr>
          <w:rFonts w:eastAsia="Times New Roman" w:cs="Times New Roman"/>
          <w:color w:val="000000"/>
          <w:lang w:eastAsia="de-DE"/>
        </w:rPr>
      </w:pPr>
      <w:r w:rsidRPr="00C10507">
        <w:rPr>
          <w:rFonts w:eastAsia="Times New Roman" w:cs="Times New Roman"/>
          <w:color w:val="000000"/>
          <w:lang w:eastAsia="de-DE"/>
        </w:rPr>
        <w:t>EL CONSEJERO DE VERTEBRACIÓN DEL TERRITORIO,</w:t>
      </w:r>
    </w:p>
    <w:p w:rsidR="00C10507" w:rsidRPr="00C10507" w:rsidRDefault="00C10507" w:rsidP="00C10507">
      <w:pPr>
        <w:spacing w:after="180" w:line="336" w:lineRule="auto"/>
        <w:jc w:val="center"/>
        <w:rPr>
          <w:rFonts w:eastAsia="Times New Roman" w:cs="Times New Roman"/>
          <w:color w:val="000000"/>
          <w:lang w:eastAsia="de-DE"/>
        </w:rPr>
      </w:pPr>
      <w:r w:rsidRPr="00C10507">
        <w:rPr>
          <w:rFonts w:eastAsia="Times New Roman" w:cs="Times New Roman"/>
          <w:color w:val="000000"/>
          <w:lang w:eastAsia="de-DE"/>
        </w:rPr>
        <w:lastRenderedPageBreak/>
        <w:t>MOVILIDAD Y VIVIENDA</w:t>
      </w:r>
    </w:p>
    <w:p w:rsidR="00C10507" w:rsidRPr="00C10507" w:rsidRDefault="00C10507" w:rsidP="00C10507">
      <w:pPr>
        <w:spacing w:after="180" w:line="336" w:lineRule="auto"/>
        <w:jc w:val="center"/>
        <w:rPr>
          <w:rFonts w:eastAsia="Times New Roman" w:cs="Times New Roman"/>
          <w:color w:val="000000"/>
          <w:lang w:eastAsia="de-DE"/>
        </w:rPr>
      </w:pPr>
    </w:p>
    <w:p w:rsidR="00C10507" w:rsidRPr="00C10507" w:rsidRDefault="00D558C9" w:rsidP="00C10507">
      <w:pPr>
        <w:spacing w:after="180" w:line="336" w:lineRule="auto"/>
        <w:jc w:val="center"/>
        <w:rPr>
          <w:rFonts w:eastAsia="Times New Roman" w:cs="Times New Roman"/>
          <w:color w:val="000000"/>
          <w:lang w:eastAsia="de-DE"/>
        </w:rPr>
      </w:pPr>
      <w:r>
        <w:rPr>
          <w:rFonts w:eastAsia="Times New Roman" w:cs="Times New Roman"/>
          <w:color w:val="000000"/>
          <w:lang w:eastAsia="de-DE"/>
        </w:rPr>
        <w:t>José Luis Soro Domingo</w:t>
      </w:r>
    </w:p>
    <w:p w:rsidR="00F74CED" w:rsidRPr="00F74CED" w:rsidRDefault="00F74CED" w:rsidP="00F74CED">
      <w:pPr>
        <w:spacing w:after="0" w:line="360" w:lineRule="auto"/>
        <w:ind w:right="-1"/>
        <w:jc w:val="both"/>
        <w:rPr>
          <w:rFonts w:eastAsia="Times New Roman"/>
          <w:b/>
          <w:caps/>
          <w:lang w:eastAsia="es-ES"/>
        </w:rPr>
      </w:pPr>
    </w:p>
    <w:sectPr w:rsidR="00F74CED" w:rsidRPr="00F74CED" w:rsidSect="00D4709F">
      <w:headerReference w:type="default" r:id="rId7"/>
      <w:footerReference w:type="even" r:id="rId8"/>
      <w:footerReference w:type="default" r:id="rId9"/>
      <w:pgSz w:w="11906" w:h="16838"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CC6" w:rsidRDefault="00447CC6" w:rsidP="00F74CED">
      <w:pPr>
        <w:spacing w:after="0" w:line="240" w:lineRule="auto"/>
      </w:pPr>
      <w:r>
        <w:separator/>
      </w:r>
    </w:p>
  </w:endnote>
  <w:endnote w:type="continuationSeparator" w:id="0">
    <w:p w:rsidR="00447CC6" w:rsidRDefault="00447CC6" w:rsidP="00F74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bertus Extra Bold">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193" w:rsidRDefault="004178C7">
    <w:pPr>
      <w:pStyle w:val="Piedepgina"/>
      <w:jc w:val="center"/>
    </w:pPr>
    <w:r>
      <w:fldChar w:fldCharType="begin"/>
    </w:r>
    <w:r>
      <w:instrText>PAGE   \* MERGEFORMAT</w:instrText>
    </w:r>
    <w:r>
      <w:fldChar w:fldCharType="separate"/>
    </w:r>
    <w:r w:rsidR="007A73C5">
      <w:rPr>
        <w:noProof/>
      </w:rPr>
      <w:t>2</w:t>
    </w:r>
    <w:r>
      <w:fldChar w:fldCharType="end"/>
    </w:r>
  </w:p>
  <w:p w:rsidR="00383193" w:rsidRDefault="00447CC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8FE" w:rsidRDefault="004178C7">
    <w:pPr>
      <w:pStyle w:val="Piedepgina"/>
      <w:jc w:val="center"/>
    </w:pPr>
    <w:r>
      <w:fldChar w:fldCharType="begin"/>
    </w:r>
    <w:r>
      <w:instrText>PAGE   \* MERGEFORMAT</w:instrText>
    </w:r>
    <w:r>
      <w:fldChar w:fldCharType="separate"/>
    </w:r>
    <w:r w:rsidR="007A73C5">
      <w:rPr>
        <w:noProof/>
      </w:rPr>
      <w:t>1</w:t>
    </w:r>
    <w:r>
      <w:fldChar w:fldCharType="end"/>
    </w:r>
  </w:p>
  <w:p w:rsidR="00FF18FE" w:rsidRDefault="00447CC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CC6" w:rsidRDefault="00447CC6" w:rsidP="00F74CED">
      <w:pPr>
        <w:spacing w:after="0" w:line="240" w:lineRule="auto"/>
      </w:pPr>
      <w:r>
        <w:separator/>
      </w:r>
    </w:p>
  </w:footnote>
  <w:footnote w:type="continuationSeparator" w:id="0">
    <w:p w:rsidR="00447CC6" w:rsidRDefault="00447CC6" w:rsidP="00F74C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4C0" w:rsidRPr="00D04711" w:rsidRDefault="00447CC6" w:rsidP="00F74CED">
    <w:pPr>
      <w:pStyle w:val="Encabezado"/>
      <w:ind w:left="709" w:right="-1134"/>
      <w:rPr>
        <w:b/>
        <w:spacing w:val="-6"/>
        <w:lang w:val="pt-BR"/>
      </w:rPr>
    </w:pPr>
    <w:r>
      <w:rPr>
        <w:noProof/>
        <w:sz w:val="1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35pt;margin-top:.55pt;width:133.25pt;height:30.7pt;z-index:251659264;visibility:visible;mso-wrap-edited:f" o:allowincell="f">
          <v:imagedata r:id="rId1" o:title=""/>
          <w10:wrap type="topAndBottom"/>
        </v:shape>
        <o:OLEObject Type="Embed" ProgID="Word.Picture.8" ShapeID="_x0000_s2049" DrawAspect="Content" ObjectID="_1702359315" r:id="rId2"/>
      </w:object>
    </w:r>
    <w:r w:rsidR="004178C7">
      <w:rPr>
        <w:rFonts w:ascii="Albertus Extra Bold" w:hAnsi="Albertus Extra Bold"/>
        <w:spacing w:val="-6"/>
        <w:sz w:val="12"/>
      </w:rPr>
      <w:tab/>
    </w:r>
    <w:r w:rsidR="004178C7">
      <w:rPr>
        <w:rFonts w:ascii="Albertus Extra Bold" w:hAnsi="Albertus Extra Bold"/>
        <w:spacing w:val="-6"/>
        <w:sz w:val="12"/>
      </w:rPr>
      <w:tab/>
    </w:r>
    <w:r w:rsidR="004178C7">
      <w:rPr>
        <w:rFonts w:ascii="Albertus Extra Bold" w:hAnsi="Albertus Extra Bold"/>
        <w:spacing w:val="-6"/>
        <w:sz w:val="12"/>
      </w:rPr>
      <w:tab/>
    </w:r>
  </w:p>
  <w:p w:rsidR="003644C0" w:rsidRDefault="004178C7" w:rsidP="003644C0">
    <w:pPr>
      <w:pStyle w:val="Encabezado"/>
      <w:ind w:left="709" w:right="-1134"/>
      <w:rPr>
        <w:b/>
        <w:sz w:val="10"/>
        <w:lang w:val="pt-BR"/>
      </w:rPr>
    </w:pPr>
    <w:r w:rsidRPr="00D04711">
      <w:rPr>
        <w:b/>
        <w:sz w:val="10"/>
        <w:lang w:val="pt-BR"/>
      </w:rPr>
      <w:t xml:space="preserve">Departamento de </w:t>
    </w:r>
    <w:r>
      <w:rPr>
        <w:b/>
        <w:sz w:val="10"/>
        <w:lang w:val="pt-BR"/>
      </w:rPr>
      <w:t xml:space="preserve">Vertebración </w:t>
    </w:r>
  </w:p>
  <w:p w:rsidR="003644C0" w:rsidRPr="005E1185" w:rsidRDefault="004178C7" w:rsidP="003644C0">
    <w:pPr>
      <w:pStyle w:val="Encabezado"/>
      <w:ind w:left="709" w:right="-1134"/>
      <w:rPr>
        <w:b/>
        <w:sz w:val="10"/>
        <w:lang w:val="pt-BR"/>
      </w:rPr>
    </w:pPr>
    <w:r>
      <w:rPr>
        <w:b/>
        <w:sz w:val="10"/>
        <w:lang w:val="pt-BR"/>
      </w:rPr>
      <w:t>del Territorio, Movilidad y Vivienda.</w:t>
    </w:r>
  </w:p>
  <w:p w:rsidR="003644C0" w:rsidRDefault="00447CC6" w:rsidP="00D373C5">
    <w:pPr>
      <w:pStyle w:val="Encabezado"/>
      <w:rPr>
        <w:sz w:val="16"/>
      </w:rPr>
    </w:pPr>
  </w:p>
  <w:p w:rsidR="00D373C5" w:rsidRDefault="00447CC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D12ED"/>
    <w:multiLevelType w:val="hybridMultilevel"/>
    <w:tmpl w:val="F16C443E"/>
    <w:lvl w:ilvl="0" w:tplc="948AFDCA">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2B215ACE"/>
    <w:multiLevelType w:val="hybridMultilevel"/>
    <w:tmpl w:val="56A8F2DA"/>
    <w:lvl w:ilvl="0" w:tplc="AB488DDA">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evenAndOddHeaders/>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CED"/>
    <w:rsid w:val="00012237"/>
    <w:rsid w:val="0005016C"/>
    <w:rsid w:val="0021382C"/>
    <w:rsid w:val="002158A8"/>
    <w:rsid w:val="00263135"/>
    <w:rsid w:val="002F19F2"/>
    <w:rsid w:val="00383B44"/>
    <w:rsid w:val="003A5428"/>
    <w:rsid w:val="004178C7"/>
    <w:rsid w:val="00447CC6"/>
    <w:rsid w:val="005070F0"/>
    <w:rsid w:val="006D2A83"/>
    <w:rsid w:val="006E35C6"/>
    <w:rsid w:val="00723395"/>
    <w:rsid w:val="007545FB"/>
    <w:rsid w:val="00763A3E"/>
    <w:rsid w:val="007724D8"/>
    <w:rsid w:val="007A73C5"/>
    <w:rsid w:val="00800594"/>
    <w:rsid w:val="0085536D"/>
    <w:rsid w:val="00874328"/>
    <w:rsid w:val="0088099F"/>
    <w:rsid w:val="0091062D"/>
    <w:rsid w:val="009C26FA"/>
    <w:rsid w:val="00A06B31"/>
    <w:rsid w:val="00A07515"/>
    <w:rsid w:val="00A7394B"/>
    <w:rsid w:val="00AA7476"/>
    <w:rsid w:val="00B2535B"/>
    <w:rsid w:val="00C10507"/>
    <w:rsid w:val="00C32C0D"/>
    <w:rsid w:val="00C74DAA"/>
    <w:rsid w:val="00C81910"/>
    <w:rsid w:val="00C8320E"/>
    <w:rsid w:val="00CF6F3C"/>
    <w:rsid w:val="00D4709F"/>
    <w:rsid w:val="00D555FA"/>
    <w:rsid w:val="00D558C9"/>
    <w:rsid w:val="00F51A5B"/>
    <w:rsid w:val="00F74C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C9FC10D0-A365-46BE-9215-A46DFBBE7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910"/>
  </w:style>
  <w:style w:type="paragraph" w:styleId="Ttulo4">
    <w:name w:val="heading 4"/>
    <w:basedOn w:val="Normal"/>
    <w:next w:val="Normal"/>
    <w:link w:val="Ttulo4Car"/>
    <w:uiPriority w:val="9"/>
    <w:semiHidden/>
    <w:unhideWhenUsed/>
    <w:qFormat/>
    <w:rsid w:val="00F51A5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74C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74CED"/>
  </w:style>
  <w:style w:type="paragraph" w:styleId="Piedepgina">
    <w:name w:val="footer"/>
    <w:basedOn w:val="Normal"/>
    <w:link w:val="PiedepginaCar"/>
    <w:uiPriority w:val="99"/>
    <w:rsid w:val="00F74CED"/>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F74CED"/>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800594"/>
    <w:pPr>
      <w:ind w:left="720"/>
      <w:contextualSpacing/>
    </w:pPr>
  </w:style>
  <w:style w:type="character" w:customStyle="1" w:styleId="Ttulo4Car">
    <w:name w:val="Título 4 Car"/>
    <w:basedOn w:val="Fuentedeprrafopredeter"/>
    <w:link w:val="Ttulo4"/>
    <w:uiPriority w:val="9"/>
    <w:semiHidden/>
    <w:rsid w:val="00F51A5B"/>
    <w:rPr>
      <w:rFonts w:asciiTheme="majorHAnsi" w:eastAsiaTheme="majorEastAsia" w:hAnsiTheme="majorHAnsi" w:cstheme="majorBidi"/>
      <w:i/>
      <w:iCs/>
      <w:color w:val="2E74B5" w:themeColor="accent1" w:themeShade="BF"/>
    </w:rPr>
  </w:style>
  <w:style w:type="table" w:styleId="Tablaconcuadrcula">
    <w:name w:val="Table Grid"/>
    <w:basedOn w:val="Tablanormal"/>
    <w:uiPriority w:val="39"/>
    <w:rsid w:val="002138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A73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73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392036">
      <w:bodyDiv w:val="1"/>
      <w:marLeft w:val="0"/>
      <w:marRight w:val="0"/>
      <w:marTop w:val="0"/>
      <w:marBottom w:val="0"/>
      <w:divBdr>
        <w:top w:val="none" w:sz="0" w:space="0" w:color="auto"/>
        <w:left w:val="none" w:sz="0" w:space="0" w:color="auto"/>
        <w:bottom w:val="none" w:sz="0" w:space="0" w:color="auto"/>
        <w:right w:val="none" w:sz="0" w:space="0" w:color="auto"/>
      </w:divBdr>
    </w:div>
    <w:div w:id="1980258226">
      <w:bodyDiv w:val="1"/>
      <w:marLeft w:val="0"/>
      <w:marRight w:val="0"/>
      <w:marTop w:val="0"/>
      <w:marBottom w:val="0"/>
      <w:divBdr>
        <w:top w:val="none" w:sz="0" w:space="0" w:color="auto"/>
        <w:left w:val="none" w:sz="0" w:space="0" w:color="auto"/>
        <w:bottom w:val="none" w:sz="0" w:space="0" w:color="auto"/>
        <w:right w:val="none" w:sz="0" w:space="0" w:color="auto"/>
      </w:divBdr>
    </w:div>
    <w:div w:id="204100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1488</Words>
  <Characters>8189</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cp:lastPrinted>2021-12-30T07:49:00Z</cp:lastPrinted>
  <dcterms:created xsi:type="dcterms:W3CDTF">2021-12-30T07:49:00Z</dcterms:created>
  <dcterms:modified xsi:type="dcterms:W3CDTF">2021-12-30T07:49:00Z</dcterms:modified>
</cp:coreProperties>
</file>