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header1.xml.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xmlns:wp="http://schemas.openxmlformats.org/drawingml/2006/wordprocessingDrawing" xmlns:o="urn:schemas-microsoft-com:office:office" xmlns:v="urn:schemas-microsoft-com:vml" xmlns:w="http://schemas.openxmlformats.org/wordprocessingml/2006/main" xmlns:r="http://schemas.openxmlformats.org/officeDocument/2006/relationships" xmlns:mc="http://schemas.openxmlformats.org/markup-compatibility/2006" xmlns:w10="urn:schemas-microsoft-com:office:word" xmlns:wps="http://schemas.microsoft.com/office/word/2010/wordprocessingShape" xmlns:w14="http://schemas.microsoft.com/office/word/2010/wordml" xmlns:wp14="http://schemas.microsoft.com/office/word/2010/wordprocessingDrawing">
      <w:r>
        <w:rPr>
          <w:noProof/>
        </w:rPr>
        <mc:AlternateContent>
          <mc:Choice Requires="wps">
            <w:drawing>
              <wp:anchor distT="0" distB="0" distL="114300" distR="114300" simplePos="0" relativeHeight="251659264" behindDoc="0" locked="0" layoutInCell="1" allowOverlap="1">
                <wp:simplePos x="0" y="0"/>
                <wp:positionH relativeFrom="leftMargin">
                  <wp:align>left</wp:align>
                </wp:positionH>
                <wp:positionV relativeFrom="page">
                  <wp:posOffset>0</wp:posOffset>
                </wp:positionV>
                <wp:extent cx="7765200" cy="219600"/>
                <wp:effectExtent l="0" t="0" r="0" b="9525"/>
                <wp:wrapNone/>
                <wp:docPr id="100010111" name="ODT_ATTR_LBL_SHAP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5200" cy="219600"/>
                        </a:xfrm>
                        <a:prstGeom prst="rect">
                          <a:avLst/>
                        </a:prstGeom>
                        <a:solidFill>
                          <a:srgbClr val="f2f2f2"/>
                        </a:solidFill>
                        <a:ln w="9525">
                          <a:noFill/>
                          <a:miter lim="800000"/>
                          <a:headEnd/>
                          <a:tailEnd/>
                        </a:ln>
                      </wps:spPr>
                      <wps:txbx>
                        <w:txbxContent>
                          <w:p>
                            <w:pPr>
                              <!--  bidi  -->
                              <w:spacing w:line="240" w:lineRule="auto"/>
                              <w:contextualSpacing/>
                              <w:jc w:val="left"/>
                            </w:pPr>
                            <w:r>
                              <w:rPr>
                                <w:noProof/>
                                <w:position w:val="-6"/>
                                <!-- rtl -->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_odt_logo"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_odt_hyperlink" w:history="1" w:tooltip="Doc Translator - www.onlinedoctranslator.com">
                              <w:r>
                                <w:rPr>
                                  <w:rFonts w:ascii="Roboto" w:hAnsi="Roboto"/>
                                  <w:color w:val="0F2B46"/>
                                  <w:sz w:val="18"/>
                                  <w:szCs w:val="18"/>
                                  <!-- rtl -->
                                </w:rPr>
                                <w:t xml:space="preserve">Traducido del catalán al español - </w:t>
                              </w:r>
                              <w:r>
                                <w:rPr>
                                  <w:rFonts w:ascii="Roboto" w:hAnsi="Roboto"/>
                                  <w:color w:val="0F2B46"/>
                                  <w:sz w:val="18"/>
                                  <w:szCs w:val="18"/>
                                  <w:u w:val="single"/>
                                </w:rPr>
                                <w:t>www.onlinedoctranslator.com</w:t>
                              </w:r>
                            </w:hyperlink>
                          </w:p>
                        </w:txbxContent>
                      </wps:txbx>
                      <wps:bodyPr rot="0" vert="horz" wrap="square" lIns="91440" tIns="0" rIns="91440" bIns="0" anchor="t" anchorCtr="0">
                        <a:noAutofit/>
                      </wps:bodyPr>
                    </wps:wsp>
                  </a:graphicData>
                </a:graphic>
                <wp14:sizeRelH relativeFrom="page">
                  <wp14:pctWidth>100000</wp14:pctWidth>
                </wp14:sizeRelH>
                <wp14:sizeRelV relativeFrom="margin">
                  <wp14:pctHeight>0</wp14:pctHeight>
                </wp14:sizeRelV>
              </wp:anchor>
            </w:drawing>
          </mc:Choice>
          <mc:Fallback>
            <w:pict>
              <v:shape id="ODT_ATTR_LBL_SHAPE" type="#_x0000_t202" style="position:absolute;left:0;text-align:left;margin-left:0;margin-top:0;width:611.45pt;height:17.3pt;z-index:251659264;visibility:visible;mso-wrap-style:square;mso-width-percent:1000;mso-height-percent:0;mso-wrap-distance-left:9pt;mso-wrap-distance-top:3.6pt;mso-wrap-distance-right:9pt;mso-wrap-distance-bottom:3.6pt;mso-position-horizontal:absolute;mso-position-horizontal-relative:page;mso-position-vertical:absolute;mso-position-vertical-relative:page;mso-width-percent:1000;mso-height-percent:0;mso-width-relative:page;mso-height-relative:margin;v-text-anchor:top" o:gfxdata="" fillcolor="#f2f2f2" stroked="f">
                <v:textbox inset=",0,,0">
                  <w:txbxContent>
                    <w:p>
                      <w:pPr>
                        <w:bidi/>
                        <w:spacing w:line="240" w:lineRule="auto"/>
                        <w:contextualSpacing/>
                        <w:jc w:val="left"/>
                      </w:pPr>
                      <w:r>
                        <w:rPr>
                          <w:noProof/>
                          <w:position w:val="-6"/>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_odt_logo"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_odt_hyperlink" w:history="1" w:tooltip="Doc Translator - www.onlinedoctranslator.com">
                        <w:r>
                          <w:rPr>
                            <w:rFonts w:ascii="Roboto" w:hAnsi="Roboto"/>
                            <w:color w:val="0F2B46"/>
                            <w:sz w:val="18"/>
                            <w:szCs w:val="18"/>
                            <!-- rtl -->
                          </w:rPr>
                          <w:t xml:space="preserve">Traducido del catalán al español - </w:t>
                        </w:r>
                        <w:r>
                          <w:rPr>
                            <w:rFonts w:ascii="Roboto" w:hAnsi="Roboto"/>
                            <w:color w:val="0F2B46"/>
                            <w:sz w:val="18"/>
                            <w:szCs w:val="18"/>
                            <w:u w:val="single"/>
                          </w:rPr>
                          <w:t>www.onlinedoctranslator.com</w:t>
                        </w:r>
                      </w:hyperlink>
                    </w:p>
                  </w:txbxContent>
                </v:textbox>
                <w10:wrap anchorx="page" anchory="page"/>
              </v:shape>
            </w:pict>
          </mc:Fallback>
        </mc:AlternateContent>
      </w:r>
    </w:p>
    <w:p>
      <w:pPr>
        <w:pStyle w:val="Normal"/>
        <w:jc w:val="both"/>
        <w:rPr>
          <w:rFonts w:ascii="Arial" w:hAnsi="Arial" w:cs="Arial"/>
          <w:b/>
          <w:b/>
          <w:sz w:val="24"/>
          <w:szCs w:val="24"/>
        </w:rPr>
      </w:pPr>
      <w:r>
        <w:rPr>
          <w:rFonts w:cs="Arial" w:ascii="Arial" w:hAnsi="Arial"/>
          <w:b/>
          <w:sz w:val="24"/>
          <w:szCs w:val="24"/>
        </w:rPr>
        <w:t>EDICTO</w:t>
      </w:r>
    </w:p>
    <w:p>
      <w:pPr>
        <w:pStyle w:val="Normal"/>
        <w:jc w:val="both"/>
        <w:rPr>
          <w:rFonts w:ascii="Arial" w:hAnsi="Arial" w:cs="Arial"/>
          <w:b/>
          <w:b/>
          <w:sz w:val="24"/>
          <w:szCs w:val="24"/>
        </w:rPr>
      </w:pPr>
      <w:r>
        <w:rPr>
          <w:rFonts w:cs="Arial" w:ascii="Arial" w:hAnsi="Arial"/>
          <w:b/>
          <w:sz w:val="24"/>
          <w:szCs w:val="24"/>
        </w:rPr>
      </w:r>
    </w:p>
    <w:p>
      <w:pPr>
        <w:pStyle w:val="Normal"/>
        <w:jc w:val="both"/>
        <w:rPr>
          <w:rFonts w:ascii="Arial" w:hAnsi="Arial" w:cs="Arial"/>
          <w:b/>
          <w:b/>
          <w:sz w:val="24"/>
          <w:szCs w:val="24"/>
          <w:u w:val="single"/>
        </w:rPr>
      </w:pPr>
      <w:r>
        <w:rPr>
          <w:rFonts w:cs="Arial" w:ascii="Arial" w:hAnsi="Arial"/>
          <w:b/>
          <w:sz w:val="24"/>
          <w:szCs w:val="24"/>
          <w:u w:val="single"/>
        </w:rPr>
        <w:t xml:space="preserve">Edicto de aprobación de la convocatoria y las bases reguladoras que deben regir el otorgamiento de ayudas económicas a niños y jóvenes en materia de actividades extraescolares el curso 2021/2022 en el municipio de Cervera.</w:t>
      </w:r>
    </w:p>
    <w:p>
      <w:pPr>
        <w:pStyle w:val="Normal"/>
        <w:jc w:val="both"/>
        <w:rPr>
          <w:rFonts w:ascii="Arial" w:hAnsi="Arial" w:cs="Arial"/>
          <w:b/>
          <w:b/>
          <w:sz w:val="24"/>
          <w:szCs w:val="24"/>
          <w:u w:val="single"/>
        </w:rPr>
      </w:pPr>
      <w:r>
        <w:rPr>
          <w:rFonts w:cs="Arial" w:ascii="Arial" w:hAnsi="Arial"/>
          <w:b/>
          <w:sz w:val="24"/>
          <w:szCs w:val="24"/>
          <w:u w:val="single"/>
        </w:rPr>
      </w:r>
    </w:p>
    <w:p>
      <w:pPr>
        <w:pStyle w:val="Normal"/>
        <w:jc w:val="both"/>
        <w:rPr>
          <w:rFonts w:ascii="Arial" w:hAnsi="Arial" w:cs="Arial"/>
          <w:iCs/>
          <w:sz w:val="24"/>
          <w:szCs w:val="24"/>
        </w:rPr>
      </w:pPr>
      <w:r>
        <w:rPr>
          <w:rFonts w:cs="Arial" w:ascii="Arial" w:hAnsi="Arial"/>
          <w:sz w:val="24"/>
          <w:szCs w:val="24"/>
        </w:rPr>
        <w:t xml:space="preserve">Se hace público para el conocimiento general que el Paer Jefe con Decreto num.0326/2021 aprobó la convocatoria y las bases reguladoras que deben regir la concesión para el otorgamiento de las ayudas económicas a niños y jóvenes en materia de actividades extraescolares, para el curso 2021/2022 en el municipio de Cervera.</w:t>
      </w:r>
    </w:p>
    <w:p>
      <w:pPr>
        <w:pStyle w:val="Normal"/>
        <w:jc w:val="both"/>
        <w:rPr>
          <w:rFonts w:ascii="Arial" w:hAnsi="Arial" w:cs="Arial"/>
          <w:iCs/>
          <w:sz w:val="24"/>
          <w:szCs w:val="24"/>
        </w:rPr>
      </w:pPr>
      <w:r>
        <w:rPr>
          <w:rFonts w:cs="Arial" w:ascii="Arial" w:hAnsi="Arial"/>
          <w:iCs/>
          <w:sz w:val="24"/>
          <w:szCs w:val="24"/>
        </w:rPr>
      </w:r>
    </w:p>
    <w:p>
      <w:pPr>
        <w:pStyle w:val="Normal"/>
        <w:jc w:val="both"/>
        <w:rPr/>
      </w:pPr>
      <w:r>
        <w:rPr>
          <w:rFonts w:cs="Arial" w:ascii="Arial" w:hAnsi="Arial"/>
          <w:sz w:val="24"/>
          <w:szCs w:val="24"/>
        </w:rPr>
        <w:t xml:space="preserve">El texto íntegro de las bases puede consultarse en la sede electrónica de la Paeria de Cervera. </w:t>
      </w:r>
    </w:p>
    <w:p>
      <w:pPr>
        <w:pStyle w:val="Normal"/>
        <w:jc w:val="both"/>
        <w:rPr>
          <w:rFonts w:ascii="Arial" w:hAnsi="Arial" w:cs="Arial"/>
          <w:sz w:val="24"/>
          <w:szCs w:val="24"/>
        </w:rPr>
      </w:pPr>
      <w:r>
        <w:rPr>
          <w:rFonts w:cs="Arial" w:ascii="Arial" w:hAnsi="Arial"/>
          <w:sz w:val="24"/>
          <w:szCs w:val="24"/>
        </w:rPr>
      </w:r>
    </w:p>
    <w:p>
      <w:pPr>
        <w:pStyle w:val="Normal"/>
        <w:jc w:val="both"/>
        <w:rPr>
          <w:rFonts w:ascii="Arial" w:hAnsi="Arial" w:cs="Arial"/>
          <w:sz w:val="24"/>
          <w:szCs w:val="24"/>
        </w:rPr>
      </w:pPr>
      <w:hyperlink r:id="rId2">
        <w:r>
          <w:rPr>
            <w:rStyle w:val="InternetLink"/>
            <w:rFonts w:cs="Arial" w:ascii="Arial" w:hAnsi="Arial"/>
            <w:sz w:val="24"/>
            <w:szCs w:val="24"/>
          </w:rPr>
          <w:t>https://cervera.sedelectronica.es/board</w:t>
        </w:r>
      </w:hyperlink>
    </w:p>
    <w:p>
      <w:pPr>
        <w:pStyle w:val="Normal"/>
        <w:jc w:val="both"/>
        <w:rPr>
          <w:rFonts w:ascii="Arial" w:hAnsi="Arial" w:cs="Arial"/>
          <w:sz w:val="24"/>
          <w:szCs w:val="24"/>
        </w:rPr>
      </w:pPr>
      <w:r>
        <w:rPr>
          <w:rFonts w:cs="Arial" w:ascii="Arial" w:hAnsi="Arial"/>
          <w:sz w:val="24"/>
          <w:szCs w:val="24"/>
        </w:rPr>
      </w:r>
    </w:p>
    <w:p>
      <w:pPr>
        <w:pStyle w:val="Normal"/>
        <w:jc w:val="both"/>
        <w:rPr>
          <w:rFonts w:ascii="Arial" w:hAnsi="Arial" w:cs="Arial"/>
          <w:sz w:val="24"/>
          <w:szCs w:val="24"/>
        </w:rPr>
      </w:pPr>
      <w:r>
        <w:rPr>
          <w:rFonts w:cs="Arial" w:ascii="Arial" w:hAnsi="Arial"/>
          <w:sz w:val="24"/>
          <w:szCs w:val="24"/>
        </w:rPr>
        <w:t>El plazo para la presentación de las solicitudes finaliza uno después de la publicación de las bases.</w:t>
      </w:r>
    </w:p>
    <w:p>
      <w:pPr>
        <w:pStyle w:val="Normal"/>
        <w:jc w:val="both"/>
        <w:rPr>
          <w:rFonts w:ascii="Arial" w:hAnsi="Arial" w:cs="Arial"/>
          <w:sz w:val="24"/>
          <w:szCs w:val="24"/>
        </w:rPr>
      </w:pPr>
      <w:r>
        <w:rPr>
          <w:rFonts w:cs="Arial" w:ascii="Arial" w:hAnsi="Arial"/>
          <w:sz w:val="24"/>
          <w:szCs w:val="24"/>
        </w:rPr>
      </w:r>
    </w:p>
    <w:p>
      <w:pPr>
        <w:pStyle w:val="Normal"/>
        <w:jc w:val="both"/>
        <w:rPr>
          <w:rFonts w:ascii="Arial" w:hAnsi="Arial" w:cs="Arial"/>
          <w:b/>
          <w:b/>
          <w:sz w:val="24"/>
          <w:szCs w:val="24"/>
        </w:rPr>
      </w:pPr>
      <w:r>
        <w:rPr>
          <w:rFonts w:cs="Arial" w:ascii="Arial" w:hAnsi="Arial"/>
          <w:b/>
          <w:sz w:val="24"/>
          <w:szCs w:val="24"/>
        </w:rPr>
      </w:r>
    </w:p>
    <w:p>
      <w:pPr>
        <w:pStyle w:val="Normal"/>
        <w:jc w:val="both"/>
        <w:rPr>
          <w:rFonts w:ascii="Arial" w:hAnsi="Arial" w:cs="Arial"/>
          <w:b/>
          <w:b/>
          <w:sz w:val="24"/>
          <w:szCs w:val="24"/>
        </w:rPr>
      </w:pPr>
      <w:r>
        <w:rPr>
          <w:rFonts w:cs="Arial" w:ascii="Arial" w:hAnsi="Arial"/>
          <w:b/>
          <w:sz w:val="24"/>
          <w:szCs w:val="24"/>
        </w:rPr>
      </w:r>
    </w:p>
    <w:p>
      <w:pPr>
        <w:pStyle w:val="Normal"/>
        <w:jc w:val="both"/>
        <w:rPr>
          <w:rFonts w:ascii="Arial" w:hAnsi="Arial" w:cs="Arial"/>
          <w:b/>
          <w:b/>
          <w:sz w:val="24"/>
          <w:szCs w:val="24"/>
        </w:rPr>
      </w:pPr>
      <w:r>
        <w:rPr>
          <w:rFonts w:cs="Arial" w:ascii="Arial" w:hAnsi="Arial"/>
          <w:b/>
          <w:sz w:val="24"/>
          <w:szCs w:val="24"/>
        </w:rPr>
      </w:r>
    </w:p>
    <w:p>
      <w:pPr>
        <w:pStyle w:val="Normal"/>
        <w:jc w:val="both"/>
        <w:rPr>
          <w:rFonts w:ascii="Arial" w:hAnsi="Arial" w:cs="Arial"/>
          <w:b/>
          <w:b/>
          <w:sz w:val="24"/>
          <w:szCs w:val="24"/>
        </w:rPr>
      </w:pPr>
      <w:r>
        <w:rPr>
          <w:rFonts w:cs="Arial" w:ascii="Arial" w:hAnsi="Arial"/>
          <w:b/>
          <w:sz w:val="24"/>
          <w:szCs w:val="24"/>
        </w:rPr>
      </w:r>
    </w:p>
    <w:p>
      <w:pPr>
        <w:pStyle w:val="Normal"/>
        <w:jc w:val="both"/>
        <w:rPr>
          <w:rFonts w:ascii="Arial" w:hAnsi="Arial" w:cs="Arial"/>
          <w:b/>
          <w:b/>
          <w:sz w:val="24"/>
          <w:szCs w:val="24"/>
        </w:rPr>
      </w:pPr>
      <w:r>
        <w:rPr>
          <w:rFonts w:cs="Arial" w:ascii="Arial" w:hAnsi="Arial"/>
          <w:b/>
          <w:sz w:val="24"/>
          <w:szCs w:val="24"/>
        </w:rPr>
      </w:r>
    </w:p>
    <w:p>
      <w:pPr>
        <w:pStyle w:val="Normal"/>
        <w:jc w:val="both"/>
        <w:rPr>
          <w:rFonts w:ascii="Arial" w:hAnsi="Arial" w:cs="Arial"/>
          <w:b/>
          <w:b/>
          <w:sz w:val="24"/>
          <w:szCs w:val="24"/>
        </w:rPr>
      </w:pPr>
      <w:r>
        <w:rPr>
          <w:rFonts w:cs="Arial" w:ascii="Arial" w:hAnsi="Arial"/>
          <w:b/>
          <w:sz w:val="24"/>
          <w:szCs w:val="24"/>
        </w:rPr>
      </w:r>
    </w:p>
    <w:p>
      <w:pPr>
        <w:pStyle w:val="Normal"/>
        <w:jc w:val="both"/>
        <w:rPr>
          <w:rFonts w:ascii="Arial" w:hAnsi="Arial" w:cs="Arial"/>
          <w:b/>
          <w:b/>
          <w:sz w:val="24"/>
          <w:szCs w:val="24"/>
        </w:rPr>
      </w:pPr>
      <w:r>
        <w:rPr>
          <w:rFonts w:cs="Arial" w:ascii="Arial" w:hAnsi="Arial"/>
          <w:b/>
          <w:sz w:val="24"/>
          <w:szCs w:val="24"/>
        </w:rPr>
      </w:r>
    </w:p>
    <w:p>
      <w:pPr>
        <w:pStyle w:val="Normal"/>
        <w:jc w:val="both"/>
        <w:rPr>
          <w:rFonts w:ascii="Arial" w:hAnsi="Arial" w:cs="Arial"/>
          <w:b/>
          <w:b/>
          <w:sz w:val="24"/>
          <w:szCs w:val="24"/>
        </w:rPr>
      </w:pPr>
      <w:r>
        <w:rPr>
          <w:rFonts w:cs="Arial" w:ascii="Arial" w:hAnsi="Arial"/>
          <w:b/>
          <w:sz w:val="24"/>
          <w:szCs w:val="24"/>
        </w:rPr>
      </w:r>
    </w:p>
    <w:p>
      <w:pPr>
        <w:pStyle w:val="Normal"/>
        <w:jc w:val="both"/>
        <w:rPr>
          <w:rFonts w:ascii="Arial" w:hAnsi="Arial" w:cs="Arial"/>
          <w:b/>
          <w:b/>
          <w:sz w:val="24"/>
          <w:szCs w:val="24"/>
        </w:rPr>
      </w:pPr>
      <w:r>
        <w:rPr>
          <w:rFonts w:cs="Arial" w:ascii="Arial" w:hAnsi="Arial"/>
          <w:b/>
          <w:sz w:val="24"/>
          <w:szCs w:val="24"/>
        </w:rPr>
      </w:r>
    </w:p>
    <w:p>
      <w:pPr>
        <w:pStyle w:val="Normal"/>
        <w:jc w:val="both"/>
        <w:rPr>
          <w:rFonts w:ascii="Arial" w:hAnsi="Arial" w:cs="Arial"/>
          <w:b/>
          <w:b/>
          <w:sz w:val="24"/>
          <w:szCs w:val="24"/>
        </w:rPr>
      </w:pPr>
      <w:r>
        <w:rPr>
          <w:rFonts w:cs="Arial" w:ascii="Arial" w:hAnsi="Arial"/>
          <w:b/>
          <w:sz w:val="24"/>
          <w:szCs w:val="24"/>
        </w:rPr>
      </w:r>
    </w:p>
    <w:p>
      <w:pPr>
        <w:pStyle w:val="Normal"/>
        <w:jc w:val="both"/>
        <w:rPr>
          <w:rFonts w:ascii="Arial" w:hAnsi="Arial" w:cs="Arial"/>
          <w:b/>
          <w:b/>
          <w:sz w:val="24"/>
          <w:szCs w:val="24"/>
        </w:rPr>
      </w:pPr>
      <w:r>
        <w:rPr>
          <w:rFonts w:cs="Arial" w:ascii="Arial" w:hAnsi="Arial"/>
          <w:b/>
          <w:sz w:val="24"/>
          <w:szCs w:val="24"/>
        </w:rPr>
      </w:r>
    </w:p>
    <w:p>
      <w:pPr>
        <w:pStyle w:val="Normal"/>
        <w:jc w:val="both"/>
        <w:rPr>
          <w:rFonts w:ascii="Arial" w:hAnsi="Arial" w:cs="Arial"/>
          <w:b/>
          <w:b/>
          <w:sz w:val="24"/>
          <w:szCs w:val="24"/>
        </w:rPr>
      </w:pPr>
      <w:r>
        <w:rPr>
          <w:rFonts w:cs="Arial" w:ascii="Arial" w:hAnsi="Arial"/>
          <w:b/>
          <w:sz w:val="24"/>
          <w:szCs w:val="24"/>
        </w:rPr>
      </w:r>
    </w:p>
    <w:p>
      <w:pPr>
        <w:pStyle w:val="Normal"/>
        <w:jc w:val="both"/>
        <w:rPr>
          <w:rFonts w:ascii="Arial" w:hAnsi="Arial" w:cs="Arial"/>
          <w:b/>
          <w:b/>
          <w:sz w:val="24"/>
          <w:szCs w:val="24"/>
        </w:rPr>
      </w:pPr>
      <w:r>
        <w:rPr>
          <w:rFonts w:cs="Arial" w:ascii="Arial" w:hAnsi="Arial"/>
          <w:b/>
          <w:sz w:val="24"/>
          <w:szCs w:val="24"/>
        </w:rPr>
      </w:r>
    </w:p>
    <w:p>
      <w:pPr>
        <w:pStyle w:val="Normal"/>
        <w:jc w:val="both"/>
        <w:rPr>
          <w:rFonts w:ascii="Arial" w:hAnsi="Arial" w:cs="Arial"/>
          <w:b/>
          <w:b/>
          <w:sz w:val="24"/>
          <w:szCs w:val="24"/>
        </w:rPr>
      </w:pPr>
      <w:r>
        <w:rPr>
          <w:rFonts w:cs="Arial" w:ascii="Arial" w:hAnsi="Arial"/>
          <w:b/>
          <w:sz w:val="24"/>
          <w:szCs w:val="24"/>
        </w:rPr>
      </w:r>
    </w:p>
    <w:p>
      <w:pPr>
        <w:pStyle w:val="Normal"/>
        <w:jc w:val="both"/>
        <w:rPr>
          <w:rFonts w:ascii="Arial" w:hAnsi="Arial" w:cs="Arial"/>
          <w:b/>
          <w:b/>
          <w:sz w:val="24"/>
          <w:szCs w:val="24"/>
        </w:rPr>
      </w:pPr>
      <w:r>
        <w:rPr>
          <w:rFonts w:cs="Arial" w:ascii="Arial" w:hAnsi="Arial"/>
          <w:b/>
          <w:sz w:val="24"/>
          <w:szCs w:val="24"/>
        </w:rPr>
      </w:r>
    </w:p>
    <w:p>
      <w:pPr>
        <w:pStyle w:val="Normal"/>
        <w:jc w:val="both"/>
        <w:rPr>
          <w:rFonts w:ascii="Arial" w:hAnsi="Arial" w:cs="Arial"/>
          <w:b/>
          <w:b/>
          <w:sz w:val="24"/>
          <w:szCs w:val="24"/>
        </w:rPr>
      </w:pPr>
      <w:r>
        <w:rPr>
          <w:rFonts w:cs="Arial" w:ascii="Arial" w:hAnsi="Arial"/>
          <w:b/>
          <w:sz w:val="24"/>
          <w:szCs w:val="24"/>
        </w:rPr>
      </w:r>
    </w:p>
    <w:p>
      <w:pPr>
        <w:pStyle w:val="Normal"/>
        <w:jc w:val="both"/>
        <w:rPr>
          <w:rFonts w:ascii="Arial" w:hAnsi="Arial" w:cs="Arial"/>
          <w:b/>
          <w:b/>
          <w:sz w:val="24"/>
          <w:szCs w:val="24"/>
        </w:rPr>
      </w:pPr>
      <w:r>
        <w:rPr>
          <w:rFonts w:cs="Arial" w:ascii="Arial" w:hAnsi="Arial"/>
          <w:b/>
          <w:sz w:val="24"/>
          <w:szCs w:val="24"/>
        </w:rPr>
      </w:r>
    </w:p>
    <w:p>
      <w:pPr>
        <w:pStyle w:val="Normal"/>
        <w:jc w:val="both"/>
        <w:rPr>
          <w:rFonts w:ascii="Arial" w:hAnsi="Arial" w:cs="Arial"/>
          <w:b/>
          <w:b/>
          <w:sz w:val="24"/>
          <w:szCs w:val="24"/>
        </w:rPr>
      </w:pPr>
      <w:r>
        <w:rPr>
          <w:rFonts w:cs="Arial" w:ascii="Arial" w:hAnsi="Arial"/>
          <w:b/>
          <w:sz w:val="24"/>
          <w:szCs w:val="24"/>
        </w:rPr>
      </w:r>
    </w:p>
    <w:p>
      <w:pPr>
        <w:pStyle w:val="Normal"/>
        <w:jc w:val="both"/>
        <w:rPr>
          <w:rFonts w:ascii="Arial" w:hAnsi="Arial" w:cs="Arial"/>
          <w:b/>
          <w:b/>
          <w:sz w:val="24"/>
          <w:szCs w:val="24"/>
        </w:rPr>
      </w:pPr>
      <w:r>
        <w:rPr>
          <w:rFonts w:cs="Arial" w:ascii="Arial" w:hAnsi="Arial"/>
          <w:b/>
          <w:sz w:val="24"/>
          <w:szCs w:val="24"/>
        </w:rPr>
      </w:r>
    </w:p>
    <w:p>
      <w:pPr>
        <w:pStyle w:val="Normal"/>
        <w:jc w:val="both"/>
        <w:rPr>
          <w:rFonts w:ascii="Arial" w:hAnsi="Arial" w:cs="Arial"/>
          <w:b/>
          <w:b/>
          <w:sz w:val="24"/>
          <w:szCs w:val="24"/>
        </w:rPr>
      </w:pPr>
      <w:r>
        <w:rPr>
          <w:rFonts w:cs="Arial" w:ascii="Arial" w:hAnsi="Arial"/>
          <w:b/>
          <w:sz w:val="24"/>
          <w:szCs w:val="24"/>
        </w:rPr>
      </w:r>
    </w:p>
    <w:p>
      <w:pPr>
        <w:pStyle w:val="Normal"/>
        <w:jc w:val="both"/>
        <w:rPr>
          <w:rFonts w:ascii="Arial" w:hAnsi="Arial" w:cs="Arial"/>
          <w:b/>
          <w:b/>
          <w:sz w:val="24"/>
          <w:szCs w:val="24"/>
        </w:rPr>
      </w:pPr>
      <w:r>
        <w:rPr>
          <w:rFonts w:cs="Arial" w:ascii="Arial" w:hAnsi="Arial"/>
          <w:b/>
          <w:sz w:val="24"/>
          <w:szCs w:val="24"/>
        </w:rPr>
      </w:r>
    </w:p>
    <w:p>
      <w:pPr>
        <w:pStyle w:val="Normal"/>
        <w:jc w:val="both"/>
        <w:rPr>
          <w:rFonts w:ascii="Arial" w:hAnsi="Arial" w:cs="Arial"/>
          <w:b/>
          <w:b/>
          <w:sz w:val="24"/>
          <w:szCs w:val="24"/>
        </w:rPr>
      </w:pPr>
      <w:r>
        <w:rPr>
          <w:rFonts w:cs="Arial" w:ascii="Arial" w:hAnsi="Arial"/>
          <w:b/>
          <w:sz w:val="24"/>
          <w:szCs w:val="24"/>
        </w:rPr>
      </w:r>
    </w:p>
    <w:p>
      <w:pPr>
        <w:pStyle w:val="Normal"/>
        <w:jc w:val="both"/>
        <w:rPr>
          <w:rFonts w:ascii="Arial" w:hAnsi="Arial" w:cs="Arial"/>
          <w:b/>
          <w:b/>
          <w:sz w:val="24"/>
          <w:szCs w:val="24"/>
        </w:rPr>
      </w:pPr>
      <w:r>
        <w:rPr>
          <w:rFonts w:cs="Arial" w:ascii="Arial" w:hAnsi="Arial"/>
          <w:b/>
          <w:sz w:val="24"/>
          <w:szCs w:val="24"/>
        </w:rPr>
      </w:r>
    </w:p>
    <w:p>
      <w:pPr>
        <w:pStyle w:val="Normal"/>
        <w:jc w:val="both"/>
        <w:rPr>
          <w:rFonts w:ascii="Arial" w:hAnsi="Arial" w:cs="Arial"/>
          <w:b/>
          <w:b/>
          <w:sz w:val="24"/>
          <w:szCs w:val="24"/>
        </w:rPr>
      </w:pPr>
      <w:r>
        <w:rPr>
          <w:rFonts w:cs="Arial" w:ascii="Arial" w:hAnsi="Arial"/>
          <w:b/>
          <w:sz w:val="24"/>
          <w:szCs w:val="24"/>
        </w:rPr>
      </w:r>
    </w:p>
    <w:p>
      <w:pPr>
        <w:pStyle w:val="Normal"/>
        <w:jc w:val="both"/>
        <w:rPr>
          <w:rFonts w:ascii="Arial" w:hAnsi="Arial" w:cs="Arial"/>
          <w:b/>
          <w:b/>
          <w:sz w:val="24"/>
          <w:szCs w:val="24"/>
        </w:rPr>
      </w:pPr>
      <w:r>
        <w:rPr>
          <w:rFonts w:cs="Arial" w:ascii="Arial" w:hAnsi="Arial"/>
          <w:b/>
          <w:sz w:val="24"/>
          <w:szCs w:val="24"/>
        </w:rPr>
      </w:r>
    </w:p>
    <w:p>
      <w:pPr>
        <w:pStyle w:val="Normal"/>
        <w:jc w:val="center"/>
        <w:rPr>
          <w:rFonts w:ascii="Arial" w:hAnsi="Arial" w:cs="Arial"/>
          <w:b/>
          <w:b/>
          <w:i/>
          <w:i/>
          <w:iCs/>
        </w:rPr>
      </w:pPr>
      <w:r>
        <w:rPr>
          <w:rFonts w:cs="Arial" w:ascii="Arial" w:hAnsi="Arial"/>
          <w:b/>
          <w:i/>
          <w:iCs/>
        </w:rPr>
        <w:t>DOCUMENTO FIRMADO ELECTRÓNICAMENTE</w:t>
      </w:r>
      <w:r>
        <w:br w:type="page"/>
      </w:r>
    </w:p>
    <w:p>
      <w:pPr>
        <w:pStyle w:val="TextBody"/>
        <w:spacing w:lineRule="auto" w:line="276"/>
        <w:jc w:val="center"/>
        <w:rPr>
          <w:rFonts w:ascii="Calibri" w:hAnsi="Calibri" w:cs="Calibri"/>
          <w:b/>
          <w:b/>
          <w:szCs w:val="22"/>
          <w:lang w:val="ca-ES" w:eastAsia="en-US"/>
        </w:rPr>
      </w:pPr>
      <w:r>
        <w:rPr>
          <w:rFonts w:cs="Calibri" w:ascii="Calibri" w:hAnsi="Calibri"/>
          <w:b/>
          <w:szCs w:val="22"/>
          <w:lang w:val="ca-ES" w:eastAsia="en-US"/>
        </w:rPr>
        <w:t>BASES REGULADORAS DE LAS AYUDAS ECONÓMICAS A NIÑOS Y JÓVENES EN MATERIA DE ACTIVIDADES EXTRAESCOLARES, CURSO 2021/2022</w:t>
      </w:r>
    </w:p>
    <w:p>
      <w:pPr>
        <w:pStyle w:val="TextBody"/>
        <w:spacing w:lineRule="auto" w:line="276"/>
        <w:rPr>
          <w:rFonts w:ascii="Calibri" w:hAnsi="Calibri" w:cs="Calibri"/>
          <w:b/>
          <w:b/>
          <w:szCs w:val="22"/>
          <w:lang w:val="ca-ES" w:eastAsia="en-US"/>
        </w:rPr>
      </w:pPr>
      <w:r>
        <w:rPr>
          <w:rFonts w:cs="Calibri" w:ascii="Calibri" w:hAnsi="Calibri"/>
          <w:b/>
          <w:szCs w:val="22"/>
          <w:lang w:val="ca-ES" w:eastAsia="en-US"/>
        </w:rPr>
      </w:r>
    </w:p>
    <w:p>
      <w:pPr>
        <w:pStyle w:val="Normal"/>
        <w:shd w:fill="FFFFFF" w:val="clear"/>
        <w:spacing w:lineRule="auto" w:line="276" w:before="0" w:after="120"/>
        <w:jc w:val="both"/>
        <w:rPr>
          <w:rFonts w:eastAsia="Times New Roman" w:cs="Arial"/>
          <w:color w:val="000000"/>
          <w:lang w:bidi="ks-Deva-IN"/>
        </w:rPr>
      </w:pPr>
      <w:r>
        <w:rPr>
          <w:rFonts w:eastAsia="Times New Roman" w:cs="Arial"/>
          <w:color w:val="000000"/>
          <w:lang w:bidi="ks-Deva-IN"/>
        </w:rPr>
        <w:t xml:space="preserve">Los programas de subvenciones y ayudas se han convertido en un instrumento esencial para alcanzar, en todos los ámbitos de la actividad administrativa, las finalidades y los objetivos de las políticas públicas que la legislación establece y que se concretan mediante la acción de gobierno. </w:t>
      </w:r>
    </w:p>
    <w:p>
      <w:pPr>
        <w:pStyle w:val="Normal"/>
        <w:shd w:fill="FFFFFF" w:val="clear"/>
        <w:spacing w:lineRule="auto" w:line="276" w:before="0" w:after="120"/>
        <w:jc w:val="both"/>
        <w:rPr>
          <w:rFonts w:eastAsia="Times New Roman" w:cs="Arial"/>
          <w:color w:val="000000"/>
          <w:lang w:bidi="ks-Deva-IN"/>
        </w:rPr>
      </w:pPr>
      <w:r>
        <w:rPr>
          <w:rFonts w:eastAsia="Times New Roman" w:cs="Arial"/>
          <w:color w:val="000000"/>
          <w:lang w:bidi="ks-Deva-IN"/>
        </w:rPr>
        <w:t>El Decreto legislativo 2/2003, de 28 de abril, por el que se aprueba el Texto refundido de la Ley municipal y de régimen local de Cataluña, en su artículo 66 determina como propia del municipio la competencia en prestación de servicios sociales y promoción y reinserción social.</w:t>
      </w:r>
    </w:p>
    <w:p>
      <w:pPr>
        <w:pStyle w:val="Normal"/>
        <w:shd w:fill="FFFFFF" w:val="clear"/>
        <w:spacing w:lineRule="auto" w:line="276" w:before="0" w:after="120"/>
        <w:jc w:val="both"/>
        <w:rPr>
          <w:rFonts w:eastAsia="Times New Roman" w:cs="Arial"/>
          <w:color w:val="000000"/>
          <w:lang w:bidi="ks-Deva-IN"/>
        </w:rPr>
      </w:pPr>
      <w:r>
        <w:rPr>
          <w:rFonts w:eastAsia="Times New Roman" w:cs="Arial"/>
          <w:color w:val="000000"/>
          <w:lang w:bidi="ks-Deva-IN"/>
        </w:rPr>
        <w:t>La Ley 14/2010, de 27 de mayo, de los derechos y oportunidades en la infancia y la adolescencia, en el artículo 24 establece que las administraciones públicas implicadas deben colaborar y actuar coordinamientos en materia de protección de los niños y los adolescentes para, entre otros, llevar a cabo actuaciones de colaboración necesarias para su protección.</w:t>
      </w:r>
    </w:p>
    <w:p>
      <w:pPr>
        <w:pStyle w:val="Normal"/>
        <w:shd w:fill="FFFFFF" w:val="clear"/>
        <w:spacing w:lineRule="auto" w:line="276" w:before="0" w:after="120"/>
        <w:jc w:val="both"/>
        <w:rPr>
          <w:rFonts w:eastAsia="Times New Roman" w:cs="Arial"/>
          <w:color w:val="000000"/>
          <w:lang w:bidi="ks-Deva-IN"/>
        </w:rPr>
      </w:pPr>
      <w:r>
        <w:rPr>
          <w:rFonts w:eastAsia="Times New Roman" w:cs="Arial"/>
          <w:color w:val="000000"/>
          <w:lang w:bidi="ks-Deva-IN"/>
        </w:rPr>
        <w:t xml:space="preserve">Es voluntad de la Paeria de Cervera, en el ámbito de sus competencias, fomentar la cohesión social en el municipio y considera que la participación de los sectores de la ciudadanía con dificultades en actividades dirigidas a la población en general es un instrumento esencial para avanzar hacia esa cohesión. </w:t>
      </w:r>
    </w:p>
    <w:p>
      <w:pPr>
        <w:pStyle w:val="Normal"/>
        <w:shd w:fill="FFFFFF" w:val="clear"/>
        <w:spacing w:lineRule="auto" w:line="276" w:before="0" w:after="120"/>
        <w:jc w:val="both"/>
        <w:rPr>
          <w:rFonts w:eastAsia="Times New Roman" w:cs="Arial"/>
          <w:color w:val="000000"/>
          <w:lang w:bidi="ks-Deva-IN"/>
        </w:rPr>
      </w:pPr>
      <w:r>
        <w:rPr>
          <w:rFonts w:eastAsia="Times New Roman" w:cs="Arial"/>
          <w:color w:val="000000"/>
          <w:lang w:bidi="ks-Deva-IN"/>
        </w:rPr>
        <w:t>Por este motivo, se activa el otorgamiento de ayudas económicas para favorecer la participación en actividades extraescolares de niños y jóvenes que están en situación de riesgo, buscando su desarrollo y bienestar.</w:t>
      </w:r>
    </w:p>
    <w:p>
      <w:pPr>
        <w:pStyle w:val="Normal"/>
        <w:shd w:fill="FFFFFF" w:val="clear"/>
        <w:spacing w:lineRule="auto" w:line="276" w:before="0" w:after="120"/>
        <w:jc w:val="both"/>
        <w:rPr>
          <w:rFonts w:eastAsia="Times New Roman" w:cs="Arial"/>
          <w:color w:val="000000"/>
          <w:lang w:bidi="ks-Deva-IN"/>
        </w:rPr>
      </w:pPr>
      <w:r>
        <w:rPr>
          <w:rFonts w:eastAsia="Times New Roman" w:cs="Arial"/>
          <w:color w:val="000000"/>
          <w:lang w:bidi="ks-Deva-IN"/>
        </w:rPr>
        <w:t>Dado todo lo expuesto, se aprueba la siguiente convocatoria de ayudas económicas a niños y jóvenes en materia de actividades extraescolares, curso 2021/2022, con el siguiente contenido:</w:t>
      </w:r>
    </w:p>
    <w:p>
      <w:pPr>
        <w:pStyle w:val="Normal"/>
        <w:shd w:fill="FFFFFF" w:val="clear"/>
        <w:spacing w:lineRule="auto" w:line="276" w:before="0" w:after="120"/>
        <w:jc w:val="both"/>
        <w:rPr>
          <w:rFonts w:eastAsia="Times New Roman" w:cs="Arial"/>
          <w:color w:val="000000"/>
          <w:lang w:bidi="ks-Deva-IN"/>
        </w:rPr>
      </w:pPr>
      <w:r>
        <w:rPr>
          <w:rFonts w:eastAsia="Times New Roman" w:cs="Arial"/>
          <w:color w:val="000000"/>
          <w:lang w:bidi="ks-Deva-IN"/>
        </w:rPr>
      </w:r>
    </w:p>
    <w:p>
      <w:pPr>
        <w:pStyle w:val="Normal"/>
        <w:shd w:fill="FFFFFF" w:val="clear"/>
        <w:spacing w:lineRule="auto" w:line="276" w:before="0" w:after="120"/>
        <w:jc w:val="both"/>
        <w:rPr>
          <w:rFonts w:eastAsia="Times New Roman" w:cs="Arial"/>
          <w:b/>
          <w:b/>
          <w:bCs/>
          <w:color w:val="000000"/>
          <w:lang w:bidi="ks-Deva-IN"/>
        </w:rPr>
      </w:pPr>
      <w:r>
        <w:rPr>
          <w:rFonts w:eastAsia="Times New Roman" w:cs="Arial"/>
          <w:b/>
          <w:bCs/>
          <w:color w:val="000000"/>
          <w:lang w:bidi="ks-Deva-IN"/>
        </w:rPr>
        <w:t>CAPITULO PRIMERO</w:t>
      </w:r>
    </w:p>
    <w:p>
      <w:pPr>
        <w:pStyle w:val="Normal"/>
        <w:shd w:fill="FFFFFF" w:val="clear"/>
        <w:spacing w:lineRule="auto" w:line="276" w:before="0" w:after="120"/>
        <w:jc w:val="both"/>
        <w:rPr/>
      </w:pPr>
      <w:r>
        <w:rPr>
          <w:rFonts w:eastAsia="Times New Roman" w:cs="Arial"/>
          <w:b/>
          <w:bCs/>
          <w:color w:val="000000"/>
          <w:lang w:bidi="ks-Deva-IN"/>
        </w:rPr>
        <w:t>Disposiciones generales</w:t>
      </w:r>
    </w:p>
    <w:p>
      <w:pPr>
        <w:pStyle w:val="TextBody"/>
        <w:spacing w:lineRule="auto" w:line="276"/>
        <w:rPr>
          <w:rFonts w:ascii="Calibri" w:hAnsi="Calibri" w:cs="Calibri"/>
          <w:szCs w:val="22"/>
          <w:lang w:val="ca-ES" w:eastAsia="en-US"/>
        </w:rPr>
      </w:pPr>
      <w:r>
        <w:rPr>
          <w:rFonts w:cs="Calibri" w:ascii="Calibri" w:hAnsi="Calibri"/>
          <w:b/>
          <w:szCs w:val="22"/>
          <w:u w:val="single"/>
          <w:lang w:val="ca-ES" w:eastAsia="en-US"/>
        </w:rPr>
        <w:t>Artículo 1º Objeto.-</w:t>
      </w:r>
    </w:p>
    <w:p>
      <w:pPr>
        <w:pStyle w:val="TextBody"/>
        <w:spacing w:lineRule="auto" w:line="276"/>
        <w:rPr>
          <w:rFonts w:ascii="Calibri" w:hAnsi="Calibri" w:cs="Arial"/>
          <w:szCs w:val="22"/>
          <w:lang w:val="ca-ES" w:eastAsia="en-US"/>
        </w:rPr>
      </w:pPr>
      <w:r>
        <w:rPr>
          <w:rFonts w:cs="Arial" w:ascii="Calibri" w:hAnsi="Calibri"/>
          <w:color w:val="000000"/>
          <w:szCs w:val="22"/>
          <w:lang w:val="ca-ES" w:eastAsia="en-US" w:bidi="ks-Deva-IN"/>
        </w:rPr>
        <w:t xml:space="preserve">El objeto de la presente convocatoria es regular, de acuerdo con el procedimiento de concurrencia competitiva, la concesión de ayudas para fomentar la participación en </w:t>
      </w:r>
      <w:r>
        <w:rPr>
          <w:rFonts w:cs="Calibri" w:ascii="Calibri" w:hAnsi="Calibri"/>
          <w:szCs w:val="22"/>
          <w:lang w:val="ca-ES" w:eastAsia="en-US"/>
        </w:rPr>
        <w:t xml:space="preserve">actividades extraescolares durante el curso escolar 2021/2022 </w:t>
      </w:r>
      <w:r>
        <w:rPr>
          <w:rFonts w:cs="Arial" w:ascii="Calibri" w:hAnsi="Calibri"/>
          <w:color w:val="000000"/>
          <w:szCs w:val="22"/>
          <w:lang w:val="ca-ES" w:eastAsia="en-US" w:bidi="ks-Deva-IN"/>
        </w:rPr>
        <w:t xml:space="preserve">de niños y jóvenes en situación de riesgo y/o con necesidades específicas de apoyo educativos (NESE), </w:t>
      </w:r>
      <w:r>
        <w:rPr>
          <w:rFonts w:cs="Arial" w:ascii="Calibri" w:hAnsi="Calibri"/>
          <w:szCs w:val="22"/>
          <w:lang w:val="ca-ES" w:eastAsia="en-US"/>
        </w:rPr>
        <w:t>como medida para favorecer su desarrollo y bienestar.</w:t>
      </w:r>
    </w:p>
    <w:p>
      <w:pPr>
        <w:pStyle w:val="TextBody"/>
        <w:spacing w:lineRule="auto" w:line="276"/>
        <w:rPr>
          <w:rFonts w:ascii="Calibri" w:hAnsi="Calibri" w:cs="Arial"/>
          <w:szCs w:val="22"/>
          <w:lang w:val="ca-ES" w:eastAsia="en-US"/>
        </w:rPr>
      </w:pPr>
      <w:r>
        <w:rPr>
          <w:rFonts w:cs="Arial" w:ascii="Calibri" w:hAnsi="Calibri"/>
          <w:szCs w:val="22"/>
          <w:lang w:val="ca-ES" w:eastAsia="en-US"/>
        </w:rPr>
        <w:t>Se entiende por situación de riesgo la definida en el artículo 102.1 de la Ley 14/2010, de 27 de mayo, de los derechos y oportunidades en la infancia y la adolescencia, que haya sido valorada como tal por los Servicios Sociales Básicos del Consejo Comarcal de la Segarra.</w:t>
      </w:r>
    </w:p>
    <w:p>
      <w:pPr>
        <w:pStyle w:val="TextBody"/>
        <w:spacing w:lineRule="auto" w:line="276"/>
        <w:rPr>
          <w:rFonts w:ascii="Calibri" w:hAnsi="Calibri" w:cs="Arial"/>
          <w:szCs w:val="22"/>
          <w:lang w:val="ca-ES" w:eastAsia="en-US"/>
        </w:rPr>
      </w:pPr>
      <w:r>
        <w:rPr>
          <w:rFonts w:cs="Arial" w:ascii="Calibri" w:hAnsi="Calibri"/>
          <w:szCs w:val="22"/>
          <w:lang w:val="ca-ES" w:eastAsia="en-US"/>
        </w:rPr>
        <w:t>Se entiende por alumnado con necesidades específicas de apoyo educativo (NESE) la definida en el capítulo 1, el artículo 3.4 del decreto 150/2017, de 17 de octubre, de la atención educativa al alumnado en el marco de un sistema educativo inclusivo.</w:t>
      </w:r>
    </w:p>
    <w:p>
      <w:pPr>
        <w:pStyle w:val="TextBody"/>
        <w:spacing w:lineRule="auto" w:line="276"/>
        <w:rPr/>
      </w:pPr>
      <w:r>
        <w:rPr>
          <w:rFonts w:cs="Arial" w:ascii="Calibri" w:hAnsi="Calibri"/>
          <w:b/>
          <w:bCs/>
          <w:szCs w:val="22"/>
          <w:u w:val="single"/>
          <w:lang w:val="ca-ES" w:eastAsia="en-US"/>
        </w:rPr>
        <w:t>Artículo 2º. Supuestos incluidos.-</w:t>
      </w:r>
    </w:p>
    <w:p>
      <w:pPr>
        <w:pStyle w:val="TextBody"/>
        <w:spacing w:lineRule="auto" w:line="276"/>
        <w:rPr>
          <w:rFonts w:ascii="Calibri" w:hAnsi="Calibri" w:cs="Arial"/>
          <w:szCs w:val="22"/>
          <w:lang w:val="ca-ES" w:eastAsia="en-US"/>
        </w:rPr>
      </w:pPr>
      <w:r>
        <w:rPr>
          <w:rFonts w:cs="Arial" w:ascii="Calibri" w:hAnsi="Calibri"/>
          <w:szCs w:val="22"/>
          <w:lang w:val="ca-ES" w:eastAsia="en-US"/>
        </w:rPr>
        <w:t xml:space="preserve">Se considera subvención cualquier ayuda directa o indirecta, valorable económicamente con cargo a la Paeria de Cervera, a favor de beneficiarios, cualquiera que sea en el acto o negocio jurídico del que se deriven y que cumplen los siguientes requisitos: </w:t>
      </w:r>
    </w:p>
    <w:p>
      <w:pPr>
        <w:pStyle w:val="TextBody"/>
        <w:widowControl w:val="false"/>
        <w:numPr>
          <w:ilvl w:val="0"/>
          <w:numId w:val="7"/>
        </w:numPr>
        <w:suppressAutoHyphens w:val="true"/>
        <w:overflowPunct w:val="true"/>
        <w:autoSpaceDE w:val="true"/>
        <w:spacing w:lineRule="auto" w:line="276" w:before="0" w:after="120"/>
        <w:textAlignment w:val="auto"/>
        <w:rPr/>
      </w:pPr>
      <w:r>
        <w:rPr>
          <w:rFonts w:cs="Arial" w:ascii="Calibri" w:hAnsi="Calibri"/>
          <w:szCs w:val="22"/>
          <w:lang w:val="ca-ES" w:eastAsia="en-US"/>
        </w:rPr>
        <w:t xml:space="preserve">Que la entrega se realice sin contraprestación directa del beneficiario, salvo el compromiso de participación continuada. </w:t>
      </w:r>
    </w:p>
    <w:p>
      <w:pPr>
        <w:pStyle w:val="TextBody"/>
        <w:widowControl w:val="false"/>
        <w:numPr>
          <w:ilvl w:val="0"/>
          <w:numId w:val="7"/>
        </w:numPr>
        <w:suppressAutoHyphens w:val="true"/>
        <w:overflowPunct w:val="true"/>
        <w:autoSpaceDE w:val="true"/>
        <w:spacing w:lineRule="auto" w:line="276" w:before="0" w:after="120"/>
        <w:textAlignment w:val="auto"/>
        <w:rPr/>
      </w:pPr>
      <w:r>
        <w:rPr>
          <w:rFonts w:cs="Arial" w:ascii="Calibri" w:hAnsi="Calibri"/>
          <w:szCs w:val="22"/>
          <w:lang w:val="ca-ES" w:eastAsia="en-US"/>
        </w:rPr>
        <w:t>Que la entrega esté sujeta al cumplimiento de un determinado objetivo, la ejecución de un proyecto, la realización de una actividad, la adopción de un comportamiento singular o la concurrencia de una situación, con la obligación del beneficiario cumplir las obligaciones materiales y formales que se hayan establecido.</w:t>
      </w:r>
    </w:p>
    <w:p>
      <w:pPr>
        <w:pStyle w:val="TextBody"/>
        <w:widowControl w:val="false"/>
        <w:numPr>
          <w:ilvl w:val="0"/>
          <w:numId w:val="7"/>
        </w:numPr>
        <w:suppressAutoHyphens w:val="true"/>
        <w:overflowPunct w:val="true"/>
        <w:autoSpaceDE w:val="true"/>
        <w:spacing w:lineRule="auto" w:line="276" w:before="0" w:after="120"/>
        <w:textAlignment w:val="auto"/>
        <w:rPr>
          <w:rFonts w:ascii="Calibri" w:hAnsi="Calibri" w:cs="Arial"/>
          <w:szCs w:val="22"/>
          <w:lang w:val="ca-ES" w:eastAsia="en-US"/>
        </w:rPr>
      </w:pPr>
      <w:r>
        <w:rPr>
          <w:rFonts w:cs="Arial" w:ascii="Calibri" w:hAnsi="Calibri"/>
          <w:szCs w:val="22"/>
          <w:lang w:val="ca-ES" w:eastAsia="en-US"/>
        </w:rPr>
        <w:t>Que el proyecto, acción, conducta o situación financiada tenga por objeto el fomento de una utilidad pública o interés social o de promoción de una finalidad pública de interés para el municipio.</w:t>
      </w:r>
    </w:p>
    <w:p>
      <w:pPr>
        <w:pStyle w:val="TextBody"/>
        <w:spacing w:lineRule="auto" w:line="276"/>
        <w:rPr>
          <w:rFonts w:ascii="Calibri" w:hAnsi="Calibri" w:cs="Arial"/>
          <w:b/>
          <w:b/>
          <w:bCs/>
          <w:szCs w:val="22"/>
          <w:u w:val="single"/>
          <w:lang w:val="ca-ES" w:eastAsia="en-US"/>
        </w:rPr>
      </w:pPr>
      <w:r>
        <w:rPr>
          <w:rFonts w:cs="Arial" w:ascii="Calibri" w:hAnsi="Calibri"/>
          <w:b/>
          <w:bCs/>
          <w:szCs w:val="22"/>
          <w:u w:val="single"/>
          <w:lang w:val="ca-ES" w:eastAsia="en-US"/>
        </w:rPr>
      </w:r>
    </w:p>
    <w:p>
      <w:pPr>
        <w:pStyle w:val="TextBody"/>
        <w:spacing w:lineRule="auto" w:line="276"/>
        <w:rPr/>
      </w:pPr>
      <w:r>
        <w:rPr>
          <w:rFonts w:cs="Arial" w:ascii="Calibri" w:hAnsi="Calibri"/>
          <w:b/>
          <w:bCs/>
          <w:szCs w:val="22"/>
          <w:u w:val="single"/>
          <w:lang w:val="ca-ES" w:eastAsia="en-US"/>
        </w:rPr>
        <w:t>Artículo 3º. Supuestos excluidos.-</w:t>
      </w:r>
    </w:p>
    <w:p>
      <w:pPr>
        <w:pStyle w:val="TextBody"/>
        <w:spacing w:lineRule="auto" w:line="276"/>
        <w:rPr/>
      </w:pPr>
      <w:r>
        <w:rPr>
          <w:rFonts w:cs="Arial" w:ascii="Calibri" w:hAnsi="Calibri"/>
          <w:szCs w:val="22"/>
          <w:lang w:val="ca-ES" w:eastAsia="en-US"/>
        </w:rPr>
        <w:t xml:space="preserve">En ningún caso este Ordenamiento regulará: </w:t>
      </w:r>
    </w:p>
    <w:p>
      <w:pPr>
        <w:pStyle w:val="TextBody"/>
        <w:widowControl w:val="false"/>
        <w:numPr>
          <w:ilvl w:val="0"/>
          <w:numId w:val="3"/>
        </w:numPr>
        <w:suppressAutoHyphens w:val="true"/>
        <w:overflowPunct w:val="true"/>
        <w:autoSpaceDE w:val="true"/>
        <w:spacing w:lineRule="auto" w:line="276" w:before="0" w:after="120"/>
        <w:textAlignment w:val="auto"/>
        <w:rPr/>
      </w:pPr>
      <w:r>
        <w:rPr>
          <w:rFonts w:cs="Arial" w:ascii="Calibri" w:hAnsi="Calibri"/>
          <w:szCs w:val="22"/>
          <w:lang w:val="ca-ES" w:eastAsia="en-US"/>
        </w:rPr>
        <w:t>Las aportaciones de la Paeria de Cervera en actividades en las que participa conjuntamente en su organización.</w:t>
      </w:r>
    </w:p>
    <w:p>
      <w:pPr>
        <w:pStyle w:val="TextBody"/>
        <w:widowControl w:val="false"/>
        <w:numPr>
          <w:ilvl w:val="0"/>
          <w:numId w:val="3"/>
        </w:numPr>
        <w:suppressAutoHyphens w:val="true"/>
        <w:overflowPunct w:val="true"/>
        <w:autoSpaceDE w:val="true"/>
        <w:spacing w:lineRule="auto" w:line="276" w:before="0" w:after="120"/>
        <w:textAlignment w:val="auto"/>
        <w:rPr/>
      </w:pPr>
      <w:r>
        <w:rPr>
          <w:rFonts w:cs="Arial" w:ascii="Calibri" w:hAnsi="Calibri"/>
          <w:szCs w:val="22"/>
          <w:lang w:val="ca-ES" w:eastAsia="en-US"/>
        </w:rPr>
        <w:t>Las aportaciones de la Paeria de Cervera estipuladas por medio de un convenio de colaboración.</w:t>
      </w:r>
    </w:p>
    <w:p>
      <w:pPr>
        <w:pStyle w:val="TextBody"/>
        <w:spacing w:lineRule="auto" w:line="276"/>
        <w:rPr>
          <w:rFonts w:ascii="Calibri" w:hAnsi="Calibri" w:cs="Arial"/>
          <w:b/>
          <w:b/>
          <w:bCs/>
          <w:szCs w:val="22"/>
          <w:u w:val="single"/>
          <w:lang w:val="ca-ES" w:eastAsia="en-US"/>
        </w:rPr>
      </w:pPr>
      <w:r>
        <w:rPr>
          <w:rFonts w:cs="Arial" w:ascii="Calibri" w:hAnsi="Calibri"/>
          <w:b/>
          <w:bCs/>
          <w:szCs w:val="22"/>
          <w:u w:val="single"/>
          <w:lang w:val="ca-ES" w:eastAsia="en-US"/>
        </w:rPr>
      </w:r>
    </w:p>
    <w:p>
      <w:pPr>
        <w:pStyle w:val="TextBody"/>
        <w:spacing w:lineRule="auto" w:line="276"/>
        <w:rPr/>
      </w:pPr>
      <w:r>
        <w:rPr>
          <w:rFonts w:cs="Arial" w:ascii="Calibri" w:hAnsi="Calibri"/>
          <w:b/>
          <w:bCs/>
          <w:szCs w:val="22"/>
          <w:u w:val="single"/>
          <w:lang w:val="ca-ES" w:eastAsia="en-US"/>
        </w:rPr>
        <w:t>Artículo 4º. Principios.-</w:t>
      </w:r>
    </w:p>
    <w:p>
      <w:pPr>
        <w:pStyle w:val="TextBody"/>
        <w:spacing w:lineRule="auto" w:line="276"/>
        <w:rPr/>
      </w:pPr>
      <w:r>
        <w:rPr>
          <w:rFonts w:cs="Arial" w:ascii="Calibri" w:hAnsi="Calibri"/>
          <w:szCs w:val="22"/>
          <w:lang w:val="ca-ES" w:eastAsia="en-US"/>
        </w:rPr>
        <w:t xml:space="preserve">La subvención se otorgará bajo los principios de publicidad, transparencia, concurrencia y objetividad, igualdad y no discriminación, eficacia y eficiencia y con adecuación a la legalidad presupuestaria. </w:t>
      </w:r>
    </w:p>
    <w:p>
      <w:pPr>
        <w:pStyle w:val="TextBody"/>
        <w:spacing w:lineRule="auto" w:line="276"/>
        <w:rPr/>
      </w:pPr>
      <w:r>
        <w:rPr>
          <w:rFonts w:cs="Arial" w:ascii="Calibri" w:hAnsi="Calibri"/>
          <w:szCs w:val="22"/>
          <w:lang w:val="ca-ES" w:eastAsia="en-US"/>
        </w:rPr>
        <w:t xml:space="preserve">El otorgamiento de las subvenciones se atenderá a las siguientes normas: </w:t>
      </w:r>
    </w:p>
    <w:p>
      <w:pPr>
        <w:pStyle w:val="TextBody"/>
        <w:widowControl w:val="false"/>
        <w:numPr>
          <w:ilvl w:val="0"/>
          <w:numId w:val="6"/>
        </w:numPr>
        <w:suppressAutoHyphens w:val="true"/>
        <w:overflowPunct w:val="true"/>
        <w:autoSpaceDE w:val="true"/>
        <w:spacing w:lineRule="auto" w:line="276" w:before="0" w:after="120"/>
        <w:textAlignment w:val="auto"/>
        <w:rPr/>
      </w:pPr>
      <w:r>
        <w:rPr>
          <w:rFonts w:cs="Arial" w:ascii="Calibri" w:hAnsi="Calibri"/>
          <w:szCs w:val="22"/>
          <w:lang w:val="ca-ES" w:eastAsia="en-US"/>
        </w:rPr>
        <w:t>Tendrán carácter voluntario y eventual salvo en los casos que se dispongan en este ordenamiento.</w:t>
      </w:r>
    </w:p>
    <w:p>
      <w:pPr>
        <w:pStyle w:val="TextBody"/>
        <w:widowControl w:val="false"/>
        <w:numPr>
          <w:ilvl w:val="0"/>
          <w:numId w:val="6"/>
        </w:numPr>
        <w:suppressAutoHyphens w:val="true"/>
        <w:overflowPunct w:val="true"/>
        <w:autoSpaceDE w:val="true"/>
        <w:spacing w:lineRule="auto" w:line="276" w:before="0" w:after="120"/>
        <w:textAlignment w:val="auto"/>
        <w:rPr>
          <w:rFonts w:ascii="Calibri" w:hAnsi="Calibri" w:cs="Arial"/>
          <w:szCs w:val="22"/>
          <w:lang w:val="ca-ES" w:eastAsia="en-US"/>
        </w:rPr>
      </w:pPr>
      <w:r>
        <w:rPr>
          <w:rFonts w:cs="Arial" w:ascii="Calibri" w:hAnsi="Calibri"/>
          <w:szCs w:val="22"/>
          <w:lang w:val="ca-ES" w:eastAsia="en-US"/>
        </w:rPr>
        <w:t>No serán invocables como precedente.</w:t>
      </w:r>
    </w:p>
    <w:p>
      <w:pPr>
        <w:pStyle w:val="TextBody"/>
        <w:widowControl w:val="false"/>
        <w:numPr>
          <w:ilvl w:val="0"/>
          <w:numId w:val="6"/>
        </w:numPr>
        <w:suppressAutoHyphens w:val="true"/>
        <w:overflowPunct w:val="true"/>
        <w:autoSpaceDE w:val="true"/>
        <w:spacing w:lineRule="auto" w:line="276" w:before="0" w:after="120"/>
        <w:textAlignment w:val="auto"/>
        <w:rPr/>
      </w:pPr>
      <w:r>
        <w:rPr>
          <w:rFonts w:cs="Arial" w:ascii="Calibri" w:hAnsi="Calibri"/>
          <w:szCs w:val="22"/>
          <w:lang w:val="ca-ES" w:eastAsia="en-US"/>
        </w:rPr>
        <w:t>No será exigible el aumento o revisión de la subvención.</w:t>
      </w:r>
    </w:p>
    <w:p>
      <w:pPr>
        <w:pStyle w:val="TextBody"/>
        <w:widowControl w:val="false"/>
        <w:numPr>
          <w:ilvl w:val="0"/>
          <w:numId w:val="6"/>
        </w:numPr>
        <w:suppressAutoHyphens w:val="true"/>
        <w:overflowPunct w:val="true"/>
        <w:autoSpaceDE w:val="true"/>
        <w:spacing w:lineRule="auto" w:line="276" w:before="0" w:after="120"/>
        <w:textAlignment w:val="auto"/>
        <w:rPr>
          <w:rFonts w:ascii="Calibri" w:hAnsi="Calibri" w:cs="Arial"/>
          <w:szCs w:val="22"/>
          <w:lang w:val="ca-ES" w:eastAsia="en-US"/>
        </w:rPr>
      </w:pPr>
      <w:r>
        <w:rPr>
          <w:rFonts w:cs="Arial" w:ascii="Calibri" w:hAnsi="Calibri"/>
          <w:szCs w:val="22"/>
          <w:lang w:val="ca-ES" w:eastAsia="en-US"/>
        </w:rPr>
        <w:t xml:space="preserve">No se podrá conceder directa o indirectamente la subvención en cuantía o análoga a quienes representen cualquier recurso o imposición que deba satisfacer los particulares o entidades a favor de las Haciendas Locales, en la medida en que signifiquen la concesión de exenciones no permitidas por la ley o supongan compensación de cuotas liquidadas. </w:t>
      </w:r>
    </w:p>
    <w:p>
      <w:pPr>
        <w:pStyle w:val="TextBody"/>
        <w:spacing w:lineRule="auto" w:line="276"/>
        <w:ind w:start="360" w:hanging="0"/>
        <w:rPr/>
      </w:pPr>
      <w:r>
        <w:rPr>
          <w:rFonts w:cs="Arial" w:ascii="Calibri" w:hAnsi="Calibri"/>
          <w:szCs w:val="22"/>
          <w:lang w:val="ca-ES" w:eastAsia="en-US"/>
        </w:rPr>
        <w:t>Serán nulos acuerdos de la subvención que obedezcan la mera libertad.</w:t>
      </w:r>
    </w:p>
    <w:p>
      <w:pPr>
        <w:pStyle w:val="TextBody"/>
        <w:spacing w:lineRule="auto" w:line="276"/>
        <w:ind w:start="360" w:hanging="0"/>
        <w:rPr>
          <w:rFonts w:ascii="Calibri" w:hAnsi="Calibri" w:cs="Arial"/>
          <w:szCs w:val="22"/>
          <w:lang w:val="ca-ES" w:eastAsia="en-US"/>
        </w:rPr>
      </w:pPr>
      <w:r>
        <w:rPr>
          <w:rFonts w:cs="Arial" w:ascii="Calibri" w:hAnsi="Calibri"/>
          <w:szCs w:val="22"/>
          <w:lang w:val="ca-ES" w:eastAsia="en-US"/>
        </w:rPr>
      </w:r>
    </w:p>
    <w:p>
      <w:pPr>
        <w:pStyle w:val="TextBody"/>
        <w:spacing w:lineRule="auto" w:line="276"/>
        <w:ind w:start="360" w:hanging="0"/>
        <w:rPr>
          <w:rFonts w:ascii="Calibri" w:hAnsi="Calibri" w:cs="Arial"/>
          <w:b/>
          <w:b/>
          <w:bCs/>
          <w:szCs w:val="22"/>
          <w:lang w:val="ca-ES" w:eastAsia="en-US"/>
        </w:rPr>
      </w:pPr>
      <w:r>
        <w:rPr>
          <w:rFonts w:cs="Arial" w:ascii="Calibri" w:hAnsi="Calibri"/>
          <w:b/>
          <w:bCs/>
          <w:szCs w:val="22"/>
          <w:lang w:val="ca-ES" w:eastAsia="en-US"/>
        </w:rPr>
        <w:t>CAPÍTULO SEGUNDO.</w:t>
      </w:r>
    </w:p>
    <w:p>
      <w:pPr>
        <w:pStyle w:val="TextBody"/>
        <w:spacing w:lineRule="auto" w:line="276"/>
        <w:ind w:start="360" w:hanging="0"/>
        <w:rPr/>
      </w:pPr>
      <w:r>
        <w:rPr>
          <w:rFonts w:cs="Arial" w:ascii="Calibri" w:hAnsi="Calibri"/>
          <w:b/>
          <w:bCs/>
          <w:szCs w:val="22"/>
          <w:lang w:val="ca-ES" w:eastAsia="en-US"/>
        </w:rPr>
        <w:t>Beneficiarios</w:t>
      </w:r>
    </w:p>
    <w:p>
      <w:pPr>
        <w:pStyle w:val="TextBody"/>
        <w:spacing w:lineRule="auto" w:line="276"/>
        <w:rPr>
          <w:rFonts w:ascii="Calibri" w:hAnsi="Calibri" w:cs="Arial"/>
          <w:b/>
          <w:b/>
          <w:bCs/>
          <w:szCs w:val="22"/>
          <w:u w:val="single"/>
          <w:lang w:val="ca-ES" w:eastAsia="en-US"/>
        </w:rPr>
      </w:pPr>
      <w:r>
        <w:rPr>
          <w:rFonts w:cs="Arial" w:ascii="Calibri" w:hAnsi="Calibri"/>
          <w:b/>
          <w:bCs/>
          <w:szCs w:val="22"/>
          <w:u w:val="single"/>
          <w:lang w:val="ca-ES" w:eastAsia="en-US"/>
        </w:rPr>
        <w:t>Artículos 5º. Beneficiarios.-</w:t>
      </w:r>
    </w:p>
    <w:p>
      <w:pPr>
        <w:pStyle w:val="TextBody"/>
        <w:spacing w:lineRule="auto" w:line="276"/>
        <w:ind w:start="360" w:hanging="0"/>
        <w:rPr>
          <w:rFonts w:ascii="Calibri" w:hAnsi="Calibri" w:cs="Arial"/>
          <w:szCs w:val="22"/>
          <w:lang w:val="ca-ES" w:eastAsia="en-US"/>
        </w:rPr>
      </w:pPr>
      <w:r>
        <w:rPr>
          <w:rFonts w:cs="Arial" w:ascii="Calibri" w:hAnsi="Calibri"/>
          <w:szCs w:val="22"/>
          <w:lang w:val="ca-ES" w:eastAsia="en-US"/>
        </w:rPr>
        <w:t xml:space="preserve">Podrán solicitar la subvención las personas tutoras de los niños y jóvenes que cumplan con los siguientes requisitos: </w:t>
      </w:r>
    </w:p>
    <w:p>
      <w:pPr>
        <w:pStyle w:val="Normal"/>
        <w:widowControl w:val="false"/>
        <w:numPr>
          <w:ilvl w:val="0"/>
          <w:numId w:val="12"/>
        </w:numPr>
        <w:shd w:fill="FFFFFF" w:val="clear"/>
        <w:suppressAutoHyphens w:val="true"/>
        <w:spacing w:lineRule="auto" w:line="276"/>
        <w:jc w:val="both"/>
        <w:rPr>
          <w:rFonts w:cs="Calibri"/>
        </w:rPr>
      </w:pPr>
      <w:r>
        <w:rPr>
          <w:rFonts w:cs="Calibri"/>
        </w:rPr>
        <w:t>Estar en situación de riesgo, con seguimiento por parte de los Servicios Sociales Básicos del Consejo Comarcal de la Segarra y/o ser alumno con necesidades específicas de soporte educativo (NESE) determinado por el Equipo de asesoramiento y orientación psicopedagógica (EAP).</w:t>
      </w:r>
    </w:p>
    <w:p>
      <w:pPr>
        <w:pStyle w:val="Normal"/>
        <w:widowControl w:val="false"/>
        <w:numPr>
          <w:ilvl w:val="0"/>
          <w:numId w:val="12"/>
        </w:numPr>
        <w:shd w:fill="FFFFFF" w:val="clear"/>
        <w:suppressAutoHyphens w:val="true"/>
        <w:spacing w:lineRule="auto" w:line="276"/>
        <w:jc w:val="both"/>
        <w:rPr/>
      </w:pPr>
      <w:r>
        <w:rPr>
          <w:rFonts w:cs="Calibri"/>
        </w:rPr>
        <w:t>Residir y estar empadronado en Cervera.</w:t>
      </w:r>
    </w:p>
    <w:p>
      <w:pPr>
        <w:pStyle w:val="Normal"/>
        <w:widowControl w:val="false"/>
        <w:numPr>
          <w:ilvl w:val="0"/>
          <w:numId w:val="12"/>
        </w:numPr>
        <w:shd w:fill="FFFFFF" w:val="clear"/>
        <w:suppressAutoHyphens w:val="true"/>
        <w:spacing w:lineRule="auto" w:line="276"/>
        <w:jc w:val="both"/>
        <w:rPr>
          <w:rFonts w:cs="Calibri"/>
        </w:rPr>
      </w:pPr>
      <w:r>
        <w:rPr>
          <w:rFonts w:cs="Calibri"/>
        </w:rPr>
        <w:t>Estar escolarizados en centros educativos de Cervera, en el curso 2021/2022.</w:t>
      </w:r>
    </w:p>
    <w:p>
      <w:pPr>
        <w:pStyle w:val="Normal"/>
        <w:widowControl w:val="false"/>
        <w:numPr>
          <w:ilvl w:val="0"/>
          <w:numId w:val="12"/>
        </w:numPr>
        <w:shd w:fill="FFFFFF" w:val="clear"/>
        <w:suppressAutoHyphens w:val="true"/>
        <w:spacing w:lineRule="auto" w:line="276"/>
        <w:jc w:val="both"/>
        <w:rPr>
          <w:rFonts w:cs="Calibri"/>
        </w:rPr>
      </w:pPr>
      <w:r>
        <w:rPr>
          <w:rFonts w:cs="Calibri"/>
          <w:bCs/>
        </w:rPr>
        <w:t xml:space="preserve">Estar al corriente del cumplimiento de las obligaciones tributarias y frente a la Seguridad Social y que no tener deudas con la Paeria de Cervera. </w:t>
      </w:r>
    </w:p>
    <w:p>
      <w:pPr>
        <w:pStyle w:val="Normal"/>
        <w:shd w:fill="FFFFFF" w:val="clear"/>
        <w:spacing w:lineRule="auto" w:line="276"/>
        <w:ind w:start="1778" w:hanging="0"/>
        <w:jc w:val="both"/>
        <w:rPr>
          <w:rFonts w:cs="Calibri"/>
        </w:rPr>
      </w:pPr>
      <w:r>
        <w:rPr>
          <w:rFonts w:cs="Calibri"/>
        </w:rPr>
      </w:r>
    </w:p>
    <w:p>
      <w:pPr>
        <w:pStyle w:val="Normal"/>
        <w:shd w:fill="FFFFFF" w:val="clear"/>
        <w:spacing w:lineRule="auto" w:line="276"/>
        <w:jc w:val="both"/>
        <w:rPr>
          <w:rFonts w:cs="Arial"/>
        </w:rPr>
      </w:pPr>
      <w:r>
        <w:rPr>
          <w:rFonts w:cs="Arial"/>
        </w:rPr>
      </w:r>
    </w:p>
    <w:p>
      <w:pPr>
        <w:pStyle w:val="TextBody"/>
        <w:spacing w:lineRule="auto" w:line="276"/>
        <w:ind w:start="360" w:hanging="0"/>
        <w:rPr/>
      </w:pPr>
      <w:r>
        <w:rPr>
          <w:rFonts w:cs="Arial" w:ascii="Calibri" w:hAnsi="Calibri"/>
          <w:szCs w:val="22"/>
          <w:lang w:val="ca-ES" w:eastAsia="en-US"/>
        </w:rPr>
        <w:t xml:space="preserve">Serán personas beneficiarias de las ayudas las personas tutoras de las destinatarias y como tales serán las responsables de formalizar la solicitud. </w:t>
      </w:r>
    </w:p>
    <w:p>
      <w:pPr>
        <w:pStyle w:val="TextBody"/>
        <w:spacing w:lineRule="auto" w:line="276"/>
        <w:ind w:start="360" w:hanging="0"/>
        <w:rPr>
          <w:rFonts w:ascii="Calibri" w:hAnsi="Calibri" w:cs="Arial"/>
          <w:szCs w:val="22"/>
          <w:lang w:val="ca-ES" w:eastAsia="en-US"/>
        </w:rPr>
      </w:pPr>
      <w:r>
        <w:rPr>
          <w:rFonts w:cs="Arial" w:ascii="Calibri" w:hAnsi="Calibri"/>
          <w:szCs w:val="22"/>
          <w:lang w:val="ca-ES" w:eastAsia="en-US"/>
        </w:rPr>
        <w:t>El pago se realizará directamente a la entidad que realiza la actividad que se ha asignado al niño/joven. Si no existe deuda con la misma se procederá a realizar el pago al niño.</w:t>
      </w:r>
    </w:p>
    <w:p>
      <w:pPr>
        <w:pStyle w:val="TextBody"/>
        <w:spacing w:lineRule="auto" w:line="276"/>
        <w:ind w:start="360" w:hanging="0"/>
        <w:rPr>
          <w:rFonts w:ascii="Calibri" w:hAnsi="Calibri" w:cs="Arial"/>
          <w:szCs w:val="22"/>
          <w:lang w:val="ca-ES" w:eastAsia="en-US"/>
        </w:rPr>
      </w:pPr>
      <w:r>
        <w:rPr>
          <w:rFonts w:cs="Arial" w:ascii="Calibri" w:hAnsi="Calibri"/>
          <w:szCs w:val="22"/>
          <w:lang w:val="ca-ES" w:eastAsia="en-US"/>
        </w:rPr>
      </w:r>
    </w:p>
    <w:p>
      <w:pPr>
        <w:pStyle w:val="TextBody"/>
        <w:spacing w:lineRule="auto" w:line="276"/>
        <w:rPr>
          <w:rFonts w:ascii="Calibri" w:hAnsi="Calibri" w:cs="Arial"/>
          <w:b/>
          <w:b/>
          <w:bCs/>
          <w:szCs w:val="22"/>
          <w:u w:val="single"/>
          <w:lang w:val="ca-ES" w:eastAsia="en-US"/>
        </w:rPr>
      </w:pPr>
      <w:r>
        <w:rPr>
          <w:rFonts w:cs="Arial" w:ascii="Calibri" w:hAnsi="Calibri"/>
          <w:b/>
          <w:bCs/>
          <w:szCs w:val="22"/>
          <w:u w:val="single"/>
          <w:lang w:val="ca-ES" w:eastAsia="en-US"/>
        </w:rPr>
        <w:t>Artículo 6º. Obligaciones de los beneficiarios.-</w:t>
      </w:r>
    </w:p>
    <w:p>
      <w:pPr>
        <w:pStyle w:val="TextBody"/>
        <w:spacing w:lineRule="auto" w:line="276"/>
        <w:rPr/>
      </w:pPr>
      <w:r>
        <w:rPr>
          <w:rFonts w:cs="Arial" w:ascii="Calibri" w:hAnsi="Calibri"/>
          <w:szCs w:val="22"/>
          <w:lang w:val="ca-ES" w:eastAsia="en-US"/>
        </w:rPr>
        <w:t xml:space="preserve">Son obligaciones de los beneficiarios: </w:t>
      </w:r>
    </w:p>
    <w:p>
      <w:pPr>
        <w:pStyle w:val="TextBody"/>
        <w:widowControl w:val="false"/>
        <w:numPr>
          <w:ilvl w:val="0"/>
          <w:numId w:val="14"/>
        </w:numPr>
        <w:suppressAutoHyphens w:val="true"/>
        <w:overflowPunct w:val="true"/>
        <w:autoSpaceDE w:val="true"/>
        <w:spacing w:lineRule="auto" w:line="276" w:before="0" w:after="120"/>
        <w:textAlignment w:val="auto"/>
        <w:rPr>
          <w:rFonts w:ascii="Calibri" w:hAnsi="Calibri" w:cs="Arial"/>
          <w:szCs w:val="22"/>
          <w:lang w:val="ca-ES" w:eastAsia="en-US"/>
        </w:rPr>
      </w:pPr>
      <w:r>
        <w:rPr>
          <w:rFonts w:cs="Arial" w:ascii="Calibri" w:hAnsi="Calibri"/>
          <w:szCs w:val="22"/>
          <w:lang w:val="ca-ES" w:eastAsia="en-US"/>
        </w:rPr>
        <w:t>Cumplir con los requisitos solicitados en el artículo.5º. El incumplimiento de cualquiera de estos establecidos llevará implícita la renuncia de la ayuda y se procederá de oficio a su revocación.</w:t>
      </w:r>
    </w:p>
    <w:p>
      <w:pPr>
        <w:pStyle w:val="TextBody"/>
        <w:widowControl w:val="false"/>
        <w:numPr>
          <w:ilvl w:val="0"/>
          <w:numId w:val="14"/>
        </w:numPr>
        <w:suppressAutoHyphens w:val="true"/>
        <w:overflowPunct w:val="true"/>
        <w:autoSpaceDE w:val="true"/>
        <w:spacing w:lineRule="auto" w:line="276" w:before="0" w:after="120"/>
        <w:textAlignment w:val="auto"/>
        <w:rPr>
          <w:rFonts w:ascii="Calibri" w:hAnsi="Calibri" w:cs="Arial"/>
          <w:szCs w:val="22"/>
          <w:lang w:val="ca-ES" w:eastAsia="en-US"/>
        </w:rPr>
      </w:pPr>
      <w:r>
        <w:rPr>
          <w:rFonts w:cs="Arial" w:ascii="Calibri" w:hAnsi="Calibri"/>
          <w:szCs w:val="22"/>
          <w:lang w:val="ca-ES" w:eastAsia="en-US"/>
        </w:rPr>
        <w:t>La mera presentación de una solicitud de subvención para una actividad extraescolar implica el conocimiento y aceptación de estas bases.</w:t>
      </w:r>
    </w:p>
    <w:p>
      <w:pPr>
        <w:pStyle w:val="TextBody"/>
        <w:widowControl w:val="false"/>
        <w:numPr>
          <w:ilvl w:val="0"/>
          <w:numId w:val="14"/>
        </w:numPr>
        <w:suppressAutoHyphens w:val="true"/>
        <w:overflowPunct w:val="true"/>
        <w:autoSpaceDE w:val="true"/>
        <w:spacing w:lineRule="auto" w:line="276" w:before="0" w:after="120"/>
        <w:textAlignment w:val="auto"/>
        <w:rPr>
          <w:rFonts w:ascii="Calibri" w:hAnsi="Calibri" w:cs="Arial"/>
          <w:szCs w:val="22"/>
          <w:lang w:val="ca-ES" w:eastAsia="en-US"/>
        </w:rPr>
      </w:pPr>
      <w:r>
        <w:rPr>
          <w:rFonts w:cs="Arial" w:ascii="Calibri" w:hAnsi="Calibri"/>
          <w:szCs w:val="22"/>
          <w:lang w:val="ca-ES" w:eastAsia="en-US"/>
        </w:rPr>
        <w:t xml:space="preserve">Los solicitantes de las ayudas están obligados a facilitar la información que la Paeria les puedan requerir y comunicar cualquier cambio en sus circunstancias personales y familiares que pueda significar la pérdida del derecho a la ayuda concedida. </w:t>
      </w:r>
    </w:p>
    <w:p>
      <w:pPr>
        <w:pStyle w:val="TextBody"/>
        <w:widowControl w:val="false"/>
        <w:numPr>
          <w:ilvl w:val="0"/>
          <w:numId w:val="14"/>
        </w:numPr>
        <w:suppressAutoHyphens w:val="true"/>
        <w:overflowPunct w:val="true"/>
        <w:autoSpaceDE w:val="true"/>
        <w:spacing w:lineRule="auto" w:line="276" w:before="0" w:after="120"/>
        <w:textAlignment w:val="auto"/>
        <w:rPr>
          <w:rFonts w:ascii="Calibri" w:hAnsi="Calibri" w:cs="Arial"/>
          <w:szCs w:val="22"/>
          <w:lang w:val="ca-ES" w:eastAsia="en-US"/>
        </w:rPr>
      </w:pPr>
      <w:r>
        <w:rPr>
          <w:rFonts w:cs="Arial" w:ascii="Calibri" w:hAnsi="Calibri"/>
          <w:szCs w:val="22"/>
          <w:lang w:val="ca-ES" w:eastAsia="en-US"/>
        </w:rPr>
        <w:t xml:space="preserve">La Paeria podrá en todo momento realizar las actuaciones adecuadas para averiguar la veracidad de los datos facilitados por los solicitantes, especialmente las que hagan referencia a la situación familiar. En este sentido, podrán consultar padrones y registros relativos a los requisitos a cumplir.</w:t>
      </w:r>
    </w:p>
    <w:p>
      <w:pPr>
        <w:pStyle w:val="TextBody"/>
        <w:spacing w:lineRule="auto" w:line="276"/>
        <w:rPr>
          <w:rFonts w:ascii="Calibri" w:hAnsi="Calibri" w:cs="Arial"/>
          <w:szCs w:val="22"/>
          <w:lang w:val="ca-ES" w:eastAsia="en-US"/>
        </w:rPr>
      </w:pPr>
      <w:r>
        <w:rPr>
          <w:rFonts w:cs="Arial" w:ascii="Calibri" w:hAnsi="Calibri"/>
          <w:szCs w:val="22"/>
          <w:lang w:val="ca-ES" w:eastAsia="en-US"/>
        </w:rPr>
        <w:t>Las ayudas serán retiradas total o parcialmente cuando se detecte que ha habido ocultación o falsedad de los datos solicitados.</w:t>
      </w:r>
    </w:p>
    <w:p>
      <w:pPr>
        <w:pStyle w:val="TextBody"/>
        <w:spacing w:lineRule="auto" w:line="276"/>
        <w:rPr>
          <w:rFonts w:ascii="Calibri" w:hAnsi="Calibri" w:cs="Arial"/>
          <w:szCs w:val="22"/>
          <w:lang w:val="ca-ES" w:eastAsia="en-US"/>
        </w:rPr>
      </w:pPr>
      <w:r>
        <w:rPr>
          <w:rFonts w:cs="Arial" w:ascii="Calibri" w:hAnsi="Calibri"/>
          <w:szCs w:val="22"/>
          <w:lang w:val="ca-ES" w:eastAsia="en-US"/>
        </w:rPr>
      </w:r>
      <w:r>
        <w:br w:type="page"/>
      </w:r>
    </w:p>
    <w:p>
      <w:pPr>
        <w:pStyle w:val="TextBody"/>
        <w:spacing w:lineRule="auto" w:line="276"/>
        <w:rPr>
          <w:rFonts w:ascii="Calibri" w:hAnsi="Calibri" w:cs="Arial"/>
          <w:b/>
          <w:b/>
          <w:bCs/>
          <w:szCs w:val="22"/>
          <w:lang w:val="ca-ES" w:eastAsia="en-US"/>
        </w:rPr>
      </w:pPr>
      <w:r>
        <w:rPr>
          <w:rFonts w:cs="Arial" w:ascii="Calibri" w:hAnsi="Calibri"/>
          <w:b/>
          <w:bCs/>
          <w:szCs w:val="22"/>
          <w:lang w:val="ca-ES" w:eastAsia="en-US"/>
        </w:rPr>
        <w:t>CAPÍTULO TERCERO</w:t>
      </w:r>
    </w:p>
    <w:p>
      <w:pPr>
        <w:pStyle w:val="TextBody"/>
        <w:spacing w:lineRule="auto" w:line="276"/>
        <w:rPr>
          <w:rFonts w:ascii="Calibri" w:hAnsi="Calibri" w:cs="Arial"/>
          <w:b/>
          <w:b/>
          <w:bCs/>
          <w:szCs w:val="22"/>
          <w:lang w:val="ca-ES" w:eastAsia="en-US"/>
        </w:rPr>
      </w:pPr>
      <w:r>
        <w:rPr>
          <w:rFonts w:cs="Arial" w:ascii="Calibri" w:hAnsi="Calibri"/>
          <w:b/>
          <w:bCs/>
          <w:szCs w:val="22"/>
          <w:lang w:val="ca-ES" w:eastAsia="en-US"/>
        </w:rPr>
        <w:t>Actividades objeto de subvención</w:t>
      </w:r>
    </w:p>
    <w:p>
      <w:pPr>
        <w:pStyle w:val="TextBody"/>
        <w:spacing w:lineRule="auto" w:line="276"/>
        <w:rPr/>
      </w:pPr>
      <w:r>
        <w:rPr>
          <w:rFonts w:cs="Arial" w:ascii="Calibri" w:hAnsi="Calibri"/>
          <w:b/>
          <w:bCs/>
          <w:szCs w:val="22"/>
          <w:u w:val="single"/>
          <w:lang w:val="ca-ES" w:eastAsia="en-US"/>
        </w:rPr>
        <w:t>Artículo 7º. Gastos subvencionables.-</w:t>
      </w:r>
    </w:p>
    <w:p>
      <w:pPr>
        <w:pStyle w:val="TextBody"/>
        <w:spacing w:lineRule="auto" w:line="276"/>
        <w:rPr>
          <w:rFonts w:ascii="Calibri" w:hAnsi="Calibri" w:cs="Arial"/>
          <w:szCs w:val="22"/>
          <w:lang w:val="ca-ES" w:eastAsia="en-US"/>
        </w:rPr>
      </w:pPr>
      <w:r>
        <w:rPr>
          <w:rFonts w:cs="Arial" w:ascii="Calibri" w:hAnsi="Calibri"/>
          <w:szCs w:val="22"/>
          <w:lang w:val="ca-ES" w:eastAsia="en-US"/>
        </w:rPr>
        <w:t>Son subvencionables las actividades extraescolares organizadas por una entidad sin ánimo de lucro que se realicen durante el curso que se soliciten, dentro del ámbito del municipio de Cervera y abiertas a la que respondan a cualquier actividad que se realice en el ámbito deportivo, educativo, lúdico, festivo, social y cultural del municipio.</w:t>
      </w:r>
    </w:p>
    <w:p>
      <w:pPr>
        <w:pStyle w:val="TextBody"/>
        <w:spacing w:lineRule="auto" w:line="276"/>
        <w:rPr>
          <w:rFonts w:ascii="Calibri" w:hAnsi="Calibri" w:cs="Arial"/>
          <w:szCs w:val="22"/>
          <w:lang w:val="ca-ES" w:eastAsia="en-US"/>
        </w:rPr>
      </w:pPr>
      <w:r>
        <w:rPr>
          <w:rFonts w:cs="Arial" w:ascii="Calibri" w:hAnsi="Calibri"/>
          <w:szCs w:val="22"/>
          <w:lang w:val="ca-ES" w:eastAsia="en-US"/>
        </w:rPr>
        <w:t>Las actividades subvencionables deberán tener lugar durante el curso 2021-2022 (del 1 de septiembre de 2021 al 30 de junio de 2022).</w:t>
      </w:r>
    </w:p>
    <w:p>
      <w:pPr>
        <w:pStyle w:val="TextBody"/>
        <w:spacing w:lineRule="auto" w:line="276"/>
        <w:rPr>
          <w:rFonts w:ascii="Calibri" w:hAnsi="Calibri" w:cs="Arial"/>
          <w:szCs w:val="22"/>
          <w:lang w:val="ca-ES" w:eastAsia="en-US"/>
        </w:rPr>
      </w:pPr>
      <w:r>
        <w:rPr>
          <w:rFonts w:cs="Arial" w:ascii="Calibri" w:hAnsi="Calibri"/>
          <w:szCs w:val="22"/>
          <w:lang w:val="ca-ES" w:eastAsia="en-US"/>
        </w:rPr>
      </w:r>
    </w:p>
    <w:p>
      <w:pPr>
        <w:pStyle w:val="TextBody"/>
        <w:spacing w:lineRule="auto" w:line="276"/>
        <w:rPr/>
      </w:pPr>
      <w:r>
        <w:rPr>
          <w:rFonts w:cs="Arial" w:ascii="Calibri" w:hAnsi="Calibri"/>
          <w:b/>
          <w:bCs/>
          <w:szCs w:val="22"/>
          <w:u w:val="single"/>
          <w:lang w:val="ca-ES" w:eastAsia="en-US"/>
        </w:rPr>
        <w:t>Artículo 8º. Supuestos excluidos.-</w:t>
      </w:r>
    </w:p>
    <w:p>
      <w:pPr>
        <w:pStyle w:val="TextBody"/>
        <w:spacing w:lineRule="auto" w:line="276"/>
        <w:rPr>
          <w:rFonts w:ascii="Calibri" w:hAnsi="Calibri" w:cs="Arial"/>
          <w:szCs w:val="22"/>
          <w:lang w:val="ca-ES" w:eastAsia="en-US"/>
        </w:rPr>
      </w:pPr>
      <w:r>
        <w:rPr>
          <w:rFonts w:cs="Arial" w:ascii="Calibri" w:hAnsi="Calibri"/>
          <w:szCs w:val="22"/>
          <w:lang w:val="ca-ES" w:eastAsia="en-US"/>
        </w:rPr>
        <w:t xml:space="preserve">No serán subvencionables las actividades que se celebren fuera del ámbito territorial del municipio. </w:t>
      </w:r>
    </w:p>
    <w:p>
      <w:pPr>
        <w:pStyle w:val="TextBody"/>
        <w:spacing w:lineRule="auto" w:line="276"/>
        <w:rPr>
          <w:rFonts w:ascii="Calibri" w:hAnsi="Calibri" w:cs="Arial"/>
          <w:szCs w:val="22"/>
          <w:lang w:val="ca-ES" w:eastAsia="en-US"/>
        </w:rPr>
      </w:pPr>
      <w:r>
        <w:rPr>
          <w:rFonts w:cs="Arial" w:ascii="Calibri" w:hAnsi="Calibri"/>
          <w:szCs w:val="22"/>
          <w:lang w:val="ca-ES" w:eastAsia="en-US"/>
        </w:rPr>
      </w:r>
    </w:p>
    <w:p>
      <w:pPr>
        <w:pStyle w:val="TextBody"/>
        <w:spacing w:lineRule="auto" w:line="276"/>
        <w:rPr/>
      </w:pPr>
      <w:r>
        <w:rPr>
          <w:rFonts w:cs="Arial" w:ascii="Calibri" w:hAnsi="Calibri"/>
          <w:b/>
          <w:bCs/>
          <w:szCs w:val="22"/>
          <w:lang w:val="ca-ES" w:eastAsia="en-US"/>
        </w:rPr>
        <w:t>CAPITULO CUARTO</w:t>
      </w:r>
    </w:p>
    <w:p>
      <w:pPr>
        <w:pStyle w:val="TextBody"/>
        <w:spacing w:lineRule="auto" w:line="276"/>
        <w:rPr/>
      </w:pPr>
      <w:r>
        <w:rPr>
          <w:rFonts w:cs="Arial" w:ascii="Calibri" w:hAnsi="Calibri"/>
          <w:b/>
          <w:bCs/>
          <w:szCs w:val="22"/>
          <w:lang w:val="ca-ES" w:eastAsia="en-US"/>
        </w:rPr>
        <w:t>Procedimiento de concesión</w:t>
      </w:r>
    </w:p>
    <w:p>
      <w:pPr>
        <w:pStyle w:val="TextBody"/>
        <w:spacing w:lineRule="auto" w:line="276"/>
        <w:rPr/>
      </w:pPr>
      <w:r>
        <w:rPr>
          <w:rFonts w:cs="Arial" w:ascii="Calibri" w:hAnsi="Calibri"/>
          <w:b/>
          <w:bCs/>
          <w:szCs w:val="22"/>
          <w:u w:val="single"/>
          <w:lang w:val="ca-ES" w:eastAsia="en-US"/>
        </w:rPr>
        <w:t>Artículo 9º. Concesión de régimen de competencia competitiva.</w:t>
      </w:r>
    </w:p>
    <w:p>
      <w:pPr>
        <w:pStyle w:val="TextBody"/>
        <w:spacing w:lineRule="auto" w:line="276"/>
        <w:rPr>
          <w:rFonts w:ascii="Calibri" w:hAnsi="Calibri" w:cs="Arial"/>
          <w:szCs w:val="22"/>
          <w:lang w:val="ca-ES" w:eastAsia="en-US"/>
        </w:rPr>
      </w:pPr>
      <w:r>
        <w:rPr>
          <w:rFonts w:cs="Arial" w:ascii="Calibri" w:hAnsi="Calibri"/>
          <w:szCs w:val="22"/>
          <w:lang w:val="ca-ES" w:eastAsia="en-US"/>
        </w:rPr>
        <w:t>El único procedimiento regulado en las bases se tramita en régimen de concurrencia competitiva, mediante el cual la concesión de la subvención se realiza por comparación de las solicitudes presentadas, en un único procedimiento de selección.</w:t>
      </w:r>
    </w:p>
    <w:p>
      <w:pPr>
        <w:pStyle w:val="TextBody"/>
        <w:spacing w:lineRule="auto" w:line="276"/>
        <w:rPr>
          <w:rFonts w:ascii="Calibri" w:hAnsi="Calibri" w:cs="Arial"/>
          <w:szCs w:val="22"/>
          <w:lang w:val="ca-ES" w:eastAsia="en-US"/>
        </w:rPr>
      </w:pPr>
      <w:r>
        <w:rPr>
          <w:rFonts w:cs="Arial" w:ascii="Calibri" w:hAnsi="Calibri"/>
          <w:szCs w:val="22"/>
          <w:lang w:val="ca-ES" w:eastAsia="en-US"/>
        </w:rPr>
      </w:r>
    </w:p>
    <w:p>
      <w:pPr>
        <w:pStyle w:val="TextBody"/>
        <w:spacing w:lineRule="auto" w:line="276"/>
        <w:rPr/>
      </w:pPr>
      <w:r>
        <w:rPr>
          <w:rFonts w:cs="Arial" w:ascii="Calibri" w:hAnsi="Calibri"/>
          <w:b/>
          <w:bCs/>
          <w:szCs w:val="22"/>
          <w:u w:val="single"/>
          <w:lang w:val="ca-ES" w:eastAsia="en-US"/>
        </w:rPr>
        <w:t>Artículo 10º. Presupuesto</w:t>
      </w:r>
    </w:p>
    <w:p>
      <w:pPr>
        <w:pStyle w:val="TextBody"/>
        <w:spacing w:lineRule="auto" w:line="276"/>
        <w:rPr>
          <w:rFonts w:ascii="Calibri" w:hAnsi="Calibri" w:cs="Arial"/>
          <w:szCs w:val="22"/>
          <w:lang w:val="ca-ES" w:eastAsia="en-US"/>
        </w:rPr>
      </w:pPr>
      <w:r>
        <w:rPr>
          <w:rFonts w:cs="Arial" w:ascii="Calibri" w:hAnsi="Calibri"/>
          <w:szCs w:val="22"/>
          <w:lang w:val="ca-ES" w:eastAsia="en-US"/>
        </w:rPr>
        <w:t>La cantidad máxima para atender a la subvención será la que anualmente el Pleno consigne. El presupuesto del ejercicio 2021 es de 4.500,00 €.</w:t>
      </w:r>
    </w:p>
    <w:p>
      <w:pPr>
        <w:pStyle w:val="TextBody"/>
        <w:spacing w:lineRule="auto" w:line="276"/>
        <w:rPr>
          <w:rFonts w:ascii="Calibri" w:hAnsi="Calibri" w:cs="Arial"/>
          <w:szCs w:val="22"/>
          <w:lang w:val="ca-ES" w:eastAsia="en-US"/>
        </w:rPr>
      </w:pPr>
      <w:r>
        <w:rPr>
          <w:rFonts w:cs="Arial" w:ascii="Calibri" w:hAnsi="Calibri"/>
          <w:szCs w:val="22"/>
          <w:lang w:val="ca-ES" w:eastAsia="en-US"/>
        </w:rPr>
        <w:t xml:space="preserve">La ayuda cubrirá el 100% del coste de la actividad extraescolar, hasta un máximo de 180,00 euros. </w:t>
      </w:r>
    </w:p>
    <w:p>
      <w:pPr>
        <w:pStyle w:val="TextBody"/>
        <w:spacing w:lineRule="auto" w:line="276"/>
        <w:rPr>
          <w:rFonts w:ascii="Calibri" w:hAnsi="Calibri" w:cs="Arial"/>
          <w:szCs w:val="22"/>
          <w:lang w:val="ca-ES" w:eastAsia="en-US"/>
        </w:rPr>
      </w:pPr>
      <w:r>
        <w:rPr>
          <w:rFonts w:cs="Arial" w:ascii="Calibri" w:hAnsi="Calibri"/>
          <w:szCs w:val="22"/>
          <w:lang w:val="ca-ES" w:eastAsia="en-US"/>
        </w:rPr>
        <w:t>Si no existe crédito suficiente para cubrir todas las concesiones, se actuará de la forma prevista en el artículo 13º.</w:t>
      </w:r>
    </w:p>
    <w:p>
      <w:pPr>
        <w:pStyle w:val="TextBody"/>
        <w:spacing w:lineRule="auto" w:line="276"/>
        <w:rPr>
          <w:rFonts w:ascii="Calibri" w:hAnsi="Calibri" w:cs="Arial"/>
          <w:szCs w:val="22"/>
          <w:lang w:val="ca-ES" w:eastAsia="en-US"/>
        </w:rPr>
      </w:pPr>
      <w:r>
        <w:rPr>
          <w:rFonts w:cs="Arial" w:ascii="Calibri" w:hAnsi="Calibri"/>
          <w:szCs w:val="22"/>
          <w:lang w:val="ca-ES" w:eastAsia="en-US"/>
        </w:rPr>
      </w:r>
    </w:p>
    <w:p>
      <w:pPr>
        <w:pStyle w:val="TextBody"/>
        <w:spacing w:lineRule="auto" w:line="276"/>
        <w:rPr>
          <w:rFonts w:ascii="Calibri" w:hAnsi="Calibri" w:cs="Arial"/>
          <w:b/>
          <w:b/>
          <w:bCs/>
          <w:szCs w:val="22"/>
          <w:u w:val="single"/>
          <w:lang w:val="ca-ES" w:eastAsia="en-US"/>
        </w:rPr>
      </w:pPr>
      <w:r>
        <w:rPr>
          <w:rFonts w:cs="Arial" w:ascii="Calibri" w:hAnsi="Calibri"/>
          <w:b/>
          <w:bCs/>
          <w:szCs w:val="22"/>
          <w:u w:val="single"/>
          <w:lang w:val="ca-ES" w:eastAsia="en-US"/>
        </w:rPr>
        <w:t>Artículo 11º. Tipo de subvención, plazo de solicitud y documentación a presentar.-</w:t>
      </w:r>
    </w:p>
    <w:p>
      <w:pPr>
        <w:pStyle w:val="Default"/>
        <w:jc w:val="both"/>
        <w:rPr>
          <w:rFonts w:cs="Arial"/>
          <w:kern w:val="2"/>
          <w:sz w:val="22"/>
          <w:szCs w:val="22"/>
          <w:lang w:eastAsia="es-ES" w:bidi="ks-Deva-IN"/>
        </w:rPr>
      </w:pPr>
      <w:r>
        <w:rPr>
          <w:rFonts w:cs="Arial"/>
          <w:kern w:val="2"/>
          <w:sz w:val="22"/>
          <w:szCs w:val="22"/>
          <w:lang w:eastAsia="es-ES" w:bidi="ks-Deva-IN"/>
        </w:rPr>
        <w:t>Las solicitudes se formularán en el modelo que figura como Anexo 1 de esta convocatoria. Se dirigirán al Paer Jefe de la Paería de Cervera, y se presentarán en el Registro de entrada de la Paería de Cervera o por cualquiera de los medios señalados en el artículo 16.4 de la Ley 39/2015, de 1 de octubre , del Procedimiento Administrativo Común de las Administraciones Públicas, en el plazo de un mes desde la publicación de esta convocatoria.</w:t>
      </w:r>
    </w:p>
    <w:p>
      <w:pPr>
        <w:pStyle w:val="TextBody"/>
        <w:spacing w:lineRule="auto" w:line="276"/>
        <w:rPr>
          <w:rFonts w:ascii="Calibri" w:hAnsi="Calibri" w:cs="Arial"/>
          <w:color w:val="000000"/>
          <w:szCs w:val="22"/>
          <w:lang w:val="ca-ES" w:eastAsia="en-US" w:bidi="ks-Deva-IN"/>
        </w:rPr>
      </w:pPr>
      <w:r>
        <w:rPr>
          <w:rFonts w:cs="Arial" w:ascii="Calibri" w:hAnsi="Calibri"/>
          <w:color w:val="000000"/>
          <w:szCs w:val="22"/>
          <w:lang w:val="ca-ES" w:eastAsia="en-US" w:bidi="ks-Deva-IN"/>
        </w:rPr>
        <w:t>La solicitud incluirá una autorización de la persona solicitante para que la Paeria acceda a la comprobación de los requisitos establecidos en el artículo 6º de esta convocatoria.</w:t>
      </w:r>
    </w:p>
    <w:p>
      <w:pPr>
        <w:pStyle w:val="Default"/>
        <w:rPr>
          <w:rFonts w:ascii="Calibri" w:hAnsi="Calibri" w:cs="Arial"/>
          <w:b/>
          <w:b/>
          <w:bCs/>
          <w:color w:val="000000"/>
          <w:sz w:val="22"/>
          <w:szCs w:val="22"/>
          <w:lang w:val="ca-ES" w:eastAsia="en-US" w:bidi="ks-Deva-IN"/>
        </w:rPr>
      </w:pPr>
      <w:r>
        <w:rPr>
          <w:rFonts w:cs="Arial"/>
          <w:b/>
          <w:bCs/>
          <w:color w:val="000000"/>
          <w:sz w:val="22"/>
          <w:szCs w:val="22"/>
          <w:lang w:val="ca-ES" w:eastAsia="en-US" w:bidi="ks-Deva-IN"/>
        </w:rPr>
      </w:r>
    </w:p>
    <w:p>
      <w:pPr>
        <w:pStyle w:val="Default"/>
        <w:rPr>
          <w:sz w:val="22"/>
          <w:szCs w:val="22"/>
          <w:u w:val="single"/>
        </w:rPr>
      </w:pPr>
      <w:r>
        <w:rPr>
          <w:b/>
          <w:bCs/>
          <w:sz w:val="22"/>
          <w:szCs w:val="22"/>
          <w:u w:val="single"/>
        </w:rPr>
        <w:t>Artículo 12º. Documentación incorrecta o incompleta</w:t>
      </w:r>
    </w:p>
    <w:p>
      <w:pPr>
        <w:pStyle w:val="TextBody"/>
        <w:spacing w:lineRule="auto" w:line="276"/>
        <w:rPr>
          <w:rFonts w:ascii="Calibri" w:hAnsi="Calibri" w:cs="Arial"/>
          <w:szCs w:val="22"/>
          <w:lang w:val="ca-ES" w:eastAsia="en-US"/>
        </w:rPr>
      </w:pPr>
      <w:r>
        <w:rPr>
          <w:rFonts w:cs="Arial" w:ascii="Calibri" w:hAnsi="Calibri"/>
          <w:szCs w:val="22"/>
          <w:lang w:val="ca-ES" w:eastAsia="en-US"/>
        </w:rPr>
        <w:t>En caso de que la documentación presentada sea incorrecta o incompleta, la Paeria de Cervera solicitará, por escrito, que se enmiende o complete durante un período de 10 días, advirtiendo que, en caso de incumplirse el plazo establecido , se archivará de oficio el expediente sin ningún trámite posterior.</w:t>
      </w:r>
    </w:p>
    <w:p>
      <w:pPr>
        <w:pStyle w:val="TextBody"/>
        <w:spacing w:lineRule="auto" w:line="276"/>
        <w:rPr>
          <w:rFonts w:ascii="Calibri" w:hAnsi="Calibri" w:cs="Arial"/>
          <w:szCs w:val="22"/>
          <w:lang w:val="ca-ES" w:eastAsia="en-US"/>
        </w:rPr>
      </w:pPr>
      <w:r>
        <w:rPr>
          <w:rFonts w:cs="Arial" w:ascii="Calibri" w:hAnsi="Calibri"/>
          <w:szCs w:val="22"/>
          <w:lang w:val="ca-ES" w:eastAsia="en-US"/>
        </w:rPr>
        <w:t>Asimismo, la Concejalía de Ciudadanía, Acción Social y Salud de la Paeria de Cervera podrá solicitar otra documentación que considere adecuada para valorar la solicitud.</w:t>
      </w:r>
    </w:p>
    <w:p>
      <w:pPr>
        <w:pStyle w:val="TextBody"/>
        <w:spacing w:lineRule="auto" w:line="276"/>
        <w:rPr>
          <w:rFonts w:ascii="Calibri" w:hAnsi="Calibri" w:cs="Arial"/>
          <w:b/>
          <w:b/>
          <w:bCs/>
          <w:szCs w:val="22"/>
          <w:lang w:val="ca-ES" w:eastAsia="en-US"/>
        </w:rPr>
      </w:pPr>
      <w:r>
        <w:rPr>
          <w:rFonts w:cs="Arial" w:ascii="Calibri" w:hAnsi="Calibri"/>
          <w:b/>
          <w:bCs/>
          <w:szCs w:val="22"/>
          <w:lang w:val="ca-ES" w:eastAsia="en-US"/>
        </w:rPr>
      </w:r>
    </w:p>
    <w:p>
      <w:pPr>
        <w:pStyle w:val="TextBody"/>
        <w:spacing w:lineRule="auto" w:line="276"/>
        <w:rPr>
          <w:rFonts w:ascii="Calibri" w:hAnsi="Calibri" w:cs="Arial"/>
          <w:b/>
          <w:b/>
          <w:bCs/>
          <w:szCs w:val="22"/>
          <w:lang w:val="ca-ES" w:eastAsia="en-US"/>
        </w:rPr>
      </w:pPr>
      <w:r>
        <w:rPr>
          <w:rFonts w:cs="Arial" w:ascii="Calibri" w:hAnsi="Calibri"/>
          <w:b/>
          <w:bCs/>
          <w:szCs w:val="22"/>
          <w:lang w:val="ca-ES" w:eastAsia="en-US"/>
        </w:rPr>
        <w:t>CAPITULO QUINTO</w:t>
      </w:r>
    </w:p>
    <w:p>
      <w:pPr>
        <w:pStyle w:val="TextBody"/>
        <w:spacing w:lineRule="auto" w:line="276"/>
        <w:rPr/>
      </w:pPr>
      <w:r>
        <w:rPr>
          <w:rFonts w:cs="Arial" w:ascii="Calibri" w:hAnsi="Calibri"/>
          <w:b/>
          <w:bCs/>
          <w:szCs w:val="22"/>
          <w:lang w:val="ca-ES" w:eastAsia="en-US"/>
        </w:rPr>
        <w:t>Criterios por la asignación de la subvención.</w:t>
      </w:r>
    </w:p>
    <w:p>
      <w:pPr>
        <w:pStyle w:val="TextBody"/>
        <w:spacing w:lineRule="auto" w:line="276"/>
        <w:rPr>
          <w:rFonts w:ascii="Calibri" w:hAnsi="Calibri" w:cs="Arial"/>
          <w:b/>
          <w:b/>
          <w:bCs/>
          <w:szCs w:val="22"/>
          <w:lang w:val="ca-ES" w:eastAsia="en-US"/>
        </w:rPr>
      </w:pPr>
      <w:r>
        <w:rPr>
          <w:rFonts w:cs="Arial" w:ascii="Calibri" w:hAnsi="Calibri"/>
          <w:b/>
          <w:bCs/>
          <w:szCs w:val="22"/>
          <w:lang w:val="ca-ES" w:eastAsia="en-US"/>
        </w:rPr>
        <w:t>Méritos y baremos</w:t>
      </w:r>
    </w:p>
    <w:p>
      <w:pPr>
        <w:pStyle w:val="TextBody"/>
        <w:spacing w:lineRule="auto" w:line="276"/>
        <w:rPr>
          <w:rFonts w:ascii="Calibri" w:hAnsi="Calibri" w:cs="Arial"/>
          <w:b/>
          <w:b/>
          <w:bCs/>
          <w:szCs w:val="22"/>
          <w:u w:val="single"/>
          <w:lang w:val="ca-ES" w:eastAsia="en-US"/>
        </w:rPr>
      </w:pPr>
      <w:r>
        <w:rPr>
          <w:rFonts w:cs="Arial" w:ascii="Calibri" w:hAnsi="Calibri"/>
          <w:b/>
          <w:bCs/>
          <w:szCs w:val="22"/>
          <w:u w:val="single"/>
          <w:lang w:val="ca-ES" w:eastAsia="en-US"/>
        </w:rPr>
        <w:t>Artículo 13º. Criterios y asignación-.</w:t>
      </w:r>
    </w:p>
    <w:p>
      <w:pPr>
        <w:pStyle w:val="TextBody"/>
        <w:spacing w:lineRule="auto" w:line="276"/>
        <w:rPr>
          <w:rFonts w:ascii="Calibri" w:hAnsi="Calibri" w:cs="Arial"/>
          <w:b/>
          <w:b/>
          <w:bCs/>
          <w:szCs w:val="22"/>
          <w:u w:val="single"/>
          <w:lang w:val="ca-ES" w:eastAsia="en-US"/>
        </w:rPr>
      </w:pPr>
      <w:r>
        <w:rPr>
          <w:rFonts w:cs="Arial" w:ascii="Calibri" w:hAnsi="Calibri"/>
          <w:b/>
          <w:bCs/>
          <w:szCs w:val="22"/>
          <w:u w:val="single"/>
          <w:lang w:val="ca-ES" w:eastAsia="en-US"/>
        </w:rPr>
        <w:t>13.1 Puntuación</w:t>
      </w:r>
    </w:p>
    <w:p>
      <w:pPr>
        <w:pStyle w:val="Normal"/>
        <w:shd w:fill="FFFFFF" w:val="clear"/>
        <w:spacing w:lineRule="auto" w:line="276"/>
        <w:jc w:val="both"/>
        <w:rPr>
          <w:rFonts w:cs="Arial"/>
        </w:rPr>
      </w:pPr>
      <w:r>
        <w:rPr>
          <w:rFonts w:cs="Arial"/>
        </w:rPr>
        <w:t>La valoración de las solicitudes se realizará en base a una escala de puntuación.</w:t>
      </w:r>
    </w:p>
    <w:p>
      <w:pPr>
        <w:pStyle w:val="Normal"/>
        <w:shd w:fill="FFFFFF" w:val="clear"/>
        <w:spacing w:lineRule="auto" w:line="276"/>
        <w:jc w:val="both"/>
        <w:rPr>
          <w:rFonts w:cs="Arial"/>
        </w:rPr>
      </w:pPr>
      <w:r>
        <w:rPr>
          <w:rFonts w:cs="Arial"/>
        </w:rPr>
        <w:t>En todos los casos, para determinar la puntuación se tendrán en cuenta los siguientes criterios:</w:t>
      </w:r>
    </w:p>
    <w:p>
      <w:pPr>
        <w:pStyle w:val="Normal"/>
        <w:shd w:fill="FFFFFF" w:val="clear"/>
        <w:spacing w:lineRule="auto" w:line="276"/>
        <w:jc w:val="both"/>
        <w:rPr>
          <w:rFonts w:cs="Arial"/>
        </w:rPr>
      </w:pPr>
      <w:r>
        <w:rPr>
          <w:rFonts w:cs="Arial"/>
        </w:rPr>
      </w:r>
    </w:p>
    <w:p>
      <w:pPr>
        <w:pStyle w:val="TextBody"/>
        <w:widowControl w:val="false"/>
        <w:numPr>
          <w:ilvl w:val="0"/>
          <w:numId w:val="9"/>
        </w:numPr>
        <w:suppressAutoHyphens w:val="true"/>
        <w:overflowPunct w:val="true"/>
        <w:autoSpaceDE w:val="true"/>
        <w:spacing w:lineRule="auto" w:line="276" w:before="0" w:after="120"/>
        <w:textAlignment w:val="auto"/>
        <w:rPr>
          <w:rFonts w:ascii="Calibri" w:hAnsi="Calibri" w:cs="Calibri"/>
          <w:bCs/>
          <w:szCs w:val="22"/>
          <w:lang w:val="ca-ES" w:eastAsia="en-US"/>
        </w:rPr>
      </w:pPr>
      <w:r>
        <w:rPr>
          <w:rFonts w:cs="Calibri" w:ascii="Calibri" w:hAnsi="Calibri"/>
          <w:bCs/>
          <w:szCs w:val="22"/>
          <w:lang w:val="ca-ES" w:eastAsia="en-US"/>
        </w:rPr>
        <w:t>La subvención se puede conseguir teniendo en cuenta los siguientes indicadores con la correspondiente asignación de puntos que constan en la tabla que hay a continuación:</w:t>
      </w:r>
    </w:p>
    <w:p>
      <w:pPr>
        <w:pStyle w:val="TextBody"/>
        <w:spacing w:lineRule="auto" w:line="276"/>
        <w:ind w:start="720" w:hanging="0"/>
        <w:rPr>
          <w:rFonts w:ascii="Calibri" w:hAnsi="Calibri" w:cs="Calibri"/>
          <w:b/>
          <w:b/>
          <w:szCs w:val="22"/>
          <w:u w:val="single"/>
          <w:lang w:val="ca-ES" w:eastAsia="en-US"/>
        </w:rPr>
      </w:pPr>
      <w:r>
        <w:rPr>
          <w:rFonts w:cs="Calibri" w:ascii="Calibri" w:hAnsi="Calibri"/>
          <w:b/>
          <w:szCs w:val="22"/>
          <w:u w:val="single"/>
          <w:lang w:val="ca-ES" w:eastAsia="en-US"/>
        </w:rPr>
      </w:r>
      <w:r>
        <mc:AlternateContent>
          <mc:Choice Requires="wps">
            <w:drawing>
              <wp:anchor behindDoc="0" distT="0" distB="0" distL="89535" distR="89535" simplePos="0" locked="0" layoutInCell="0" allowOverlap="1" relativeHeight="2">
                <wp:simplePos x="0" y="0"/>
                <wp:positionH relativeFrom="margin">
                  <wp:align>center</wp:align>
                </wp:positionH>
                <wp:positionV relativeFrom="paragraph">
                  <wp:posOffset>10795</wp:posOffset>
                </wp:positionV>
                <wp:extent cx="4737100" cy="876300"/>
                <wp:effectExtent l="0" t="0" r="0" b="0"/>
                <wp:wrapSquare wrapText="bothSides"/>
                <wp:docPr id="1" name="Frame1"/>
                <a:graphic xmlns:a="http://schemas.openxmlformats.org/drawingml/2006/main">
                  <a:graphicData uri="http://schemas.microsoft.com/office/word/2010/wordprocessingShape">
                    <wps:wsp>
                      <wps:cNvSpPr txBox="1"/>
                      <wps:spPr>
                        <a:xfrm>
                          <a:off x="0" y="0"/>
                          <a:ext cx="4737100" cy="876300"/>
                        </a:xfrm>
                        <a:prstGeom prst="rect"/>
                        <a:solidFill>
                          <a:srgbClr val="FFFFFF">
                            <a:alpha val="0"/>
                          </a:srgbClr>
                        </a:solidFill>
                      </wps:spPr>
                      <wps:txbx>
                        <w:txbxContent>
                          <w:tbl>
                            <w:tblPr>
                              <w:tblW w:w="7460" w:type="dxa"/>
                              <w:jc w:val="start"/>
                              <w:tblInd w:w="-5" w:type="dxa"/>
                              <w:tblLayout w:type="fixed"/>
                              <w:tblCellMar>
                                <w:top w:w="0" w:type="dxa"/>
                                <w:start w:w="70" w:type="dxa"/>
                                <w:bottom w:w="0" w:type="dxa"/>
                                <w:end w:w="70" w:type="dxa"/>
                              </w:tblCellMar>
                            </w:tblPr>
                            <w:tblGrid>
                              <w:gridCol w:w="7460"/>
                            </w:tblGrid>
                            <w:tr>
                              <w:trPr>
                                <w:trHeight w:val="113" w:hRule="atLeast"/>
                              </w:trPr>
                              <w:tc>
                                <w:tcPr>
                                  <w:tcW w:w="7460" w:type="dxa"/>
                                  <w:tcBorders>
                                    <w:top w:val="single" w:sz="4" w:space="0" w:color="000000"/>
                                    <w:start w:val="single" w:sz="4" w:space="0" w:color="000000"/>
                                    <w:bottom w:val="single" w:sz="4" w:space="0" w:color="000000"/>
                                    <w:end w:val="single" w:sz="4" w:space="0" w:color="000000"/>
                                  </w:tcBorders>
                                  <w:shd w:fill="D9D9D9" w:val="clear"/>
                                  <w:vAlign w:val="center"/>
                                </w:tcPr>
                                <w:p>
                                  <w:pPr>
                                    <w:pStyle w:val="Normal"/>
                                    <w:jc w:val="center"/>
                                    <w:rPr>
                                      <w:rFonts w:eastAsia="Times New Roman" w:cs="Calibri"/>
                                      <w:b/>
                                      <w:b/>
                                      <w:bCs/>
                                      <w:color w:val="000000"/>
                                      <w:lang w:eastAsia="ca-ES"/>
                                    </w:rPr>
                                  </w:pPr>
                                  <w:r>
                                    <w:rPr>
                                      <w:rFonts w:eastAsia="Times New Roman" w:cs="Calibri"/>
                                      <w:b/>
                                      <w:bCs/>
                                      <w:color w:val="000000"/>
                                      <w:lang w:eastAsia="ca-ES"/>
                                    </w:rPr>
                                    <w:t>INDICADORES VALORACIÓN SOCIAL</w:t>
                                  </w:r>
                                </w:p>
                              </w:tc>
                            </w:tr>
                            <w:tr>
                              <w:trPr>
                                <w:trHeight w:val="113" w:hRule="atLeast"/>
                              </w:trPr>
                              <w:tc>
                                <w:tcPr>
                                  <w:tcW w:w="7460" w:type="dxa"/>
                                  <w:tcBorders>
                                    <w:top w:val="single" w:sz="4" w:space="0" w:color="000000"/>
                                    <w:start w:val="single" w:sz="4" w:space="0" w:color="000000"/>
                                    <w:bottom w:val="single" w:sz="4" w:space="0" w:color="000000"/>
                                    <w:end w:val="single" w:sz="4" w:space="0" w:color="000000"/>
                                  </w:tcBorders>
                                  <w:vAlign w:val="center"/>
                                </w:tcPr>
                                <w:p>
                                  <w:pPr>
                                    <w:pStyle w:val="Normal"/>
                                    <w:rPr>
                                      <w:rFonts w:eastAsia="Times New Roman" w:cs="Calibri"/>
                                      <w:b/>
                                      <w:b/>
                                      <w:bCs/>
                                      <w:color w:val="000000"/>
                                      <w:lang w:eastAsia="ca-ES"/>
                                    </w:rPr>
                                  </w:pPr>
                                  <w:r>
                                    <w:rPr>
                                      <w:rFonts w:eastAsia="Times New Roman" w:cs="Calibri"/>
                                      <w:b/>
                                      <w:bCs/>
                                      <w:color w:val="000000"/>
                                      <w:sz w:val="20"/>
                                      <w:szCs w:val="20"/>
                                      <w:lang w:eastAsia="ca-ES"/>
                                    </w:rPr>
                                    <w:t>Situación familiar:</w:t>
                                  </w:r>
                                </w:p>
                              </w:tc>
                            </w:tr>
                            <w:tr>
                              <w:trPr>
                                <w:trHeight w:val="113" w:hRule="atLeast"/>
                              </w:trPr>
                              <w:tc>
                                <w:tcPr>
                                  <w:tcW w:w="7460" w:type="dxa"/>
                                  <w:tcBorders>
                                    <w:top w:val="single" w:sz="4" w:space="0" w:color="000000"/>
                                    <w:start w:val="single" w:sz="4" w:space="0" w:color="000000"/>
                                    <w:bottom w:val="single" w:sz="4" w:space="0" w:color="000000"/>
                                    <w:end w:val="single" w:sz="4" w:space="0" w:color="000000"/>
                                  </w:tcBorders>
                                  <w:vAlign w:val="center"/>
                                </w:tcPr>
                                <w:p>
                                  <w:pPr>
                                    <w:pStyle w:val="Normal"/>
                                    <w:rPr>
                                      <w:rFonts w:eastAsia="Times New Roman" w:cs="Calibri"/>
                                      <w:b/>
                                      <w:b/>
                                      <w:bCs/>
                                      <w:color w:val="000000"/>
                                      <w:lang w:eastAsia="ca-ES"/>
                                    </w:rPr>
                                  </w:pPr>
                                  <w:r>
                                    <w:rPr>
                                      <w:rFonts w:eastAsia="Times New Roman" w:cs="Calibri"/>
                                      <w:color w:val="000000"/>
                                      <w:lang w:eastAsia="ca-ES"/>
                                    </w:rPr>
                                    <w:t>*Familia monoparental con carnet (1 punto)</w:t>
                                  </w:r>
                                </w:p>
                              </w:tc>
                            </w:tr>
                            <w:tr>
                              <w:trPr>
                                <w:trHeight w:val="113" w:hRule="atLeast"/>
                              </w:trPr>
                              <w:tc>
                                <w:tcPr>
                                  <w:tcW w:w="7460" w:type="dxa"/>
                                  <w:tcBorders>
                                    <w:top w:val="single" w:sz="4" w:space="0" w:color="000000"/>
                                    <w:start w:val="single" w:sz="4" w:space="0" w:color="000000"/>
                                    <w:bottom w:val="single" w:sz="4" w:space="0" w:color="000000"/>
                                    <w:end w:val="single" w:sz="4" w:space="0" w:color="000000"/>
                                  </w:tcBorders>
                                  <w:vAlign w:val="center"/>
                                </w:tcPr>
                                <w:p>
                                  <w:pPr>
                                    <w:pStyle w:val="Normal"/>
                                    <w:rPr>
                                      <w:rFonts w:eastAsia="Times New Roman" w:cs="Calibri"/>
                                      <w:b/>
                                      <w:b/>
                                      <w:bCs/>
                                      <w:color w:val="000000"/>
                                      <w:lang w:eastAsia="ca-ES"/>
                                    </w:rPr>
                                  </w:pPr>
                                  <w:r>
                                    <w:rPr>
                                      <w:rFonts w:eastAsia="Times New Roman" w:cs="Calibri"/>
                                      <w:color w:val="000000"/>
                                      <w:lang w:eastAsia="ca-ES"/>
                                    </w:rPr>
                                    <w:t xml:space="preserve">*Número de hijos por familia ( 0.5 puntos por hijo/a)</w:t>
                                  </w:r>
                                </w:p>
                              </w:tc>
                            </w:tr>
                            <w:tr>
                              <w:trPr>
                                <w:trHeight w:val="113" w:hRule="atLeast"/>
                              </w:trPr>
                              <w:tc>
                                <w:tcPr>
                                  <w:tcW w:w="7460" w:type="dxa"/>
                                  <w:tcBorders>
                                    <w:top w:val="single" w:sz="4" w:space="0" w:color="000000"/>
                                    <w:start w:val="single" w:sz="4" w:space="0" w:color="000000"/>
                                    <w:bottom w:val="single" w:sz="4" w:space="0" w:color="000000"/>
                                    <w:end w:val="single" w:sz="4" w:space="0" w:color="000000"/>
                                  </w:tcBorders>
                                </w:tcPr>
                                <w:p>
                                  <w:pPr>
                                    <w:pStyle w:val="Normal"/>
                                    <w:rPr>
                                      <w:rFonts w:eastAsia="Times New Roman" w:cs="Calibri"/>
                                      <w:b/>
                                      <w:b/>
                                      <w:bCs/>
                                      <w:color w:val="000000"/>
                                      <w:lang w:eastAsia="ca-ES"/>
                                    </w:rPr>
                                  </w:pPr>
                                  <w:r>
                                    <w:rPr>
                                      <w:rFonts w:cs="Calibri"/>
                                      <w:color w:val="000000"/>
                                    </w:rPr>
                                    <w:t xml:space="preserve">*Familia con discapacidad con certificado ( 1 punto por persona con discapacidad en la familia) </w:t>
                                  </w:r>
                                </w:p>
                              </w:tc>
                            </w:tr>
                          </w:tbl>
                        </w:txbxContent>
                      </wps:txbx>
                      <wps:bodyPr anchor="t" lIns="0" tIns="0" rIns="0" bIns="0">
                        <a:noAutofit/>
                      </wps:bodyPr>
                    </wps:wsp>
                  </a:graphicData>
                </a:graphic>
              </wp:anchor>
            </w:drawing>
          </mc:Choice>
          <mc:Fallback>
            <w:pict>
              <v:rect fillcolor="#FFFFFF" style="position:absolute;rotation:0;width:373pt;height:69pt;mso-wrap-distance-left:7.05pt;mso-wrap-distance-right:7.05pt;mso-wrap-distance-top:0pt;mso-wrap-distance-bottom:0pt;margin-top:0.85pt;mso-position-vertical-relative:text;margin-left:26.1pt;mso-position-horizontal:center;mso-position-horizontal-relative:margin">
                <v:fill opacity="0f"/>
                <v:textbox inset="0in,0in,0in,0in">
                  <w:txbxContent>
                    <w:tbl>
                      <w:tblPr>
                        <w:tblW w:w="7460" w:type="dxa"/>
                        <w:jc w:val="start"/>
                        <w:tblInd w:w="-5" w:type="dxa"/>
                        <w:tblLayout w:type="fixed"/>
                        <w:tblCellMar>
                          <w:top w:w="0" w:type="dxa"/>
                          <w:start w:w="70" w:type="dxa"/>
                          <w:bottom w:w="0" w:type="dxa"/>
                          <w:end w:w="70" w:type="dxa"/>
                        </w:tblCellMar>
                      </w:tblPr>
                      <w:tblGrid>
                        <w:gridCol w:w="7460"/>
                      </w:tblGrid>
                      <w:tr>
                        <w:trPr>
                          <w:trHeight w:val="113" w:hRule="atLeast"/>
                        </w:trPr>
                        <w:tc>
                          <w:tcPr>
                            <w:tcW w:w="7460" w:type="dxa"/>
                            <w:tcBorders>
                              <w:top w:val="single" w:sz="4" w:space="0" w:color="000000"/>
                              <w:start w:val="single" w:sz="4" w:space="0" w:color="000000"/>
                              <w:bottom w:val="single" w:sz="4" w:space="0" w:color="000000"/>
                              <w:end w:val="single" w:sz="4" w:space="0" w:color="000000"/>
                            </w:tcBorders>
                            <w:shd w:fill="D9D9D9" w:val="clear"/>
                            <w:vAlign w:val="center"/>
                          </w:tcPr>
                          <w:p>
                            <w:pPr>
                              <w:pStyle w:val="Normal"/>
                              <w:jc w:val="center"/>
                              <w:rPr>
                                <w:rFonts w:eastAsia="Times New Roman" w:cs="Calibri"/>
                                <w:b/>
                                <w:b/>
                                <w:bCs/>
                                <w:color w:val="000000"/>
                                <w:lang w:eastAsia="ca-ES"/>
                              </w:rPr>
                            </w:pPr>
                            <w:r>
                              <w:rPr>
                                <w:rFonts w:eastAsia="Times New Roman" w:cs="Calibri"/>
                                <w:b/>
                                <w:bCs/>
                                <w:color w:val="000000"/>
                                <w:lang w:eastAsia="ca-ES"/>
                              </w:rPr>
                              <w:t>INDICADORES VALORACIÓN SOCIAL</w:t>
                            </w:r>
                          </w:p>
                        </w:tc>
                      </w:tr>
                      <w:tr>
                        <w:trPr>
                          <w:trHeight w:val="113" w:hRule="atLeast"/>
                        </w:trPr>
                        <w:tc>
                          <w:tcPr>
                            <w:tcW w:w="7460" w:type="dxa"/>
                            <w:tcBorders>
                              <w:top w:val="single" w:sz="4" w:space="0" w:color="000000"/>
                              <w:start w:val="single" w:sz="4" w:space="0" w:color="000000"/>
                              <w:bottom w:val="single" w:sz="4" w:space="0" w:color="000000"/>
                              <w:end w:val="single" w:sz="4" w:space="0" w:color="000000"/>
                            </w:tcBorders>
                            <w:vAlign w:val="center"/>
                          </w:tcPr>
                          <w:p>
                            <w:pPr>
                              <w:pStyle w:val="Normal"/>
                              <w:rPr>
                                <w:rFonts w:eastAsia="Times New Roman" w:cs="Calibri"/>
                                <w:b/>
                                <w:b/>
                                <w:bCs/>
                                <w:color w:val="000000"/>
                                <w:lang w:eastAsia="ca-ES"/>
                              </w:rPr>
                            </w:pPr>
                            <w:r>
                              <w:rPr>
                                <w:rFonts w:eastAsia="Times New Roman" w:cs="Calibri"/>
                                <w:b/>
                                <w:bCs/>
                                <w:color w:val="000000"/>
                                <w:sz w:val="20"/>
                                <w:szCs w:val="20"/>
                                <w:lang w:eastAsia="ca-ES"/>
                              </w:rPr>
                              <w:t>Situación familiar:</w:t>
                            </w:r>
                          </w:p>
                        </w:tc>
                      </w:tr>
                      <w:tr>
                        <w:trPr>
                          <w:trHeight w:val="113" w:hRule="atLeast"/>
                        </w:trPr>
                        <w:tc>
                          <w:tcPr>
                            <w:tcW w:w="7460" w:type="dxa"/>
                            <w:tcBorders>
                              <w:top w:val="single" w:sz="4" w:space="0" w:color="000000"/>
                              <w:start w:val="single" w:sz="4" w:space="0" w:color="000000"/>
                              <w:bottom w:val="single" w:sz="4" w:space="0" w:color="000000"/>
                              <w:end w:val="single" w:sz="4" w:space="0" w:color="000000"/>
                            </w:tcBorders>
                            <w:vAlign w:val="center"/>
                          </w:tcPr>
                          <w:p>
                            <w:pPr>
                              <w:pStyle w:val="Normal"/>
                              <w:rPr>
                                <w:rFonts w:eastAsia="Times New Roman" w:cs="Calibri"/>
                                <w:b/>
                                <w:b/>
                                <w:bCs/>
                                <w:color w:val="000000"/>
                                <w:lang w:eastAsia="ca-ES"/>
                              </w:rPr>
                            </w:pPr>
                            <w:r>
                              <w:rPr>
                                <w:rFonts w:eastAsia="Times New Roman" w:cs="Calibri"/>
                                <w:color w:val="000000"/>
                                <w:lang w:eastAsia="ca-ES"/>
                              </w:rPr>
                              <w:t>*Familia monoparental con carnet (1 punto)</w:t>
                            </w:r>
                          </w:p>
                        </w:tc>
                      </w:tr>
                      <w:tr>
                        <w:trPr>
                          <w:trHeight w:val="113" w:hRule="atLeast"/>
                        </w:trPr>
                        <w:tc>
                          <w:tcPr>
                            <w:tcW w:w="7460" w:type="dxa"/>
                            <w:tcBorders>
                              <w:top w:val="single" w:sz="4" w:space="0" w:color="000000"/>
                              <w:start w:val="single" w:sz="4" w:space="0" w:color="000000"/>
                              <w:bottom w:val="single" w:sz="4" w:space="0" w:color="000000"/>
                              <w:end w:val="single" w:sz="4" w:space="0" w:color="000000"/>
                            </w:tcBorders>
                            <w:vAlign w:val="center"/>
                          </w:tcPr>
                          <w:p>
                            <w:pPr>
                              <w:pStyle w:val="Normal"/>
                              <w:rPr>
                                <w:rFonts w:eastAsia="Times New Roman" w:cs="Calibri"/>
                                <w:b/>
                                <w:b/>
                                <w:bCs/>
                                <w:color w:val="000000"/>
                                <w:lang w:eastAsia="ca-ES"/>
                              </w:rPr>
                            </w:pPr>
                            <w:r>
                              <w:rPr>
                                <w:rFonts w:eastAsia="Times New Roman" w:cs="Calibri"/>
                                <w:color w:val="000000"/>
                                <w:lang w:eastAsia="ca-ES"/>
                              </w:rPr>
                              <w:t xml:space="preserve">*Número de hijos por familia ( 0.5 puntos por hijo/a)</w:t>
                            </w:r>
                          </w:p>
                        </w:tc>
                      </w:tr>
                      <w:tr>
                        <w:trPr>
                          <w:trHeight w:val="113" w:hRule="atLeast"/>
                        </w:trPr>
                        <w:tc>
                          <w:tcPr>
                            <w:tcW w:w="7460" w:type="dxa"/>
                            <w:tcBorders>
                              <w:top w:val="single" w:sz="4" w:space="0" w:color="000000"/>
                              <w:start w:val="single" w:sz="4" w:space="0" w:color="000000"/>
                              <w:bottom w:val="single" w:sz="4" w:space="0" w:color="000000"/>
                              <w:end w:val="single" w:sz="4" w:space="0" w:color="000000"/>
                            </w:tcBorders>
                          </w:tcPr>
                          <w:p>
                            <w:pPr>
                              <w:pStyle w:val="Normal"/>
                              <w:rPr>
                                <w:rFonts w:eastAsia="Times New Roman" w:cs="Calibri"/>
                                <w:b/>
                                <w:b/>
                                <w:bCs/>
                                <w:color w:val="000000"/>
                                <w:lang w:eastAsia="ca-ES"/>
                              </w:rPr>
                            </w:pPr>
                            <w:r>
                              <w:rPr>
                                <w:rFonts w:cs="Calibri"/>
                                <w:color w:val="000000"/>
                              </w:rPr>
                              <w:t xml:space="preserve">*Familia con discapacidad con certificado ( 1 punto por persona con discapacidad en la familia) </w:t>
                            </w:r>
                          </w:p>
                        </w:tc>
                      </w:tr>
                    </w:tbl>
                  </w:txbxContent>
                </v:textbox>
                <w10:wrap type="square"/>
              </v:rect>
            </w:pict>
          </mc:Fallback>
        </mc:AlternateContent>
      </w:r>
    </w:p>
    <w:p>
      <w:pPr>
        <w:pStyle w:val="TextBody"/>
        <w:widowControl w:val="false"/>
        <w:numPr>
          <w:ilvl w:val="0"/>
          <w:numId w:val="9"/>
        </w:numPr>
        <w:suppressAutoHyphens w:val="true"/>
        <w:overflowPunct w:val="true"/>
        <w:autoSpaceDE w:val="true"/>
        <w:spacing w:lineRule="auto" w:line="276" w:before="0" w:after="120"/>
        <w:textAlignment w:val="auto"/>
        <w:rPr>
          <w:rFonts w:ascii="Calibri" w:hAnsi="Calibri" w:cs="Arial"/>
          <w:szCs w:val="22"/>
          <w:lang w:val="ca-ES" w:eastAsia="en-US"/>
        </w:rPr>
      </w:pPr>
      <w:r>
        <w:rPr>
          <w:rFonts w:cs="Arial" w:ascii="Calibri" w:hAnsi="Calibri"/>
          <w:szCs w:val="22"/>
          <w:lang w:val="ca-ES" w:eastAsia="en-US"/>
        </w:rPr>
        <w:t>La subvención de la Paeria no podrá superar en ningún caso el 100% del coste de la actividad. El importe total de la subvención no podrá ser nunca de una cuantía que en concurrencia con otras subvenciones o ayudas recibidas de otras administraciones o entes públicos o privados, supere el coste que tiene la actividad.</w:t>
      </w:r>
    </w:p>
    <w:p>
      <w:pPr>
        <w:pStyle w:val="TextBody"/>
        <w:widowControl w:val="false"/>
        <w:numPr>
          <w:ilvl w:val="0"/>
          <w:numId w:val="9"/>
        </w:numPr>
        <w:suppressAutoHyphens w:val="true"/>
        <w:overflowPunct w:val="true"/>
        <w:autoSpaceDE w:val="true"/>
        <w:spacing w:lineRule="auto" w:line="276" w:before="0" w:after="120"/>
        <w:textAlignment w:val="auto"/>
        <w:rPr>
          <w:rFonts w:ascii="Calibri" w:hAnsi="Calibri" w:cs="Arial"/>
          <w:szCs w:val="22"/>
          <w:lang w:val="ca-ES" w:eastAsia="en-US"/>
        </w:rPr>
      </w:pPr>
      <w:r>
        <w:rPr>
          <w:rFonts w:cs="Arial" w:ascii="Calibri" w:hAnsi="Calibri"/>
          <w:szCs w:val="22"/>
          <w:lang w:val="ca-ES" w:eastAsia="en-US"/>
        </w:rPr>
        <w:t xml:space="preserve">El importe de la subvención queda establecido con un máximo de 180,00 € </w:t>
      </w:r>
    </w:p>
    <w:p>
      <w:pPr>
        <w:pStyle w:val="TextBody"/>
        <w:spacing w:lineRule="auto" w:line="276"/>
        <w:ind w:start="720" w:hanging="0"/>
        <w:rPr>
          <w:rFonts w:ascii="Calibri" w:hAnsi="Calibri" w:cs="Arial"/>
          <w:szCs w:val="22"/>
          <w:lang w:val="ca-ES" w:eastAsia="en-US"/>
        </w:rPr>
      </w:pPr>
      <w:r>
        <w:rPr>
          <w:rFonts w:cs="Arial" w:ascii="Calibri" w:hAnsi="Calibri"/>
          <w:szCs w:val="22"/>
          <w:lang w:val="ca-ES" w:eastAsia="en-US"/>
        </w:rPr>
      </w:r>
    </w:p>
    <w:p>
      <w:pPr>
        <w:pStyle w:val="TextBody"/>
        <w:spacing w:lineRule="auto" w:line="276"/>
        <w:rPr>
          <w:rFonts w:ascii="Calibri" w:hAnsi="Calibri" w:cs="Calibri"/>
          <w:b/>
          <w:b/>
          <w:szCs w:val="22"/>
          <w:u w:val="single"/>
          <w:lang w:val="ca-ES" w:eastAsia="en-US"/>
        </w:rPr>
      </w:pPr>
      <w:bookmarkStart w:id="0" w:name="_Hlk5948195"/>
      <w:bookmarkEnd w:id="0"/>
      <w:r>
        <w:rPr>
          <w:rFonts w:cs="Calibri" w:ascii="Calibri" w:hAnsi="Calibri"/>
          <w:b/>
          <w:szCs w:val="22"/>
          <w:u w:val="single"/>
          <w:lang w:val="ca-ES" w:eastAsia="en-US"/>
        </w:rPr>
        <w:t>13.2 Asignación de actividad</w:t>
      </w:r>
    </w:p>
    <w:p>
      <w:pPr>
        <w:pStyle w:val="TextBody"/>
        <w:spacing w:lineRule="auto" w:line="276"/>
        <w:rPr>
          <w:rFonts w:ascii="Calibri" w:hAnsi="Calibri" w:cs="Calibri"/>
          <w:szCs w:val="22"/>
          <w:lang w:val="ca-ES" w:eastAsia="en-US"/>
        </w:rPr>
      </w:pPr>
      <w:r>
        <w:rPr>
          <w:rFonts w:cs="Calibri" w:ascii="Calibri" w:hAnsi="Calibri"/>
          <w:szCs w:val="22"/>
          <w:lang w:val="ca-ES" w:eastAsia="en-US"/>
        </w:rPr>
        <w:t xml:space="preserve">El órgano competente para la instrucción del procedimiento asignará, de acuerdo con la disponibilidad de plazas, la actividad que podrá realizar cada niño o jóvenes, por orden de puntuación, según presupuesto. </w:t>
      </w:r>
    </w:p>
    <w:p>
      <w:pPr>
        <w:pStyle w:val="TextBody"/>
        <w:spacing w:lineRule="auto" w:line="276"/>
        <w:rPr>
          <w:rFonts w:ascii="Calibri" w:hAnsi="Calibri" w:cs="Calibri"/>
          <w:szCs w:val="22"/>
          <w:lang w:val="ca-ES" w:eastAsia="en-US"/>
        </w:rPr>
      </w:pPr>
      <w:bookmarkStart w:id="1" w:name="_Hlk5948195"/>
      <w:bookmarkEnd w:id="1"/>
      <w:r>
        <w:rPr>
          <w:rFonts w:cs="Calibri" w:ascii="Calibri" w:hAnsi="Calibri"/>
          <w:szCs w:val="22"/>
          <w:lang w:val="ca-ES" w:eastAsia="en-US"/>
        </w:rPr>
        <w:t>Esta ayuda se adaptará de acuerdo con las condiciones del Covid-19 vigentes en la fecha de la solicitud y también en función de la disponibilidad de plazas que tenga la entidad.</w:t>
      </w:r>
    </w:p>
    <w:p>
      <w:pPr>
        <w:pStyle w:val="TextBody"/>
        <w:spacing w:lineRule="auto" w:line="276"/>
        <w:rPr>
          <w:rFonts w:ascii="Calibri" w:hAnsi="Calibri" w:cs="Arial"/>
          <w:szCs w:val="22"/>
          <w:lang w:val="ca-ES" w:eastAsia="en-US"/>
        </w:rPr>
      </w:pPr>
      <w:r>
        <w:rPr>
          <w:rFonts w:cs="Calibri" w:ascii="Calibri" w:hAnsi="Calibri"/>
          <w:szCs w:val="22"/>
          <w:lang w:val="ca-ES" w:eastAsia="en-US"/>
        </w:rPr>
        <w:t xml:space="preserve">Si a la actividad que se les ha asignado finalmente no se realiza, </w:t>
      </w:r>
      <w:r>
        <w:rPr>
          <w:rFonts w:cs="Arial" w:ascii="Calibri" w:hAnsi="Calibri"/>
          <w:szCs w:val="22"/>
          <w:lang w:val="ca-ES" w:eastAsia="en-US"/>
        </w:rPr>
        <w:t>se procederá de oficio a su revocación.</w:t>
      </w:r>
    </w:p>
    <w:p>
      <w:pPr>
        <w:pStyle w:val="TextBody"/>
        <w:spacing w:lineRule="auto" w:line="276"/>
        <w:rPr>
          <w:rFonts w:ascii="Calibri" w:hAnsi="Calibri" w:cs="Arial"/>
          <w:b/>
          <w:b/>
          <w:bCs/>
          <w:szCs w:val="22"/>
          <w:u w:val="single"/>
          <w:lang w:val="ca-ES" w:eastAsia="en-US"/>
        </w:rPr>
      </w:pPr>
      <w:r>
        <w:rPr>
          <w:rFonts w:cs="Arial" w:ascii="Calibri" w:hAnsi="Calibri"/>
          <w:b/>
          <w:bCs/>
          <w:szCs w:val="22"/>
          <w:u w:val="single"/>
          <w:lang w:val="ca-ES" w:eastAsia="en-US"/>
        </w:rPr>
        <w:t>13.3 Asignación de ayuda</w:t>
      </w:r>
    </w:p>
    <w:p>
      <w:pPr>
        <w:pStyle w:val="TextBody"/>
        <w:spacing w:lineRule="auto" w:line="276"/>
        <w:rPr>
          <w:rFonts w:ascii="Calibri" w:hAnsi="Calibri" w:cs="Calibri"/>
          <w:szCs w:val="22"/>
          <w:lang w:val="ca-ES" w:eastAsia="en-US"/>
        </w:rPr>
      </w:pPr>
      <w:r>
        <w:rPr>
          <w:rFonts w:cs="Calibri" w:ascii="Calibri" w:hAnsi="Calibri"/>
          <w:szCs w:val="22"/>
          <w:lang w:val="ca-ES" w:eastAsia="en-US"/>
        </w:rPr>
        <w:t>Por parte de la Concejalía de Ciudadanía, Acción Social y Salud se asignará la puntuación obtenida a cada niño o niña o joven.</w:t>
      </w:r>
    </w:p>
    <w:p>
      <w:pPr>
        <w:pStyle w:val="TextBody"/>
        <w:spacing w:lineRule="auto" w:line="276"/>
        <w:rPr>
          <w:rFonts w:ascii="Calibri" w:hAnsi="Calibri" w:cs="Calibri"/>
          <w:szCs w:val="22"/>
          <w:lang w:val="ca-ES" w:eastAsia="en-US"/>
        </w:rPr>
      </w:pPr>
      <w:r>
        <w:rPr>
          <w:rFonts w:cs="Calibri" w:ascii="Calibri" w:hAnsi="Calibri"/>
          <w:szCs w:val="22"/>
          <w:lang w:val="ca-ES" w:eastAsia="en-US"/>
        </w:rPr>
        <w:t>Quienes obtengan la mayor puntuación recibirán como máximo 180 euros (en caso de solicitar menos importe recibirán el importe máximo solicitado).</w:t>
      </w:r>
    </w:p>
    <w:p>
      <w:pPr>
        <w:pStyle w:val="TextBody"/>
        <w:spacing w:lineRule="auto" w:line="276"/>
        <w:rPr>
          <w:rFonts w:ascii="Calibri" w:hAnsi="Calibri" w:cs="Calibri"/>
          <w:szCs w:val="22"/>
          <w:lang w:val="ca-ES" w:eastAsia="en-US"/>
        </w:rPr>
      </w:pPr>
      <w:r>
        <w:rPr>
          <w:rFonts w:cs="Calibri" w:ascii="Calibri" w:hAnsi="Calibri"/>
          <w:szCs w:val="22"/>
          <w:lang w:val="ca-ES" w:eastAsia="en-US"/>
        </w:rPr>
        <w:t>Por último, y en caso de que el importe total de otorgamiento a los beneficiarios asciende a mayor importe que el importe presupuestado, se procederá a pagar en primer orden a los beneficiarios de mayor puntuación, y en caso de empate en la última asignación es prorrateará entre los últimos niños y jóvenes que les corresponda asignación hasta agotar el importe presupuestado.</w:t>
      </w:r>
    </w:p>
    <w:p>
      <w:pPr>
        <w:pStyle w:val="TextBody"/>
        <w:spacing w:lineRule="auto" w:line="276"/>
        <w:rPr/>
      </w:pPr>
      <w:r>
        <w:rPr>
          <w:rFonts w:cs="Calibri" w:ascii="Calibri" w:hAnsi="Calibri"/>
          <w:szCs w:val="22"/>
          <w:lang w:val="ca-ES" w:eastAsia="en-US"/>
        </w:rPr>
        <w:t>En el caso de que un niño abandone la actividad durante el segundo período de justificación, se le revocará la ayuda.</w:t>
      </w:r>
    </w:p>
    <w:p>
      <w:pPr>
        <w:pStyle w:val="TextBody"/>
        <w:spacing w:lineRule="auto" w:line="276"/>
        <w:rPr>
          <w:rFonts w:ascii="Calibri" w:hAnsi="Calibri" w:cs="Calibri"/>
          <w:szCs w:val="22"/>
          <w:lang w:val="ca-ES" w:eastAsia="en-US"/>
        </w:rPr>
      </w:pPr>
      <w:r>
        <w:rPr>
          <w:rFonts w:cs="Calibri" w:ascii="Calibri" w:hAnsi="Calibri"/>
          <w:szCs w:val="22"/>
          <w:lang w:val="ca-ES" w:eastAsia="en-US"/>
        </w:rPr>
        <w:t>Solicitando esta ayuda la familia acepta y se compromete a pagar el resto del importe del coste de la actividad.</w:t>
      </w:r>
    </w:p>
    <w:p>
      <w:pPr>
        <w:pStyle w:val="TextBody"/>
        <w:spacing w:lineRule="auto" w:line="276"/>
        <w:rPr>
          <w:rFonts w:ascii="Calibri" w:hAnsi="Calibri" w:cs="Arial"/>
          <w:szCs w:val="22"/>
          <w:lang w:val="ca-ES" w:eastAsia="en-US"/>
        </w:rPr>
      </w:pPr>
      <w:r>
        <w:rPr>
          <w:rFonts w:cs="Arial" w:ascii="Calibri" w:hAnsi="Calibri"/>
          <w:szCs w:val="22"/>
          <w:lang w:val="ca-ES" w:eastAsia="en-US"/>
        </w:rPr>
      </w:r>
    </w:p>
    <w:p>
      <w:pPr>
        <w:pStyle w:val="TextBody"/>
        <w:spacing w:lineRule="auto" w:line="276"/>
        <w:rPr>
          <w:rFonts w:ascii="Calibri" w:hAnsi="Calibri" w:cs="Arial"/>
          <w:b/>
          <w:b/>
          <w:bCs/>
          <w:szCs w:val="22"/>
          <w:u w:val="single"/>
          <w:lang w:val="ca-ES" w:eastAsia="en-US"/>
        </w:rPr>
      </w:pPr>
      <w:r>
        <w:rPr>
          <w:rFonts w:cs="Arial" w:ascii="Calibri" w:hAnsi="Calibri"/>
          <w:b/>
          <w:bCs/>
          <w:szCs w:val="22"/>
          <w:u w:val="single"/>
          <w:lang w:val="ca-ES" w:eastAsia="en-US"/>
        </w:rPr>
        <w:t>Artículo 14º. Resolución y notificación.-</w:t>
      </w:r>
    </w:p>
    <w:p>
      <w:pPr>
        <w:pStyle w:val="TextBody"/>
        <w:spacing w:lineRule="auto" w:line="276"/>
        <w:rPr>
          <w:rFonts w:ascii="Calibri" w:hAnsi="Calibri" w:cs="Arial"/>
          <w:szCs w:val="22"/>
          <w:lang w:val="ca-ES" w:eastAsia="en-US"/>
        </w:rPr>
      </w:pPr>
      <w:r>
        <w:rPr>
          <w:rFonts w:cs="Arial" w:ascii="Calibri" w:hAnsi="Calibri"/>
          <w:szCs w:val="22"/>
          <w:lang w:val="ca-ES" w:eastAsia="en-US"/>
        </w:rPr>
        <w:t xml:space="preserve">Una vez analizadas las solicitudes, la </w:t>
      </w:r>
      <w:r>
        <w:rPr>
          <w:rFonts w:cs="Calibri" w:ascii="Calibri" w:hAnsi="Calibri"/>
          <w:szCs w:val="22"/>
          <w:lang w:val="ca-ES" w:eastAsia="en-US"/>
        </w:rPr>
        <w:t xml:space="preserve">Concejalía de Ciudadanía, Acción Social y Salud de la Paeria de Cervera </w:t>
      </w:r>
      <w:r>
        <w:rPr>
          <w:rFonts w:cs="Arial" w:ascii="Calibri" w:hAnsi="Calibri"/>
          <w:szCs w:val="22"/>
          <w:lang w:val="ca-ES" w:eastAsia="en-US"/>
        </w:rPr>
        <w:t>propondrá a Junta de Gobierno Local, previo informe de Intervención de Caudales Municipales sobre la existencia de crédito, la aprobación de las solicitudes que cumplan los requisitos establecidos en las bases específicas y obtengan mayor puntuación según los criterios establecidos.</w:t>
      </w:r>
    </w:p>
    <w:p>
      <w:pPr>
        <w:pStyle w:val="TextBody"/>
        <w:spacing w:lineRule="auto" w:line="276"/>
        <w:rPr>
          <w:rFonts w:ascii="Calibri" w:hAnsi="Calibri" w:cs="Calibri"/>
          <w:szCs w:val="22"/>
          <w:lang w:val="ca-ES" w:eastAsia="en-US"/>
        </w:rPr>
      </w:pPr>
      <w:r>
        <w:rPr>
          <w:rFonts w:cs="Calibri" w:ascii="Calibri" w:hAnsi="Calibri"/>
          <w:szCs w:val="22"/>
          <w:lang w:val="ca-ES" w:eastAsia="en-US"/>
        </w:rPr>
        <w:t xml:space="preserve">Se darán ayudas hasta agotar el crédito presupuestario. </w:t>
      </w:r>
    </w:p>
    <w:p>
      <w:pPr>
        <w:pStyle w:val="TextBody"/>
        <w:spacing w:lineRule="auto" w:line="276"/>
        <w:rPr/>
      </w:pPr>
      <w:r>
        <w:rPr>
          <w:rFonts w:cs="Calibri" w:ascii="Calibri" w:hAnsi="Calibri"/>
          <w:szCs w:val="22"/>
          <w:lang w:val="ca-ES" w:eastAsia="en-US"/>
        </w:rPr>
        <w:t xml:space="preserve">Una vez aprobada la propuesta de la subvención por parte de la Junta de Gobierno Local, se comunicará a cada interesado la concesión o no subvención y el importe correspondiente. </w:t>
      </w:r>
    </w:p>
    <w:p>
      <w:pPr>
        <w:pStyle w:val="TextBody"/>
        <w:spacing w:lineRule="auto" w:line="276"/>
        <w:rPr/>
      </w:pPr>
      <w:r>
        <w:rPr>
          <w:rFonts w:cs="Calibri" w:ascii="Calibri" w:hAnsi="Calibri"/>
          <w:szCs w:val="22"/>
          <w:lang w:val="ca-ES" w:eastAsia="en-US"/>
        </w:rPr>
        <w:t>La Paeria publicará en el tablón de anuncios, en la web de la corporación y en la BDNS la subvención concedida con expresión de la convocatoria, el programa y el crédito presupuestario al que se imputen, el beneficiario, la cantidad concedida y la finalidad de la subvención .</w:t>
      </w:r>
    </w:p>
    <w:p>
      <w:pPr>
        <w:pStyle w:val="TextBody"/>
        <w:spacing w:lineRule="auto" w:line="276"/>
        <w:rPr>
          <w:rFonts w:ascii="Calibri" w:hAnsi="Calibri" w:cs="Calibri"/>
          <w:szCs w:val="22"/>
          <w:lang w:val="ca-ES" w:eastAsia="en-US"/>
        </w:rPr>
      </w:pPr>
      <w:r>
        <w:rPr>
          <w:rFonts w:cs="Calibri" w:ascii="Calibri" w:hAnsi="Calibri"/>
          <w:szCs w:val="22"/>
          <w:lang w:val="ca-ES" w:eastAsia="en-US"/>
        </w:rPr>
        <w:t>Asimismo, la Paeria publicará el Boletín Oficial de la Provincia un extracto de la resolución por la que se concede la subvención, con indicación de los lugares en los que se puede consultar su contenido íntegro.</w:t>
      </w:r>
    </w:p>
    <w:p>
      <w:pPr>
        <w:pStyle w:val="TextBody"/>
        <w:spacing w:lineRule="auto" w:line="276"/>
        <w:rPr>
          <w:rFonts w:ascii="Calibri" w:hAnsi="Calibri" w:cs="Calibri"/>
          <w:szCs w:val="22"/>
          <w:lang w:val="ca-ES" w:eastAsia="en-US"/>
        </w:rPr>
      </w:pPr>
      <w:r>
        <w:rPr>
          <w:rFonts w:cs="Calibri" w:ascii="Calibri" w:hAnsi="Calibri"/>
          <w:szCs w:val="22"/>
          <w:lang w:val="ca-ES" w:eastAsia="en-US"/>
        </w:rPr>
      </w:r>
    </w:p>
    <w:p>
      <w:pPr>
        <w:pStyle w:val="TextBody"/>
        <w:spacing w:lineRule="auto" w:line="276"/>
        <w:rPr/>
      </w:pPr>
      <w:r>
        <w:rPr>
          <w:rFonts w:cs="Calibri" w:ascii="Calibri" w:hAnsi="Calibri"/>
          <w:b/>
          <w:bCs/>
          <w:szCs w:val="22"/>
          <w:lang w:val="ca-ES" w:eastAsia="en-US"/>
        </w:rPr>
        <w:t>CAPITULO SEXTO</w:t>
      </w:r>
    </w:p>
    <w:p>
      <w:pPr>
        <w:pStyle w:val="TextBody"/>
        <w:spacing w:lineRule="auto" w:line="276"/>
        <w:rPr>
          <w:rFonts w:ascii="Calibri" w:hAnsi="Calibri" w:cs="Calibri"/>
          <w:b/>
          <w:b/>
          <w:bCs/>
          <w:szCs w:val="22"/>
          <w:lang w:val="ca-ES" w:eastAsia="en-US"/>
        </w:rPr>
      </w:pPr>
      <w:r>
        <w:rPr>
          <w:rFonts w:cs="Calibri" w:ascii="Calibri" w:hAnsi="Calibri"/>
          <w:b/>
          <w:bCs/>
          <w:szCs w:val="22"/>
          <w:lang w:val="ca-ES" w:eastAsia="en-US"/>
        </w:rPr>
        <w:t>Justificación y pago</w:t>
      </w:r>
    </w:p>
    <w:p>
      <w:pPr>
        <w:pStyle w:val="TextBody"/>
        <w:spacing w:lineRule="auto" w:line="276"/>
        <w:rPr>
          <w:rFonts w:ascii="Calibri" w:hAnsi="Calibri" w:cs="Calibri"/>
          <w:b/>
          <w:b/>
          <w:bCs/>
          <w:szCs w:val="22"/>
          <w:u w:val="single"/>
          <w:lang w:val="ca-ES" w:eastAsia="en-US"/>
        </w:rPr>
      </w:pPr>
      <w:r>
        <w:rPr>
          <w:rFonts w:cs="Calibri" w:ascii="Calibri" w:hAnsi="Calibri"/>
          <w:b/>
          <w:bCs/>
          <w:szCs w:val="22"/>
          <w:u w:val="single"/>
          <w:lang w:val="ca-ES" w:eastAsia="en-US"/>
        </w:rPr>
        <w:t>Artículo 15º. Justificación de la subvención.-</w:t>
      </w:r>
    </w:p>
    <w:p>
      <w:pPr>
        <w:pStyle w:val="TextBody"/>
        <w:spacing w:lineRule="auto" w:line="276"/>
        <w:rPr>
          <w:rFonts w:ascii="Calibri" w:hAnsi="Calibri" w:cs="Calibri"/>
          <w:szCs w:val="22"/>
          <w:lang w:val="ca-ES" w:eastAsia="en-US"/>
        </w:rPr>
      </w:pPr>
      <w:r>
        <w:rPr>
          <w:rFonts w:cs="Calibri" w:ascii="Calibri" w:hAnsi="Calibri"/>
          <w:szCs w:val="22"/>
          <w:lang w:val="ca-ES" w:eastAsia="en-US"/>
        </w:rPr>
        <w:t>Para percibir la subvención otorgada es necesario haber realizado la actividad extraescolar subvencionada y la persona tutora del niño/joven debe presentar un certificado de participación continuada del niño/joven, firmada y sellada por la entidad.</w:t>
      </w:r>
    </w:p>
    <w:p>
      <w:pPr>
        <w:pStyle w:val="TextBody"/>
        <w:spacing w:lineRule="auto" w:line="276"/>
        <w:rPr>
          <w:rFonts w:ascii="Calibri" w:hAnsi="Calibri" w:cs="Calibri"/>
          <w:szCs w:val="22"/>
          <w:lang w:val="ca-ES" w:eastAsia="en-US"/>
        </w:rPr>
      </w:pPr>
      <w:r>
        <w:rPr>
          <w:rFonts w:cs="Calibri" w:ascii="Calibri" w:hAnsi="Calibri"/>
          <w:szCs w:val="22"/>
          <w:lang w:val="ca-ES" w:eastAsia="en-US"/>
        </w:rPr>
        <w:t>El plazo máximo para presentar la documentación justificativa de la entidad es hasta el 30 de enero de 2022 (el primer anticipo) y el 30 de junio de 2022 (el segundo anticipo).</w:t>
      </w:r>
    </w:p>
    <w:p>
      <w:pPr>
        <w:pStyle w:val="TextBody"/>
        <w:spacing w:lineRule="auto" w:line="276"/>
        <w:rPr>
          <w:rFonts w:ascii="Calibri" w:hAnsi="Calibri" w:cs="Calibri"/>
          <w:szCs w:val="22"/>
          <w:lang w:val="ca-ES" w:eastAsia="en-US"/>
        </w:rPr>
      </w:pPr>
      <w:r>
        <w:rPr>
          <w:rFonts w:cs="Calibri" w:ascii="Calibri" w:hAnsi="Calibri"/>
          <w:szCs w:val="22"/>
          <w:lang w:val="ca-ES" w:eastAsia="en-US"/>
        </w:rPr>
      </w:r>
    </w:p>
    <w:p>
      <w:pPr>
        <w:pStyle w:val="TextBody"/>
        <w:spacing w:lineRule="auto" w:line="276"/>
        <w:rPr/>
      </w:pPr>
      <w:r>
        <w:rPr>
          <w:rFonts w:cs="Calibri" w:ascii="Calibri" w:hAnsi="Calibri"/>
          <w:b/>
          <w:bCs/>
          <w:szCs w:val="22"/>
          <w:u w:val="single"/>
          <w:lang w:val="ca-ES" w:eastAsia="en-US"/>
        </w:rPr>
        <w:t>Artículo 16º. Justificación de la asistencia a la actividad: importe a justificar.-</w:t>
      </w:r>
    </w:p>
    <w:p>
      <w:pPr>
        <w:pStyle w:val="TextBody"/>
        <w:spacing w:lineRule="auto" w:line="276"/>
        <w:rPr/>
      </w:pPr>
      <w:r>
        <w:rPr>
          <w:rFonts w:cs="Calibri" w:ascii="Calibri" w:hAnsi="Calibri"/>
          <w:szCs w:val="22"/>
          <w:lang w:val="ca-ES" w:eastAsia="en-US"/>
        </w:rPr>
        <w:t>El importe de la subvención no podrá ser superior al coste de la actividad.</w:t>
      </w:r>
    </w:p>
    <w:p>
      <w:pPr>
        <w:pStyle w:val="TextBody"/>
        <w:spacing w:lineRule="auto" w:line="276"/>
        <w:rPr>
          <w:rFonts w:ascii="Calibri" w:hAnsi="Calibri" w:cs="Calibri"/>
          <w:szCs w:val="22"/>
          <w:lang w:val="ca-ES" w:eastAsia="en-US"/>
        </w:rPr>
      </w:pPr>
      <w:r>
        <w:rPr>
          <w:rFonts w:cs="Calibri" w:ascii="Calibri" w:hAnsi="Calibri"/>
          <w:szCs w:val="22"/>
          <w:lang w:val="ca-ES" w:eastAsia="en-US"/>
        </w:rPr>
        <w:t xml:space="preserve">El importe de la subvención se reducirá, en caso de que el certificado de la entidad justifique un importe inferior a la subvención otorgada. </w:t>
      </w:r>
    </w:p>
    <w:p>
      <w:pPr>
        <w:pStyle w:val="TextBody"/>
        <w:spacing w:lineRule="auto" w:line="276"/>
        <w:rPr>
          <w:rFonts w:ascii="Calibri" w:hAnsi="Calibri" w:cs="Calibri"/>
          <w:szCs w:val="22"/>
          <w:lang w:val="ca-ES" w:eastAsia="en-US"/>
        </w:rPr>
      </w:pPr>
      <w:r>
        <w:rPr>
          <w:rFonts w:cs="Calibri" w:ascii="Calibri" w:hAnsi="Calibri"/>
          <w:szCs w:val="22"/>
          <w:lang w:val="ca-ES" w:eastAsia="en-US"/>
        </w:rPr>
        <w:t xml:space="preserve">El pago se realizará directamente a la entidad que realiza la actividad que se ha asignado al niño/joven. </w:t>
      </w:r>
      <w:r>
        <w:rPr>
          <w:rFonts w:cs="Arial" w:ascii="Calibri" w:hAnsi="Calibri"/>
          <w:szCs w:val="22"/>
          <w:lang w:val="ca-ES" w:eastAsia="en-US"/>
        </w:rPr>
        <w:t>Si no existe deuda con la misma se procederá a realizar el pago al niño.</w:t>
      </w:r>
      <w:r>
        <w:rPr>
          <w:rFonts w:cs="Calibri" w:ascii="Calibri" w:hAnsi="Calibri"/>
          <w:szCs w:val="22"/>
          <w:lang w:val="ca-ES" w:eastAsia="en-US"/>
        </w:rPr>
        <w:t xml:space="preserve"> </w:t>
      </w:r>
    </w:p>
    <w:p>
      <w:pPr>
        <w:pStyle w:val="TextBody"/>
        <w:spacing w:lineRule="auto" w:line="276"/>
        <w:rPr>
          <w:rFonts w:ascii="Calibri" w:hAnsi="Calibri" w:cs="Calibri"/>
          <w:b/>
          <w:b/>
          <w:bCs/>
          <w:szCs w:val="22"/>
          <w:u w:val="single"/>
          <w:lang w:val="ca-ES" w:eastAsia="en-US"/>
        </w:rPr>
      </w:pPr>
      <w:r>
        <w:rPr>
          <w:rFonts w:cs="Calibri" w:ascii="Calibri" w:hAnsi="Calibri"/>
          <w:b/>
          <w:bCs/>
          <w:szCs w:val="22"/>
          <w:u w:val="single"/>
          <w:lang w:val="ca-ES" w:eastAsia="en-US"/>
        </w:rPr>
      </w:r>
    </w:p>
    <w:p>
      <w:pPr>
        <w:pStyle w:val="TextBody"/>
        <w:spacing w:lineRule="auto" w:line="276"/>
        <w:rPr/>
      </w:pPr>
      <w:r>
        <w:rPr>
          <w:rFonts w:cs="Calibri" w:ascii="Calibri" w:hAnsi="Calibri"/>
          <w:b/>
          <w:bCs/>
          <w:szCs w:val="22"/>
          <w:u w:val="single"/>
          <w:lang w:val="ca-ES" w:eastAsia="en-US"/>
        </w:rPr>
        <w:t>Artículo 17º. Aprobación de la justificación.-</w:t>
      </w:r>
    </w:p>
    <w:p>
      <w:pPr>
        <w:pStyle w:val="TextBody"/>
        <w:spacing w:lineRule="auto" w:line="276"/>
        <w:rPr>
          <w:rFonts w:ascii="Calibri" w:hAnsi="Calibri" w:cs="Calibri"/>
          <w:szCs w:val="22"/>
          <w:lang w:val="ca-ES" w:eastAsia="en-US"/>
        </w:rPr>
      </w:pPr>
      <w:r>
        <w:rPr>
          <w:rFonts w:cs="Calibri" w:ascii="Calibri" w:hAnsi="Calibri"/>
          <w:szCs w:val="22"/>
          <w:lang w:val="ca-ES" w:eastAsia="en-US"/>
        </w:rPr>
        <w:t>La aprobación corresponderá a la Concejalía de Ciudadanía, Acción Social y Salud de la Paeria de Cervera, que podrá reducir la subvención con los correspondientes gastos efectivamente producidos.</w:t>
      </w:r>
    </w:p>
    <w:p>
      <w:pPr>
        <w:pStyle w:val="TextBody"/>
        <w:spacing w:lineRule="auto" w:line="276"/>
        <w:rPr>
          <w:rFonts w:ascii="Calibri" w:hAnsi="Calibri" w:cs="Calibri"/>
          <w:b/>
          <w:b/>
          <w:bCs/>
          <w:szCs w:val="22"/>
          <w:u w:val="single"/>
          <w:lang w:val="ca-ES" w:eastAsia="en-US"/>
        </w:rPr>
      </w:pPr>
      <w:r>
        <w:rPr>
          <w:rFonts w:cs="Calibri" w:ascii="Calibri" w:hAnsi="Calibri"/>
          <w:b/>
          <w:bCs/>
          <w:szCs w:val="22"/>
          <w:u w:val="single"/>
          <w:lang w:val="ca-ES" w:eastAsia="en-US"/>
        </w:rPr>
      </w:r>
    </w:p>
    <w:p>
      <w:pPr>
        <w:pStyle w:val="TextBody"/>
        <w:spacing w:lineRule="auto" w:line="276"/>
        <w:rPr>
          <w:rFonts w:ascii="Calibri" w:hAnsi="Calibri" w:cs="Calibri"/>
          <w:b/>
          <w:b/>
          <w:bCs/>
          <w:szCs w:val="22"/>
          <w:u w:val="single"/>
          <w:lang w:val="ca-ES" w:eastAsia="en-US"/>
        </w:rPr>
      </w:pPr>
      <w:r>
        <w:rPr>
          <w:rFonts w:cs="Calibri" w:ascii="Calibri" w:hAnsi="Calibri"/>
          <w:b/>
          <w:bCs/>
          <w:szCs w:val="22"/>
          <w:u w:val="single"/>
          <w:lang w:val="ca-ES" w:eastAsia="en-US"/>
        </w:rPr>
        <w:t>Artículo 18º. Plazo de pago.-</w:t>
      </w:r>
    </w:p>
    <w:p>
      <w:pPr>
        <w:pStyle w:val="TextBody"/>
        <w:spacing w:lineRule="auto" w:line="276"/>
        <w:rPr>
          <w:rFonts w:ascii="Calibri" w:hAnsi="Calibri" w:cs="Calibri"/>
          <w:szCs w:val="22"/>
          <w:lang w:val="ca-ES" w:eastAsia="en-US"/>
        </w:rPr>
      </w:pPr>
      <w:r>
        <w:rPr>
          <w:rFonts w:cs="Calibri" w:ascii="Calibri" w:hAnsi="Calibri"/>
          <w:szCs w:val="22"/>
          <w:lang w:val="ca-ES" w:eastAsia="en-US"/>
        </w:rPr>
        <w:t>Una vez presentada la documentación justificativa (artículo 15) y aprobada se procederá a la expedición de la orden del pago.</w:t>
      </w:r>
    </w:p>
    <w:p>
      <w:pPr>
        <w:pStyle w:val="TextBody"/>
        <w:spacing w:lineRule="auto" w:line="276"/>
        <w:rPr/>
      </w:pPr>
      <w:r>
        <w:rPr>
          <w:rFonts w:cs="Calibri" w:ascii="Calibri" w:hAnsi="Calibri"/>
          <w:szCs w:val="22"/>
          <w:lang w:val="ca-ES" w:eastAsia="en-US"/>
        </w:rPr>
        <w:t>El vencimiento del plazo máximo sin haberse notificado la resolución legitima a los interesados ​​es para entender desestimada por silencio administrativo la solicitud de concesión de la subvención.</w:t>
      </w:r>
    </w:p>
    <w:p>
      <w:pPr>
        <w:pStyle w:val="TextBody"/>
        <w:spacing w:lineRule="auto" w:line="276"/>
        <w:rPr>
          <w:rFonts w:ascii="Calibri" w:hAnsi="Calibri" w:cs="Calibri"/>
          <w:szCs w:val="22"/>
          <w:lang w:val="ca-ES" w:eastAsia="en-US"/>
        </w:rPr>
      </w:pPr>
      <w:r>
        <w:rPr>
          <w:rFonts w:cs="Calibri" w:ascii="Calibri" w:hAnsi="Calibri"/>
          <w:szCs w:val="22"/>
          <w:lang w:val="ca-ES" w:eastAsia="en-US"/>
        </w:rPr>
        <w:t xml:space="preserve">Se procederá a efectuar el pago en dos ocasiones. El 50% a finales del mes de febrero y el resto al finalizar la actividad.</w:t>
      </w:r>
    </w:p>
    <w:p>
      <w:pPr>
        <w:pStyle w:val="TextBody"/>
        <w:spacing w:lineRule="auto" w:line="276"/>
        <w:rPr>
          <w:rFonts w:ascii="Calibri" w:hAnsi="Calibri" w:cs="Calibri"/>
          <w:szCs w:val="22"/>
          <w:lang w:val="ca-ES" w:eastAsia="en-US"/>
        </w:rPr>
      </w:pPr>
      <w:r>
        <w:rPr>
          <w:rFonts w:cs="Calibri" w:ascii="Calibri" w:hAnsi="Calibri"/>
          <w:szCs w:val="22"/>
          <w:lang w:val="ca-ES" w:eastAsia="en-US"/>
        </w:rPr>
      </w:r>
      <w:r>
        <w:br w:type="page"/>
      </w:r>
    </w:p>
    <w:p>
      <w:pPr>
        <w:pStyle w:val="TextBody"/>
        <w:spacing w:lineRule="auto" w:line="276"/>
        <w:rPr/>
      </w:pPr>
      <w:r>
        <w:rPr>
          <w:rFonts w:cs="Calibri" w:ascii="Calibri" w:hAnsi="Calibri"/>
          <w:b/>
          <w:bCs/>
          <w:szCs w:val="22"/>
          <w:lang w:val="ca-ES" w:eastAsia="en-US"/>
        </w:rPr>
        <w:t>CAPITULO SÉPTIMO</w:t>
      </w:r>
    </w:p>
    <w:p>
      <w:pPr>
        <w:pStyle w:val="TextBody"/>
        <w:spacing w:lineRule="auto" w:line="276"/>
        <w:rPr/>
      </w:pPr>
      <w:r>
        <w:rPr>
          <w:rFonts w:cs="Calibri" w:ascii="Calibri" w:hAnsi="Calibri"/>
          <w:b/>
          <w:bCs/>
          <w:szCs w:val="22"/>
          <w:lang w:val="ca-ES" w:eastAsia="en-US"/>
        </w:rPr>
        <w:t>Seguimiento, modificación, incumplimiento y reintegro</w:t>
      </w:r>
    </w:p>
    <w:p>
      <w:pPr>
        <w:pStyle w:val="TextBody"/>
        <w:spacing w:lineRule="auto" w:line="276"/>
        <w:rPr>
          <w:rFonts w:ascii="Calibri" w:hAnsi="Calibri" w:cs="Calibri"/>
          <w:b/>
          <w:b/>
          <w:bCs/>
          <w:szCs w:val="22"/>
          <w:u w:val="single"/>
          <w:lang w:val="ca-ES" w:eastAsia="en-US"/>
        </w:rPr>
      </w:pPr>
      <w:r>
        <w:rPr>
          <w:rFonts w:cs="Calibri" w:ascii="Calibri" w:hAnsi="Calibri"/>
          <w:b/>
          <w:bCs/>
          <w:szCs w:val="22"/>
          <w:u w:val="single"/>
          <w:lang w:val="ca-ES" w:eastAsia="en-US"/>
        </w:rPr>
        <w:t>Artículo 19º. Seguimiento y coordinación de la gestión y cumplimiento de la subvención.-</w:t>
      </w:r>
    </w:p>
    <w:p>
      <w:pPr>
        <w:pStyle w:val="TextBody"/>
        <w:spacing w:lineRule="auto" w:line="276"/>
        <w:rPr>
          <w:rFonts w:ascii="Calibri" w:hAnsi="Calibri" w:cs="Calibri"/>
          <w:szCs w:val="22"/>
          <w:lang w:val="ca-ES" w:eastAsia="en-US"/>
        </w:rPr>
      </w:pPr>
      <w:r>
        <w:rPr>
          <w:rFonts w:cs="Calibri" w:ascii="Calibri" w:hAnsi="Calibri"/>
          <w:szCs w:val="22"/>
          <w:lang w:val="ca-ES" w:eastAsia="en-US"/>
        </w:rPr>
        <w:t xml:space="preserve">El órgano competente para la instrucción y resolución del procedimiento es la Concejalía de Ciudadanía, Acción Social y Salud de la Paeria de Cervera. </w:t>
      </w:r>
    </w:p>
    <w:p>
      <w:pPr>
        <w:pStyle w:val="TextBody"/>
        <w:spacing w:lineRule="auto" w:line="276"/>
        <w:rPr>
          <w:rFonts w:ascii="Calibri" w:hAnsi="Calibri" w:cs="Calibri"/>
          <w:szCs w:val="22"/>
          <w:lang w:val="ca-ES" w:eastAsia="en-US"/>
        </w:rPr>
      </w:pPr>
      <w:r>
        <w:rPr>
          <w:rFonts w:cs="Calibri" w:ascii="Calibri" w:hAnsi="Calibri"/>
          <w:szCs w:val="22"/>
          <w:lang w:val="ca-ES" w:eastAsia="en-US"/>
        </w:rPr>
        <w:t>Este órgano contará con el asesoramiento de la Comisión de Seguimiento definida por la Concejalía.</w:t>
      </w:r>
    </w:p>
    <w:p>
      <w:pPr>
        <w:pStyle w:val="TextBody"/>
        <w:spacing w:lineRule="auto" w:line="276"/>
        <w:rPr>
          <w:rFonts w:ascii="Calibri" w:hAnsi="Calibri" w:cs="Calibri"/>
          <w:szCs w:val="22"/>
          <w:lang w:val="ca-ES" w:eastAsia="en-US"/>
        </w:rPr>
      </w:pPr>
      <w:r>
        <w:rPr>
          <w:rFonts w:cs="Calibri" w:ascii="Calibri" w:hAnsi="Calibri"/>
          <w:szCs w:val="22"/>
          <w:lang w:val="ca-ES" w:eastAsia="en-US"/>
        </w:rPr>
        <w:t>Éstos realizarán el seguimiento y coordinación del proceso de solicitud, concesión y justificación de la subvención.</w:t>
      </w:r>
    </w:p>
    <w:p>
      <w:pPr>
        <w:pStyle w:val="TextBody"/>
        <w:spacing w:lineRule="auto" w:line="276"/>
        <w:rPr>
          <w:rFonts w:ascii="Calibri" w:hAnsi="Calibri" w:cs="Calibri"/>
          <w:szCs w:val="22"/>
          <w:lang w:val="ca-ES" w:eastAsia="en-US"/>
        </w:rPr>
      </w:pPr>
      <w:r>
        <w:rPr>
          <w:rFonts w:cs="Calibri" w:ascii="Calibri" w:hAnsi="Calibri"/>
          <w:szCs w:val="22"/>
          <w:lang w:val="ca-ES" w:eastAsia="en-US"/>
        </w:rPr>
      </w:r>
    </w:p>
    <w:p>
      <w:pPr>
        <w:pStyle w:val="TextBody"/>
        <w:spacing w:lineRule="auto" w:line="276"/>
        <w:rPr/>
      </w:pPr>
      <w:r>
        <w:rPr>
          <w:rFonts w:cs="Calibri" w:ascii="Calibri" w:hAnsi="Calibri"/>
          <w:b/>
          <w:bCs/>
          <w:szCs w:val="22"/>
          <w:u w:val="single"/>
          <w:lang w:val="ca-ES" w:eastAsia="en-US"/>
        </w:rPr>
        <w:t>Artículo 20º. Modificación de subvenciones.-</w:t>
      </w:r>
    </w:p>
    <w:p>
      <w:pPr>
        <w:pStyle w:val="TextBody"/>
        <w:spacing w:lineRule="auto" w:line="276"/>
        <w:rPr/>
      </w:pPr>
      <w:r>
        <w:rPr>
          <w:rFonts w:cs="Calibri" w:ascii="Calibri" w:hAnsi="Calibri"/>
          <w:szCs w:val="22"/>
          <w:lang w:val="ca-ES" w:eastAsia="en-US"/>
        </w:rPr>
        <w:t>La alteración de las condiciones que determinaron la concesión de la subvención, y en cualquier caso, la obtención de la subvención o ayudas de otras administraciones públicas puede dar lugar a la modificación de la resolución de otorgamiento.</w:t>
      </w:r>
    </w:p>
    <w:p>
      <w:pPr>
        <w:pStyle w:val="TextBody"/>
        <w:spacing w:lineRule="auto" w:line="276"/>
        <w:rPr>
          <w:rFonts w:ascii="Calibri" w:hAnsi="Calibri" w:cs="Calibri"/>
          <w:b/>
          <w:b/>
          <w:bCs/>
          <w:szCs w:val="22"/>
          <w:u w:val="single"/>
          <w:lang w:val="ca-ES" w:eastAsia="en-US"/>
        </w:rPr>
      </w:pPr>
      <w:r>
        <w:rPr>
          <w:rFonts w:cs="Calibri" w:ascii="Calibri" w:hAnsi="Calibri"/>
          <w:b/>
          <w:bCs/>
          <w:szCs w:val="22"/>
          <w:u w:val="single"/>
          <w:lang w:val="ca-ES" w:eastAsia="en-US"/>
        </w:rPr>
      </w:r>
    </w:p>
    <w:p>
      <w:pPr>
        <w:pStyle w:val="TextBody"/>
        <w:spacing w:lineRule="auto" w:line="276"/>
        <w:rPr/>
      </w:pPr>
      <w:r>
        <w:rPr>
          <w:rFonts w:cs="Calibri" w:ascii="Calibri" w:hAnsi="Calibri"/>
          <w:b/>
          <w:bCs/>
          <w:szCs w:val="22"/>
          <w:u w:val="single"/>
          <w:lang w:val="ca-ES" w:eastAsia="en-US"/>
        </w:rPr>
        <w:t>Artículo 21º. Incumplimiento y reintegro.-</w:t>
      </w:r>
    </w:p>
    <w:p>
      <w:pPr>
        <w:pStyle w:val="TextBody"/>
        <w:spacing w:lineRule="auto" w:line="276"/>
        <w:rPr/>
      </w:pPr>
      <w:r>
        <w:rPr>
          <w:rFonts w:cs="Calibri" w:ascii="Calibri" w:hAnsi="Calibri"/>
          <w:szCs w:val="22"/>
          <w:lang w:val="ca-ES" w:eastAsia="en-US"/>
        </w:rPr>
        <w:t>El incumplimiento por causas imputables al beneficiario de las obligaciones impuestas como consecuencia de la concesión de las subvenciones, así como el falseamiento, inexactitud u omisión de los datos suministrados que hayan servido para la concesión de la subvención, comportará la pérdida total o parcial de éstas, y si procede, el reintegro con el abono de los intereses de demora, según lo establecido en la legislación vigente.</w:t>
      </w:r>
    </w:p>
    <w:p>
      <w:pPr>
        <w:pStyle w:val="TextBody"/>
        <w:spacing w:lineRule="auto" w:line="276"/>
        <w:rPr>
          <w:rFonts w:ascii="Calibri" w:hAnsi="Calibri" w:cs="Calibri"/>
          <w:szCs w:val="22"/>
          <w:lang w:val="ca-ES" w:eastAsia="en-US"/>
        </w:rPr>
      </w:pPr>
      <w:r>
        <w:rPr>
          <w:rFonts w:cs="Calibri" w:ascii="Calibri" w:hAnsi="Calibri"/>
          <w:szCs w:val="22"/>
          <w:lang w:val="ca-ES" w:eastAsia="en-US"/>
        </w:rPr>
      </w:r>
    </w:p>
    <w:p>
      <w:pPr>
        <w:pStyle w:val="TextBody"/>
        <w:spacing w:lineRule="auto" w:line="276"/>
        <w:rPr/>
      </w:pPr>
      <w:r>
        <w:rPr>
          <w:rFonts w:cs="Calibri" w:ascii="Calibri" w:hAnsi="Calibri"/>
          <w:szCs w:val="22"/>
          <w:lang w:val="ca-ES" w:eastAsia="en-US"/>
        </w:rPr>
        <w:t>Disposición adicional primera</w:t>
      </w:r>
    </w:p>
    <w:p>
      <w:pPr>
        <w:pStyle w:val="TextBody"/>
        <w:spacing w:lineRule="auto" w:line="276"/>
        <w:rPr/>
      </w:pPr>
      <w:r>
        <w:rPr>
          <w:rFonts w:cs="Calibri" w:ascii="Calibri" w:hAnsi="Calibri"/>
          <w:szCs w:val="22"/>
          <w:lang w:val="ca-ES" w:eastAsia="en-US"/>
        </w:rPr>
        <w:t xml:space="preserve">En todo lo que no esté previsto en estas bases específicas, se aplicará la Ley 38/2003, de 17 de noviembre, general de subvenciones, el Real Decreto 887/2006, de 21 de julio, por el que aprueba el reglamento de la ley general de subvenciones. </w:t>
      </w:r>
    </w:p>
    <w:p>
      <w:pPr>
        <w:pStyle w:val="TextBody"/>
        <w:spacing w:lineRule="auto" w:line="276"/>
        <w:rPr>
          <w:rFonts w:ascii="Calibri" w:hAnsi="Calibri" w:cs="Calibri"/>
          <w:szCs w:val="22"/>
          <w:lang w:val="ca-ES" w:eastAsia="en-US"/>
        </w:rPr>
      </w:pPr>
      <w:r>
        <w:rPr>
          <w:rFonts w:cs="Calibri" w:ascii="Calibri" w:hAnsi="Calibri"/>
          <w:szCs w:val="22"/>
          <w:lang w:val="ca-ES" w:eastAsia="en-US"/>
        </w:rPr>
      </w:r>
    </w:p>
    <w:p>
      <w:pPr>
        <w:pStyle w:val="TextBody"/>
        <w:spacing w:lineRule="auto" w:line="276"/>
        <w:rPr/>
      </w:pPr>
      <w:r>
        <w:rPr>
          <w:rFonts w:cs="Calibri" w:ascii="Calibri" w:hAnsi="Calibri"/>
          <w:szCs w:val="22"/>
          <w:lang w:val="ca-ES" w:eastAsia="en-US"/>
        </w:rPr>
        <w:t>Disposición adicional segunda</w:t>
      </w:r>
    </w:p>
    <w:p>
      <w:pPr>
        <w:pStyle w:val="TextBody"/>
        <w:spacing w:lineRule="auto" w:line="276"/>
        <w:rPr/>
      </w:pPr>
      <w:r>
        <w:rPr>
          <w:rFonts w:cs="Calibri" w:ascii="Calibri" w:hAnsi="Calibri"/>
          <w:szCs w:val="22"/>
          <w:lang w:val="ca-ES" w:eastAsia="en-US"/>
        </w:rPr>
        <w:t>La Junta de Gobierno es competente para resolver cuantas cuestiones y dudas se planteen sobre la aplicación e interpretación de estas bases.</w:t>
      </w:r>
    </w:p>
    <w:p>
      <w:pPr>
        <w:pStyle w:val="TextBody"/>
        <w:spacing w:lineRule="auto" w:line="276"/>
        <w:rPr>
          <w:rFonts w:ascii="Calibri" w:hAnsi="Calibri" w:cs="Calibri"/>
          <w:szCs w:val="22"/>
          <w:lang w:val="ca-ES" w:eastAsia="en-US"/>
        </w:rPr>
      </w:pPr>
      <w:r>
        <w:rPr>
          <w:rFonts w:cs="Calibri" w:ascii="Calibri" w:hAnsi="Calibri"/>
          <w:szCs w:val="22"/>
          <w:lang w:val="ca-ES" w:eastAsia="en-US"/>
        </w:rPr>
      </w:r>
    </w:p>
    <w:p>
      <w:pPr>
        <w:pStyle w:val="TextBody"/>
        <w:spacing w:lineRule="auto" w:line="276"/>
        <w:rPr>
          <w:rFonts w:ascii="Calibri" w:hAnsi="Calibri" w:cs="Calibri"/>
          <w:szCs w:val="22"/>
          <w:lang w:val="ca-ES" w:eastAsia="en-US"/>
        </w:rPr>
      </w:pPr>
      <w:r>
        <w:rPr>
          <w:rFonts w:cs="Calibri" w:ascii="Calibri" w:hAnsi="Calibri"/>
          <w:szCs w:val="22"/>
          <w:lang w:val="ca-ES" w:eastAsia="en-US"/>
        </w:rPr>
      </w:r>
    </w:p>
    <w:p>
      <w:pPr>
        <w:pStyle w:val="TextBody"/>
        <w:spacing w:lineRule="auto" w:line="276"/>
        <w:rPr>
          <w:rFonts w:ascii="Calibri" w:hAnsi="Calibri" w:cs="Calibri"/>
          <w:szCs w:val="22"/>
          <w:lang w:val="ca-ES" w:eastAsia="en-US"/>
        </w:rPr>
      </w:pPr>
      <w:r>
        <w:rPr>
          <w:rFonts w:cs="Calibri" w:ascii="Calibri" w:hAnsi="Calibri"/>
          <w:szCs w:val="22"/>
          <w:lang w:val="ca-ES" w:eastAsia="en-US"/>
        </w:rPr>
      </w:r>
    </w:p>
    <w:p>
      <w:pPr>
        <w:pStyle w:val="TextBody"/>
        <w:spacing w:lineRule="auto" w:line="276"/>
        <w:rPr>
          <w:rFonts w:ascii="Calibri" w:hAnsi="Calibri" w:cs="Calibri"/>
          <w:szCs w:val="22"/>
          <w:lang w:val="ca-ES" w:eastAsia="en-US"/>
        </w:rPr>
      </w:pPr>
      <w:r>
        <w:rPr>
          <w:rFonts w:cs="Calibri" w:ascii="Calibri" w:hAnsi="Calibri"/>
          <w:szCs w:val="22"/>
          <w:lang w:val="ca-ES" w:eastAsia="en-US"/>
        </w:rPr>
      </w:r>
    </w:p>
    <w:p>
      <w:pPr>
        <w:pStyle w:val="TextBody"/>
        <w:spacing w:lineRule="auto" w:line="276"/>
        <w:rPr>
          <w:rFonts w:ascii="Calibri" w:hAnsi="Calibri" w:cs="Arial"/>
          <w:szCs w:val="22"/>
          <w:lang w:val="ca-ES" w:eastAsia="en-US"/>
        </w:rPr>
      </w:pPr>
      <w:r>
        <w:rPr>
          <w:rFonts w:cs="Arial" w:ascii="Calibri" w:hAnsi="Calibri"/>
          <w:szCs w:val="22"/>
          <w:lang w:val="ca-ES" w:eastAsia="en-US"/>
        </w:rPr>
      </w:r>
    </w:p>
    <w:p>
      <w:pPr>
        <w:pStyle w:val="TextBody"/>
        <w:spacing w:lineRule="auto" w:line="276"/>
        <w:rPr>
          <w:rFonts w:ascii="Calibri" w:hAnsi="Calibri" w:cs="Calibri"/>
          <w:b/>
          <w:b/>
          <w:bCs/>
          <w:szCs w:val="22"/>
          <w:lang w:val="ca-ES" w:eastAsia="en-US"/>
        </w:rPr>
      </w:pPr>
      <w:r>
        <w:rPr>
          <w:rFonts w:cs="Calibri" w:ascii="Calibri" w:hAnsi="Calibri"/>
          <w:b/>
          <w:bCs/>
          <w:szCs w:val="22"/>
          <w:lang w:val="ca-ES" w:eastAsia="en-US"/>
        </w:rPr>
        <w:t>ANEXO 1: SOLICITUD Y AUTORIZACIÓN DE AYUDA PARA ACTIVIDADES EXTRESCOLARES</w:t>
      </w:r>
    </w:p>
    <w:p>
      <w:pPr>
        <w:pStyle w:val="Normal"/>
        <w:rPr>
          <w:rFonts w:ascii="Calibri" w:hAnsi="Calibri" w:cs="Calibri"/>
          <w:b/>
          <w:b/>
          <w:bCs/>
          <w:szCs w:val="22"/>
          <w:lang w:val="ca-ES" w:eastAsia="en-US"/>
        </w:rPr>
      </w:pPr>
      <w:r>
        <w:rPr>
          <w:rFonts w:cs="Calibri"/>
          <w:b/>
          <w:bCs/>
          <w:szCs w:val="22"/>
          <w:lang w:val="ca-ES" w:eastAsia="en-US"/>
        </w:rPr>
      </w:r>
    </w:p>
    <w:p>
      <w:pPr>
        <w:pStyle w:val="Normal"/>
        <w:rPr>
          <w:b/>
          <w:b/>
          <w:bCs/>
        </w:rPr>
      </w:pPr>
      <w:r>
        <w:rPr>
          <w:b/>
          <w:bCs/>
        </w:rPr>
      </w:r>
    </w:p>
    <w:p>
      <w:pPr>
        <w:pStyle w:val="Normal"/>
        <w:rPr>
          <w:b/>
          <w:b/>
          <w:bCs/>
        </w:rPr>
      </w:pPr>
      <w:r>
        <w:rPr>
          <w:b/>
          <w:bCs/>
        </w:rPr>
        <w:t xml:space="preserve">Datos de la persona solicitante: </w:t>
      </w:r>
    </w:p>
    <w:p>
      <w:pPr>
        <w:pStyle w:val="Normal"/>
        <w:rPr>
          <w:b/>
          <w:b/>
          <w:bCs/>
        </w:rPr>
      </w:pPr>
      <w:r>
        <w:rPr>
          <w:b/>
          <w:bCs/>
        </w:rPr>
      </w:r>
    </w:p>
    <w:tbl>
      <w:tblPr>
        <w:tblW w:w="8720" w:type="dxa"/>
        <w:jc w:val="start"/>
        <w:tblInd w:w="-108" w:type="dxa"/>
        <w:tblLayout w:type="fixed"/>
        <w:tblCellMar>
          <w:top w:w="0" w:type="dxa"/>
          <w:start w:w="108" w:type="dxa"/>
          <w:bottom w:w="0" w:type="dxa"/>
          <w:end w:w="108" w:type="dxa"/>
        </w:tblCellMar>
      </w:tblPr>
      <w:tblGrid>
        <w:gridCol w:w="1210"/>
        <w:gridCol w:w="3634"/>
        <w:gridCol w:w="3876"/>
      </w:tblGrid>
      <w:tr>
        <w:trPr>
          <w:trHeight w:val="567" w:hRule="atLeast"/>
        </w:trPr>
        <w:tc>
          <w:tcPr>
            <w:tcW w:w="1210" w:type="dxa"/>
            <w:tcBorders>
              <w:bottom w:val="single" w:sz="4" w:space="0" w:color="000000"/>
              <w:end w:val="single" w:sz="4" w:space="0" w:color="000000"/>
            </w:tcBorders>
            <w:vAlign w:val="center"/>
          </w:tcPr>
          <w:p>
            <w:pPr>
              <w:pStyle w:val="Normal"/>
              <w:snapToGrid w:val="false"/>
              <w:spacing w:before="120" w:after="0"/>
              <w:rPr>
                <w:rFonts w:cs="Mangal;Mangal"/>
                <w:b/>
                <w:b/>
                <w:bCs/>
              </w:rPr>
            </w:pPr>
            <w:r>
              <w:rPr>
                <w:rFonts w:cs="Mangal;Mangal"/>
                <w:b/>
                <w:bCs/>
              </w:rPr>
            </w:r>
          </w:p>
        </w:tc>
        <w:tc>
          <w:tcPr>
            <w:tcW w:w="3634" w:type="dxa"/>
            <w:tcBorders>
              <w:start w:val="single" w:sz="4" w:space="0" w:color="000000"/>
              <w:bottom w:val="single" w:sz="4" w:space="0" w:color="000000"/>
              <w:end w:val="single" w:sz="4" w:space="0" w:color="000000"/>
            </w:tcBorders>
            <w:vAlign w:val="center"/>
          </w:tcPr>
          <w:p>
            <w:pPr>
              <w:pStyle w:val="Normal"/>
              <w:spacing w:before="120" w:after="0"/>
              <w:rPr>
                <w:rFonts w:cs="Mangal;Mangal"/>
                <w:bCs/>
              </w:rPr>
            </w:pPr>
            <w:r>
              <w:rPr>
                <w:rFonts w:cs="Mangal;Mangal"/>
                <w:bCs/>
              </w:rPr>
              <w:t>Madre/ Tutora</w:t>
            </w:r>
          </w:p>
        </w:tc>
        <w:tc>
          <w:tcPr>
            <w:tcW w:w="3876" w:type="dxa"/>
            <w:tcBorders>
              <w:start w:val="single" w:sz="4" w:space="0" w:color="000000"/>
              <w:bottom w:val="single" w:sz="4" w:space="0" w:color="000000"/>
            </w:tcBorders>
            <w:vAlign w:val="center"/>
          </w:tcPr>
          <w:p>
            <w:pPr>
              <w:pStyle w:val="Normal"/>
              <w:spacing w:before="120" w:after="0"/>
              <w:rPr>
                <w:rFonts w:cs="Mangal;Mangal"/>
                <w:bCs/>
              </w:rPr>
            </w:pPr>
            <w:r>
              <w:rPr>
                <w:rFonts w:cs="Mangal;Mangal"/>
                <w:bCs/>
              </w:rPr>
              <w:t>Padre/ Tutor</w:t>
            </w:r>
          </w:p>
        </w:tc>
      </w:tr>
      <w:tr>
        <w:trPr>
          <w:trHeight w:val="567" w:hRule="atLeast"/>
        </w:trPr>
        <w:tc>
          <w:tcPr>
            <w:tcW w:w="1210" w:type="dxa"/>
            <w:tcBorders>
              <w:top w:val="single" w:sz="4" w:space="0" w:color="000000"/>
              <w:bottom w:val="single" w:sz="4" w:space="0" w:color="000000"/>
              <w:end w:val="single" w:sz="4" w:space="0" w:color="000000"/>
            </w:tcBorders>
            <w:vAlign w:val="center"/>
          </w:tcPr>
          <w:p>
            <w:pPr>
              <w:pStyle w:val="Normal"/>
              <w:spacing w:before="120" w:after="0"/>
              <w:rPr>
                <w:rFonts w:cs="Mangal;Mangal"/>
                <w:bCs/>
              </w:rPr>
            </w:pPr>
            <w:r>
              <w:rPr>
                <w:rFonts w:cs="Mangal;Mangal"/>
                <w:bCs/>
              </w:rPr>
              <w:t>NIF/NIE/</w:t>
            </w:r>
          </w:p>
          <w:p>
            <w:pPr>
              <w:pStyle w:val="Normal"/>
              <w:spacing w:before="120" w:after="0"/>
              <w:rPr>
                <w:rFonts w:cs="Mangal;Mangal"/>
                <w:bCs/>
              </w:rPr>
            </w:pPr>
            <w:r>
              <w:rPr>
                <w:rFonts w:cs="Mangal;Mangal"/>
                <w:bCs/>
              </w:rPr>
              <w:t>Pasaporte</w:t>
            </w:r>
          </w:p>
        </w:tc>
        <w:tc>
          <w:tcPr>
            <w:tcW w:w="3634"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120" w:after="0"/>
              <w:rPr>
                <w:rFonts w:cs="Mangal;Mangal"/>
                <w:bCs/>
              </w:rPr>
            </w:pPr>
            <w:r>
              <w:rPr>
                <w:rFonts w:cs="Mangal;Mangal"/>
                <w:bCs/>
              </w:rPr>
            </w:r>
          </w:p>
        </w:tc>
        <w:tc>
          <w:tcPr>
            <w:tcW w:w="3876" w:type="dxa"/>
            <w:tcBorders>
              <w:top w:val="single" w:sz="4" w:space="0" w:color="000000"/>
              <w:start w:val="single" w:sz="4" w:space="0" w:color="000000"/>
              <w:bottom w:val="single" w:sz="4" w:space="0" w:color="000000"/>
            </w:tcBorders>
            <w:vAlign w:val="center"/>
          </w:tcPr>
          <w:p>
            <w:pPr>
              <w:pStyle w:val="Normal"/>
              <w:snapToGrid w:val="false"/>
              <w:spacing w:before="120" w:after="0"/>
              <w:rPr>
                <w:rFonts w:cs="Mangal;Mangal"/>
              </w:rPr>
            </w:pPr>
            <w:r>
              <w:rPr>
                <w:rFonts w:cs="Mangal;Mangal"/>
              </w:rPr>
            </w:r>
          </w:p>
        </w:tc>
      </w:tr>
      <w:tr>
        <w:trPr>
          <w:trHeight w:val="567" w:hRule="atLeast"/>
        </w:trPr>
        <w:tc>
          <w:tcPr>
            <w:tcW w:w="1210" w:type="dxa"/>
            <w:tcBorders>
              <w:top w:val="single" w:sz="4" w:space="0" w:color="000000"/>
              <w:bottom w:val="single" w:sz="4" w:space="0" w:color="000000"/>
              <w:end w:val="single" w:sz="4" w:space="0" w:color="000000"/>
            </w:tcBorders>
            <w:vAlign w:val="center"/>
          </w:tcPr>
          <w:p>
            <w:pPr>
              <w:pStyle w:val="Normal"/>
              <w:spacing w:before="120" w:after="0"/>
              <w:rPr>
                <w:rFonts w:cs="Mangal;Mangal"/>
                <w:bCs/>
              </w:rPr>
            </w:pPr>
            <w:r>
              <w:rPr>
                <w:rFonts w:cs="Mangal;Mangal"/>
                <w:bCs/>
              </w:rPr>
              <w:t>Nombre y apellidos</w:t>
            </w:r>
          </w:p>
        </w:tc>
        <w:tc>
          <w:tcPr>
            <w:tcW w:w="3634"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120" w:after="0"/>
              <w:rPr>
                <w:rFonts w:cs="Mangal;Mangal"/>
                <w:bCs/>
              </w:rPr>
            </w:pPr>
            <w:r>
              <w:rPr>
                <w:rFonts w:cs="Mangal;Mangal"/>
                <w:bCs/>
              </w:rPr>
            </w:r>
          </w:p>
        </w:tc>
        <w:tc>
          <w:tcPr>
            <w:tcW w:w="3876" w:type="dxa"/>
            <w:tcBorders>
              <w:top w:val="single" w:sz="4" w:space="0" w:color="000000"/>
              <w:start w:val="single" w:sz="4" w:space="0" w:color="000000"/>
              <w:bottom w:val="single" w:sz="4" w:space="0" w:color="000000"/>
            </w:tcBorders>
            <w:vAlign w:val="center"/>
          </w:tcPr>
          <w:p>
            <w:pPr>
              <w:pStyle w:val="Normal"/>
              <w:snapToGrid w:val="false"/>
              <w:spacing w:before="120" w:after="0"/>
              <w:rPr>
                <w:rFonts w:cs="Mangal;Mangal"/>
              </w:rPr>
            </w:pPr>
            <w:r>
              <w:rPr>
                <w:rFonts w:cs="Mangal;Mangal"/>
              </w:rPr>
            </w:r>
          </w:p>
        </w:tc>
      </w:tr>
      <w:tr>
        <w:trPr>
          <w:trHeight w:val="567" w:hRule="atLeast"/>
        </w:trPr>
        <w:tc>
          <w:tcPr>
            <w:tcW w:w="1210" w:type="dxa"/>
            <w:tcBorders>
              <w:top w:val="single" w:sz="4" w:space="0" w:color="000000"/>
              <w:bottom w:val="single" w:sz="4" w:space="0" w:color="000000"/>
              <w:end w:val="single" w:sz="4" w:space="0" w:color="000000"/>
            </w:tcBorders>
            <w:vAlign w:val="center"/>
          </w:tcPr>
          <w:p>
            <w:pPr>
              <w:pStyle w:val="Normal"/>
              <w:spacing w:before="120" w:after="0"/>
              <w:rPr>
                <w:rFonts w:cs="Mangal;Mangal"/>
                <w:bCs/>
              </w:rPr>
            </w:pPr>
            <w:r>
              <w:rPr>
                <w:rFonts w:cs="Mangal;Mangal"/>
                <w:bCs/>
              </w:rPr>
              <w:t>Dirección</w:t>
            </w:r>
          </w:p>
        </w:tc>
        <w:tc>
          <w:tcPr>
            <w:tcW w:w="7510" w:type="dxa"/>
            <w:gridSpan w:val="2"/>
            <w:tcBorders>
              <w:top w:val="single" w:sz="4" w:space="0" w:color="000000"/>
              <w:start w:val="single" w:sz="4" w:space="0" w:color="000000"/>
              <w:bottom w:val="single" w:sz="4" w:space="0" w:color="000000"/>
            </w:tcBorders>
            <w:vAlign w:val="center"/>
          </w:tcPr>
          <w:p>
            <w:pPr>
              <w:pStyle w:val="Normal"/>
              <w:snapToGrid w:val="false"/>
              <w:spacing w:before="120" w:after="0"/>
              <w:rPr>
                <w:rFonts w:cs="Mangal;Mangal"/>
                <w:bCs/>
              </w:rPr>
            </w:pPr>
            <w:r>
              <w:rPr>
                <w:rFonts w:cs="Mangal;Mangal"/>
                <w:bCs/>
              </w:rPr>
            </w:r>
          </w:p>
        </w:tc>
      </w:tr>
      <w:tr>
        <w:trPr>
          <w:trHeight w:val="567" w:hRule="atLeast"/>
        </w:trPr>
        <w:tc>
          <w:tcPr>
            <w:tcW w:w="1210" w:type="dxa"/>
            <w:tcBorders>
              <w:top w:val="single" w:sz="4" w:space="0" w:color="000000"/>
              <w:bottom w:val="single" w:sz="4" w:space="0" w:color="000000"/>
              <w:end w:val="single" w:sz="4" w:space="0" w:color="000000"/>
            </w:tcBorders>
            <w:vAlign w:val="center"/>
          </w:tcPr>
          <w:p>
            <w:pPr>
              <w:pStyle w:val="Normal"/>
              <w:spacing w:before="120" w:after="0"/>
              <w:rPr>
                <w:rFonts w:cs="Mangal;Mangal"/>
                <w:bCs/>
              </w:rPr>
            </w:pPr>
            <w:r>
              <w:rPr>
                <w:rFonts w:cs="Mangal;Mangal"/>
                <w:bCs/>
              </w:rPr>
              <w:t>Municipio</w:t>
            </w:r>
          </w:p>
        </w:tc>
        <w:tc>
          <w:tcPr>
            <w:tcW w:w="7510" w:type="dxa"/>
            <w:gridSpan w:val="2"/>
            <w:tcBorders>
              <w:top w:val="single" w:sz="4" w:space="0" w:color="000000"/>
              <w:start w:val="single" w:sz="4" w:space="0" w:color="000000"/>
              <w:bottom w:val="single" w:sz="4" w:space="0" w:color="000000"/>
            </w:tcBorders>
            <w:vAlign w:val="center"/>
          </w:tcPr>
          <w:p>
            <w:pPr>
              <w:pStyle w:val="Normal"/>
              <w:snapToGrid w:val="false"/>
              <w:spacing w:before="120" w:after="0"/>
              <w:rPr>
                <w:rFonts w:cs="Mangal;Mangal"/>
                <w:bCs/>
              </w:rPr>
            </w:pPr>
            <w:r>
              <w:rPr>
                <w:rFonts w:cs="Mangal;Mangal"/>
                <w:bCs/>
              </w:rPr>
            </w:r>
          </w:p>
        </w:tc>
      </w:tr>
      <w:tr>
        <w:trPr>
          <w:trHeight w:val="567" w:hRule="atLeast"/>
        </w:trPr>
        <w:tc>
          <w:tcPr>
            <w:tcW w:w="1210" w:type="dxa"/>
            <w:tcBorders>
              <w:top w:val="single" w:sz="4" w:space="0" w:color="000000"/>
              <w:bottom w:val="single" w:sz="4" w:space="0" w:color="000000"/>
              <w:end w:val="single" w:sz="4" w:space="0" w:color="000000"/>
            </w:tcBorders>
            <w:vAlign w:val="center"/>
          </w:tcPr>
          <w:p>
            <w:pPr>
              <w:pStyle w:val="Normal"/>
              <w:spacing w:before="120" w:after="0"/>
              <w:rPr>
                <w:rFonts w:cs="Mangal;Mangal"/>
                <w:bCs/>
              </w:rPr>
            </w:pPr>
            <w:r>
              <w:rPr>
                <w:rFonts w:cs="Mangal;Mangal"/>
                <w:bCs/>
              </w:rPr>
              <w:t xml:space="preserve">Teléfonos </w:t>
            </w:r>
          </w:p>
        </w:tc>
        <w:tc>
          <w:tcPr>
            <w:tcW w:w="3634"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120" w:after="0"/>
              <w:rPr>
                <w:rFonts w:cs="Mangal;Mangal"/>
                <w:bCs/>
              </w:rPr>
            </w:pPr>
            <w:r>
              <w:rPr>
                <w:rFonts w:cs="Mangal;Mangal"/>
                <w:bCs/>
              </w:rPr>
            </w:r>
          </w:p>
        </w:tc>
        <w:tc>
          <w:tcPr>
            <w:tcW w:w="3876" w:type="dxa"/>
            <w:tcBorders>
              <w:top w:val="single" w:sz="4" w:space="0" w:color="000000"/>
              <w:start w:val="single" w:sz="4" w:space="0" w:color="000000"/>
              <w:bottom w:val="single" w:sz="4" w:space="0" w:color="000000"/>
            </w:tcBorders>
            <w:vAlign w:val="center"/>
          </w:tcPr>
          <w:p>
            <w:pPr>
              <w:pStyle w:val="Normal"/>
              <w:snapToGrid w:val="false"/>
              <w:spacing w:before="120" w:after="0"/>
              <w:rPr>
                <w:rFonts w:cs="Mangal;Mangal"/>
              </w:rPr>
            </w:pPr>
            <w:r>
              <w:rPr>
                <w:rFonts w:cs="Mangal;Mangal"/>
              </w:rPr>
            </w:r>
          </w:p>
        </w:tc>
      </w:tr>
      <w:tr>
        <w:trPr>
          <w:trHeight w:val="567" w:hRule="atLeast"/>
        </w:trPr>
        <w:tc>
          <w:tcPr>
            <w:tcW w:w="1210" w:type="dxa"/>
            <w:tcBorders>
              <w:top w:val="single" w:sz="4" w:space="0" w:color="000000"/>
              <w:end w:val="single" w:sz="4" w:space="0" w:color="000000"/>
            </w:tcBorders>
            <w:vAlign w:val="center"/>
          </w:tcPr>
          <w:p>
            <w:pPr>
              <w:pStyle w:val="Normal"/>
              <w:spacing w:before="120" w:after="0"/>
              <w:rPr>
                <w:rFonts w:cs="Mangal;Mangal"/>
                <w:bCs/>
              </w:rPr>
            </w:pPr>
            <w:r>
              <w:rPr>
                <w:rFonts w:cs="Mangal;Mangal"/>
                <w:bCs/>
              </w:rPr>
              <w:t>Dirección electrónica</w:t>
            </w:r>
          </w:p>
        </w:tc>
        <w:tc>
          <w:tcPr>
            <w:tcW w:w="3634" w:type="dxa"/>
            <w:tcBorders>
              <w:top w:val="single" w:sz="4" w:space="0" w:color="000000"/>
              <w:start w:val="single" w:sz="4" w:space="0" w:color="000000"/>
              <w:end w:val="single" w:sz="4" w:space="0" w:color="000000"/>
            </w:tcBorders>
            <w:vAlign w:val="center"/>
          </w:tcPr>
          <w:p>
            <w:pPr>
              <w:pStyle w:val="Normal"/>
              <w:snapToGrid w:val="false"/>
              <w:spacing w:before="120" w:after="0"/>
              <w:rPr>
                <w:rFonts w:cs="Mangal;Mangal"/>
                <w:bCs/>
              </w:rPr>
            </w:pPr>
            <w:r>
              <w:rPr>
                <w:rFonts w:cs="Mangal;Mangal"/>
                <w:bCs/>
              </w:rPr>
            </w:r>
          </w:p>
        </w:tc>
        <w:tc>
          <w:tcPr>
            <w:tcW w:w="3876" w:type="dxa"/>
            <w:tcBorders>
              <w:top w:val="single" w:sz="4" w:space="0" w:color="000000"/>
              <w:start w:val="single" w:sz="4" w:space="0" w:color="000000"/>
            </w:tcBorders>
            <w:vAlign w:val="center"/>
          </w:tcPr>
          <w:p>
            <w:pPr>
              <w:pStyle w:val="Normal"/>
              <w:snapToGrid w:val="false"/>
              <w:spacing w:before="120" w:after="0"/>
              <w:rPr>
                <w:rFonts w:cs="Mangal;Mangal"/>
              </w:rPr>
            </w:pPr>
            <w:r>
              <w:rPr>
                <w:rFonts w:cs="Mangal;Mangal"/>
              </w:rPr>
            </w:r>
          </w:p>
        </w:tc>
      </w:tr>
    </w:tbl>
    <w:p>
      <w:pPr>
        <w:pStyle w:val="Normal"/>
        <w:rPr>
          <w:b/>
          <w:b/>
          <w:bCs/>
        </w:rPr>
      </w:pPr>
      <w:r>
        <w:rPr>
          <w:b/>
          <w:bCs/>
        </w:rPr>
      </w:r>
    </w:p>
    <w:p>
      <w:pPr>
        <w:pStyle w:val="Normal"/>
        <w:rPr>
          <w:bCs/>
          <w:i/>
          <w:i/>
          <w:iCs/>
        </w:rPr>
      </w:pPr>
      <w:r>
        <w:rPr>
          <w:b/>
          <w:bCs/>
          <w:i/>
          <w:iCs/>
        </w:rPr>
        <w:t>*</w:t>
      </w:r>
      <w:r>
        <w:rPr>
          <w:bCs/>
          <w:i/>
          <w:iCs/>
        </w:rPr>
        <w:t xml:space="preserve">Es obligatorio, escribir los datos de ambos progenitores/tutores. </w:t>
      </w:r>
    </w:p>
    <w:p>
      <w:pPr>
        <w:pStyle w:val="Normal"/>
        <w:rPr>
          <w:bCs/>
          <w:i/>
          <w:i/>
          <w:iCs/>
        </w:rPr>
      </w:pPr>
      <w:r>
        <w:rPr>
          <w:bCs/>
          <w:i/>
          <w:iCs/>
        </w:rPr>
        <w:t>En caso de, monomarentalidad/monoparentalidad, será uno.</w:t>
      </w:r>
    </w:p>
    <w:p>
      <w:pPr>
        <w:pStyle w:val="Normal"/>
        <w:rPr>
          <w:b/>
          <w:b/>
          <w:bCs/>
          <w:i/>
          <w:i/>
          <w:iCs/>
        </w:rPr>
      </w:pPr>
      <w:r>
        <w:rPr>
          <w:b/>
          <w:bCs/>
          <w:i/>
          <w:iCs/>
        </w:rPr>
      </w:r>
    </w:p>
    <w:p>
      <w:pPr>
        <w:pStyle w:val="Normal"/>
        <w:rPr>
          <w:bCs/>
        </w:rPr>
      </w:pPr>
      <w:r>
        <w:rPr>
          <w:b/>
          <w:bCs/>
        </w:rPr>
        <w:t xml:space="preserve">DECLARO </w:t>
      </w:r>
      <w:r>
        <w:rPr>
          <w:bCs/>
        </w:rPr>
        <w:t>que los datos de mi niño/joven:</w:t>
      </w:r>
    </w:p>
    <w:p>
      <w:pPr>
        <w:pStyle w:val="Normal"/>
        <w:rPr>
          <w:b/>
          <w:b/>
          <w:i/>
          <w:i/>
          <w:iCs/>
        </w:rPr>
      </w:pPr>
      <w:r>
        <w:rPr>
          <w:rFonts w:cs="Calibri"/>
          <w:b/>
          <w:i/>
          <w:iCs/>
        </w:rPr>
        <w:t xml:space="preserve"> *Cada hijo presenta una solicitud.</w:t>
      </w:r>
    </w:p>
    <w:p>
      <w:pPr>
        <w:pStyle w:val="Normal"/>
        <w:rPr>
          <w:b/>
          <w:b/>
          <w:bCs/>
          <w:i/>
          <w:i/>
          <w:iCs/>
        </w:rPr>
      </w:pPr>
      <w:r>
        <w:rPr>
          <w:b/>
          <w:bCs/>
          <w:i/>
          <w:iCs/>
        </w:rPr>
      </w:r>
    </w:p>
    <w:tbl>
      <w:tblPr>
        <w:tblW w:w="4800" w:type="pct"/>
        <w:jc w:val="start"/>
        <w:tblInd w:w="-108" w:type="dxa"/>
        <w:tblLayout w:type="fixed"/>
        <w:tblCellMar>
          <w:top w:w="0" w:type="dxa"/>
          <w:start w:w="108" w:type="dxa"/>
          <w:bottom w:w="0" w:type="dxa"/>
          <w:end w:w="108" w:type="dxa"/>
        </w:tblCellMar>
      </w:tblPr>
      <w:tblGrid>
        <w:gridCol w:w="1196"/>
        <w:gridCol w:w="1422"/>
        <w:gridCol w:w="1739"/>
        <w:gridCol w:w="1135"/>
        <w:gridCol w:w="1783"/>
        <w:gridCol w:w="888"/>
      </w:tblGrid>
      <w:tr>
        <w:trPr>
          <w:trHeight w:val="567" w:hRule="atLeast"/>
        </w:trPr>
        <w:tc>
          <w:tcPr>
            <w:tcW w:w="1196" w:type="dxa"/>
            <w:tcBorders>
              <w:bottom w:val="single" w:sz="4" w:space="0" w:color="000000"/>
              <w:end w:val="single" w:sz="4" w:space="0" w:color="000000"/>
            </w:tcBorders>
          </w:tcPr>
          <w:p>
            <w:pPr>
              <w:pStyle w:val="Normal"/>
              <w:spacing w:before="120" w:after="0"/>
              <w:rPr>
                <w:rFonts w:cs="Mangal;Mangal"/>
              </w:rPr>
            </w:pPr>
            <w:r>
              <w:rPr>
                <w:rFonts w:cs="Mangal;Mangal"/>
                <w:bCs/>
              </w:rPr>
              <w:t>Nombre</w:t>
            </w:r>
          </w:p>
        </w:tc>
        <w:tc>
          <w:tcPr>
            <w:tcW w:w="1422" w:type="dxa"/>
            <w:tcBorders>
              <w:start w:val="single" w:sz="4" w:space="0" w:color="000000"/>
              <w:bottom w:val="single" w:sz="4" w:space="0" w:color="000000"/>
              <w:end w:val="single" w:sz="4" w:space="0" w:color="000000"/>
            </w:tcBorders>
          </w:tcPr>
          <w:p>
            <w:pPr>
              <w:pStyle w:val="Normal"/>
              <w:spacing w:before="120" w:after="0"/>
              <w:rPr>
                <w:rFonts w:cs="Mangal;Mangal"/>
              </w:rPr>
            </w:pPr>
            <w:r>
              <w:rPr>
                <w:rFonts w:cs="Mangal;Mangal"/>
                <w:bCs/>
              </w:rPr>
              <w:t>1er apellido</w:t>
            </w:r>
          </w:p>
        </w:tc>
        <w:tc>
          <w:tcPr>
            <w:tcW w:w="1739" w:type="dxa"/>
            <w:tcBorders>
              <w:start w:val="single" w:sz="4" w:space="0" w:color="000000"/>
              <w:bottom w:val="single" w:sz="4" w:space="0" w:color="000000"/>
              <w:end w:val="single" w:sz="4" w:space="0" w:color="000000"/>
            </w:tcBorders>
          </w:tcPr>
          <w:p>
            <w:pPr>
              <w:pStyle w:val="Normal"/>
              <w:spacing w:before="120" w:after="0"/>
              <w:rPr>
                <w:rFonts w:cs="Mangal;Mangal"/>
              </w:rPr>
            </w:pPr>
            <w:r>
              <w:rPr>
                <w:rFonts w:cs="Mangal;Mangal"/>
                <w:bCs/>
              </w:rPr>
              <w:t>2º apellido</w:t>
            </w:r>
          </w:p>
        </w:tc>
        <w:tc>
          <w:tcPr>
            <w:tcW w:w="1135" w:type="dxa"/>
            <w:tcBorders>
              <w:start w:val="single" w:sz="4" w:space="0" w:color="000000"/>
              <w:bottom w:val="single" w:sz="4" w:space="0" w:color="000000"/>
              <w:end w:val="single" w:sz="4" w:space="0" w:color="000000"/>
            </w:tcBorders>
          </w:tcPr>
          <w:p>
            <w:pPr>
              <w:pStyle w:val="Normal"/>
              <w:spacing w:before="120" w:after="0"/>
              <w:rPr>
                <w:rFonts w:cs="Mangal;Mangal"/>
              </w:rPr>
            </w:pPr>
            <w:r>
              <w:rPr>
                <w:rFonts w:cs="Mangal;Mangal"/>
                <w:bCs/>
              </w:rPr>
              <w:t>Fecha de nacimiento</w:t>
            </w:r>
          </w:p>
        </w:tc>
        <w:tc>
          <w:tcPr>
            <w:tcW w:w="1783" w:type="dxa"/>
            <w:tcBorders>
              <w:start w:val="single" w:sz="4" w:space="0" w:color="000000"/>
              <w:bottom w:val="single" w:sz="4" w:space="0" w:color="000000"/>
              <w:end w:val="single" w:sz="4" w:space="0" w:color="000000"/>
            </w:tcBorders>
          </w:tcPr>
          <w:p>
            <w:pPr>
              <w:pStyle w:val="Normal"/>
              <w:spacing w:before="120" w:after="0"/>
              <w:rPr>
                <w:rFonts w:cs="Mangal;Mangal"/>
              </w:rPr>
            </w:pPr>
            <w:r>
              <w:rPr>
                <w:rFonts w:cs="Mangal;Mangal"/>
                <w:bCs/>
              </w:rPr>
              <w:t>Centro Educativo</w:t>
            </w:r>
          </w:p>
        </w:tc>
        <w:tc>
          <w:tcPr>
            <w:tcW w:w="888" w:type="dxa"/>
            <w:tcBorders>
              <w:start w:val="single" w:sz="4" w:space="0" w:color="000000"/>
              <w:bottom w:val="single" w:sz="4" w:space="0" w:color="000000"/>
            </w:tcBorders>
          </w:tcPr>
          <w:p>
            <w:pPr>
              <w:pStyle w:val="Normal"/>
              <w:spacing w:before="120" w:after="0"/>
              <w:rPr>
                <w:rFonts w:cs="Mangal;Mangal"/>
                <w:bCs/>
              </w:rPr>
            </w:pPr>
            <w:r>
              <w:rPr>
                <w:rFonts w:cs="Mangal;Mangal"/>
                <w:bCs/>
              </w:rPr>
              <w:t>Curso en la escuela</w:t>
            </w:r>
          </w:p>
        </w:tc>
      </w:tr>
      <w:tr>
        <w:trPr>
          <w:trHeight w:val="567" w:hRule="atLeast"/>
        </w:trPr>
        <w:tc>
          <w:tcPr>
            <w:tcW w:w="1196" w:type="dxa"/>
            <w:tcBorders>
              <w:top w:val="single" w:sz="4" w:space="0" w:color="000000"/>
              <w:end w:val="single" w:sz="4" w:space="0" w:color="000000"/>
            </w:tcBorders>
          </w:tcPr>
          <w:p>
            <w:pPr>
              <w:pStyle w:val="Normal"/>
              <w:snapToGrid w:val="false"/>
              <w:spacing w:before="120" w:after="0"/>
              <w:rPr>
                <w:rFonts w:cs="Mangal;Mangal"/>
                <w:bCs/>
              </w:rPr>
            </w:pPr>
            <w:r>
              <w:rPr>
                <w:rFonts w:cs="Mangal;Mangal"/>
                <w:bCs/>
              </w:rPr>
            </w:r>
          </w:p>
          <w:p>
            <w:pPr>
              <w:pStyle w:val="Normal"/>
              <w:spacing w:before="120" w:after="0"/>
              <w:rPr>
                <w:rFonts w:cs="Mangal;Mangal"/>
                <w:bCs/>
              </w:rPr>
            </w:pPr>
            <w:r>
              <w:rPr>
                <w:rFonts w:cs="Mangal;Mangal"/>
                <w:bCs/>
              </w:rPr>
            </w:r>
          </w:p>
          <w:p>
            <w:pPr>
              <w:pStyle w:val="Normal"/>
              <w:spacing w:before="120" w:after="0"/>
              <w:rPr>
                <w:rFonts w:cs="Mangal;Mangal"/>
                <w:bCs/>
              </w:rPr>
            </w:pPr>
            <w:r>
              <w:rPr>
                <w:rFonts w:cs="Mangal;Mangal"/>
                <w:bCs/>
              </w:rPr>
            </w:r>
          </w:p>
        </w:tc>
        <w:tc>
          <w:tcPr>
            <w:tcW w:w="1422" w:type="dxa"/>
            <w:tcBorders>
              <w:top w:val="single" w:sz="4" w:space="0" w:color="000000"/>
              <w:start w:val="single" w:sz="4" w:space="0" w:color="000000"/>
              <w:end w:val="single" w:sz="4" w:space="0" w:color="000000"/>
            </w:tcBorders>
          </w:tcPr>
          <w:p>
            <w:pPr>
              <w:pStyle w:val="Normal"/>
              <w:snapToGrid w:val="false"/>
              <w:spacing w:before="120" w:after="0"/>
              <w:rPr>
                <w:rFonts w:cs="Mangal;Mangal"/>
                <w:bCs/>
              </w:rPr>
            </w:pPr>
            <w:r>
              <w:rPr>
                <w:rFonts w:cs="Mangal;Mangal"/>
                <w:bCs/>
              </w:rPr>
            </w:r>
          </w:p>
        </w:tc>
        <w:tc>
          <w:tcPr>
            <w:tcW w:w="1739" w:type="dxa"/>
            <w:tcBorders>
              <w:top w:val="single" w:sz="4" w:space="0" w:color="000000"/>
              <w:start w:val="single" w:sz="4" w:space="0" w:color="000000"/>
              <w:end w:val="single" w:sz="4" w:space="0" w:color="000000"/>
            </w:tcBorders>
          </w:tcPr>
          <w:p>
            <w:pPr>
              <w:pStyle w:val="Normal"/>
              <w:snapToGrid w:val="false"/>
              <w:spacing w:before="120" w:after="0"/>
              <w:rPr>
                <w:rFonts w:cs="Mangal;Mangal"/>
                <w:bCs/>
              </w:rPr>
            </w:pPr>
            <w:r>
              <w:rPr>
                <w:rFonts w:cs="Mangal;Mangal"/>
                <w:bCs/>
              </w:rPr>
            </w:r>
          </w:p>
        </w:tc>
        <w:tc>
          <w:tcPr>
            <w:tcW w:w="1135" w:type="dxa"/>
            <w:tcBorders>
              <w:top w:val="single" w:sz="4" w:space="0" w:color="000000"/>
              <w:start w:val="single" w:sz="4" w:space="0" w:color="000000"/>
              <w:end w:val="single" w:sz="4" w:space="0" w:color="000000"/>
            </w:tcBorders>
          </w:tcPr>
          <w:p>
            <w:pPr>
              <w:pStyle w:val="Normal"/>
              <w:snapToGrid w:val="false"/>
              <w:spacing w:before="120" w:after="0"/>
              <w:rPr>
                <w:rFonts w:cs="Mangal;Mangal"/>
                <w:bCs/>
              </w:rPr>
            </w:pPr>
            <w:r>
              <w:rPr>
                <w:rFonts w:cs="Mangal;Mangal"/>
                <w:bCs/>
              </w:rPr>
            </w:r>
          </w:p>
        </w:tc>
        <w:tc>
          <w:tcPr>
            <w:tcW w:w="1783" w:type="dxa"/>
            <w:tcBorders>
              <w:top w:val="single" w:sz="4" w:space="0" w:color="000000"/>
              <w:start w:val="single" w:sz="4" w:space="0" w:color="000000"/>
              <w:end w:val="single" w:sz="4" w:space="0" w:color="000000"/>
            </w:tcBorders>
          </w:tcPr>
          <w:p>
            <w:pPr>
              <w:pStyle w:val="Normal"/>
              <w:snapToGrid w:val="false"/>
              <w:spacing w:before="120" w:after="0"/>
              <w:rPr>
                <w:rFonts w:cs="Mangal;Mangal"/>
                <w:bCs/>
              </w:rPr>
            </w:pPr>
            <w:r>
              <w:rPr>
                <w:rFonts w:cs="Mangal;Mangal"/>
                <w:bCs/>
              </w:rPr>
            </w:r>
          </w:p>
        </w:tc>
        <w:tc>
          <w:tcPr>
            <w:tcW w:w="888" w:type="dxa"/>
            <w:tcBorders>
              <w:top w:val="single" w:sz="4" w:space="0" w:color="000000"/>
              <w:start w:val="single" w:sz="4" w:space="0" w:color="000000"/>
            </w:tcBorders>
          </w:tcPr>
          <w:p>
            <w:pPr>
              <w:pStyle w:val="Normal"/>
              <w:snapToGrid w:val="false"/>
              <w:spacing w:before="120" w:after="0"/>
              <w:ind w:start="768" w:hanging="0"/>
              <w:rPr>
                <w:rFonts w:cs="Mangal;Mangal"/>
                <w:bCs/>
              </w:rPr>
            </w:pPr>
            <w:r>
              <w:rPr>
                <w:rFonts w:cs="Mangal;Mangal"/>
                <w:bCs/>
              </w:rPr>
            </w:r>
          </w:p>
        </w:tc>
      </w:tr>
    </w:tbl>
    <w:p>
      <w:pPr>
        <w:pStyle w:val="Normal"/>
        <w:rPr/>
      </w:pPr>
      <w:r>
        <w:rPr/>
      </w:r>
    </w:p>
    <w:p>
      <w:pPr>
        <w:pStyle w:val="TextBody"/>
        <w:spacing w:lineRule="auto" w:line="276"/>
        <w:ind w:start="720" w:hanging="0"/>
        <w:rPr>
          <w:rFonts w:ascii="Calibri" w:hAnsi="Calibri" w:cs="Calibri"/>
          <w:bCs/>
          <w:szCs w:val="22"/>
          <w:lang w:val="ca-ES" w:eastAsia="en-US"/>
        </w:rPr>
      </w:pPr>
      <w:r>
        <w:rPr>
          <w:rFonts w:cs="Calibri" w:ascii="Calibri" w:hAnsi="Calibri"/>
          <w:bCs/>
          <w:szCs w:val="22"/>
          <w:lang w:val="ca-ES" w:eastAsia="en-US"/>
        </w:rPr>
      </w:r>
    </w:p>
    <w:p>
      <w:pPr>
        <w:pStyle w:val="Normal"/>
        <w:jc w:val="both"/>
        <w:rPr>
          <w:rFonts w:cs="Calibri"/>
        </w:rPr>
      </w:pPr>
      <w:r>
        <w:rPr>
          <w:rFonts w:cs="Calibri"/>
        </w:rPr>
        <w:t>Escriba la actividad que su hijo/a quiera realizar con orden de preferencia y la Paeria de Cervera notificará qué actividad se le ha asignado.</w:t>
      </w:r>
    </w:p>
    <w:p>
      <w:pPr>
        <w:pStyle w:val="Normal"/>
        <w:rPr/>
      </w:pPr>
      <w:r>
        <w:rPr>
          <w:rFonts w:cs="Calibri"/>
        </w:rPr>
        <w:t>Las actividades se asignarán por orden de puntuación y en caso de empate, por orden de presentación.</w:t>
      </w:r>
    </w:p>
    <w:p>
      <w:pPr>
        <w:pStyle w:val="Normal"/>
        <w:rPr/>
      </w:pPr>
      <w:r>
        <w:rPr/>
      </w:r>
    </w:p>
    <w:p>
      <w:pPr>
        <w:pStyle w:val="Normal"/>
        <w:rPr/>
      </w:pPr>
      <w:r>
        <w:rPr/>
      </w:r>
    </w:p>
    <w:tbl>
      <w:tblPr>
        <w:tblW w:w="4950" w:type="pct"/>
        <w:jc w:val="start"/>
        <w:tblInd w:w="-108" w:type="dxa"/>
        <w:tblLayout w:type="fixed"/>
        <w:tblCellMar>
          <w:top w:w="0" w:type="dxa"/>
          <w:start w:w="108" w:type="dxa"/>
          <w:bottom w:w="0" w:type="dxa"/>
          <w:end w:w="108" w:type="dxa"/>
        </w:tblCellMar>
      </w:tblPr>
      <w:tblGrid>
        <w:gridCol w:w="2328"/>
        <w:gridCol w:w="6090"/>
      </w:tblGrid>
      <w:tr>
        <w:trPr>
          <w:trHeight w:val="23" w:hRule="atLeast"/>
        </w:trPr>
        <w:tc>
          <w:tcPr>
            <w:tcW w:w="2328" w:type="dxa"/>
            <w:tcBorders>
              <w:bottom w:val="single" w:sz="4" w:space="0" w:color="000000"/>
              <w:end w:val="single" w:sz="4" w:space="0" w:color="000000"/>
            </w:tcBorders>
          </w:tcPr>
          <w:p>
            <w:pPr>
              <w:pStyle w:val="Normal"/>
              <w:spacing w:before="120" w:after="0"/>
              <w:rPr>
                <w:rFonts w:cs="Mangal;Mangal"/>
              </w:rPr>
            </w:pPr>
            <w:r>
              <w:rPr>
                <w:rFonts w:cs="Mangal;Mangal"/>
              </w:rPr>
              <w:t>Primera Opción</w:t>
            </w:r>
          </w:p>
        </w:tc>
        <w:tc>
          <w:tcPr>
            <w:tcW w:w="6090" w:type="dxa"/>
            <w:tcBorders>
              <w:start w:val="single" w:sz="4" w:space="0" w:color="000000"/>
              <w:bottom w:val="single" w:sz="4" w:space="0" w:color="000000"/>
            </w:tcBorders>
          </w:tcPr>
          <w:p>
            <w:pPr>
              <w:pStyle w:val="Normal"/>
              <w:snapToGrid w:val="false"/>
              <w:spacing w:before="120" w:after="0"/>
              <w:rPr>
                <w:rFonts w:cs="Mangal;Mangal"/>
                <w:bCs/>
              </w:rPr>
            </w:pPr>
            <w:r>
              <w:rPr>
                <w:rFonts w:cs="Mangal;Mangal"/>
                <w:bCs/>
              </w:rPr>
            </w:r>
          </w:p>
        </w:tc>
      </w:tr>
      <w:tr>
        <w:trPr>
          <w:trHeight w:val="23" w:hRule="atLeast"/>
        </w:trPr>
        <w:tc>
          <w:tcPr>
            <w:tcW w:w="2328" w:type="dxa"/>
            <w:tcBorders>
              <w:top w:val="single" w:sz="4" w:space="0" w:color="000000"/>
              <w:bottom w:val="single" w:sz="4" w:space="0" w:color="000000"/>
              <w:end w:val="single" w:sz="4" w:space="0" w:color="000000"/>
            </w:tcBorders>
          </w:tcPr>
          <w:p>
            <w:pPr>
              <w:pStyle w:val="Normal"/>
              <w:spacing w:before="120" w:after="0"/>
              <w:rPr>
                <w:rFonts w:cs="Mangal;Mangal"/>
              </w:rPr>
            </w:pPr>
            <w:r>
              <w:rPr>
                <w:rFonts w:cs="Mangal;Mangal"/>
              </w:rPr>
              <w:t>Segunda Opción</w:t>
            </w:r>
          </w:p>
        </w:tc>
        <w:tc>
          <w:tcPr>
            <w:tcW w:w="6090" w:type="dxa"/>
            <w:tcBorders>
              <w:top w:val="single" w:sz="4" w:space="0" w:color="000000"/>
              <w:start w:val="single" w:sz="4" w:space="0" w:color="000000"/>
              <w:bottom w:val="single" w:sz="4" w:space="0" w:color="000000"/>
            </w:tcBorders>
          </w:tcPr>
          <w:p>
            <w:pPr>
              <w:pStyle w:val="Normal"/>
              <w:snapToGrid w:val="false"/>
              <w:spacing w:before="120" w:after="0"/>
              <w:rPr>
                <w:rFonts w:cs="Mangal;Mangal"/>
                <w:bCs/>
              </w:rPr>
            </w:pPr>
            <w:r>
              <w:rPr>
                <w:rFonts w:cs="Mangal;Mangal"/>
                <w:bCs/>
              </w:rPr>
            </w:r>
          </w:p>
        </w:tc>
      </w:tr>
      <w:tr>
        <w:trPr>
          <w:trHeight w:val="23" w:hRule="atLeast"/>
        </w:trPr>
        <w:tc>
          <w:tcPr>
            <w:tcW w:w="2328" w:type="dxa"/>
            <w:tcBorders>
              <w:top w:val="single" w:sz="4" w:space="0" w:color="000000"/>
              <w:end w:val="single" w:sz="4" w:space="0" w:color="000000"/>
            </w:tcBorders>
          </w:tcPr>
          <w:p>
            <w:pPr>
              <w:pStyle w:val="Normal"/>
              <w:spacing w:before="120" w:after="0"/>
              <w:rPr>
                <w:rFonts w:cs="Mangal;Mangal"/>
              </w:rPr>
            </w:pPr>
            <w:r>
              <w:rPr>
                <w:rFonts w:cs="Mangal;Mangal"/>
              </w:rPr>
              <w:t>Tercera Opción</w:t>
            </w:r>
          </w:p>
        </w:tc>
        <w:tc>
          <w:tcPr>
            <w:tcW w:w="6090" w:type="dxa"/>
            <w:tcBorders>
              <w:top w:val="single" w:sz="4" w:space="0" w:color="000000"/>
              <w:start w:val="single" w:sz="4" w:space="0" w:color="000000"/>
            </w:tcBorders>
          </w:tcPr>
          <w:p>
            <w:pPr>
              <w:pStyle w:val="Normal"/>
              <w:snapToGrid w:val="false"/>
              <w:spacing w:before="120" w:after="0"/>
              <w:rPr>
                <w:rFonts w:cs="Mangal;Mangal"/>
                <w:bCs/>
              </w:rPr>
            </w:pPr>
            <w:r>
              <w:rPr>
                <w:rFonts w:cs="Mangal;Mangal"/>
                <w:bCs/>
              </w:rPr>
            </w:r>
          </w:p>
        </w:tc>
      </w:tr>
    </w:tbl>
    <w:p>
      <w:pPr>
        <w:pStyle w:val="Pargrafdellista"/>
        <w:spacing w:before="0" w:after="0"/>
        <w:ind w:start="0" w:hanging="0"/>
        <w:contextualSpacing/>
        <w:rPr>
          <w:bCs/>
        </w:rPr>
      </w:pPr>
      <w:r>
        <w:rPr>
          <w:bCs/>
        </w:rPr>
      </w:r>
    </w:p>
    <w:p>
      <w:pPr>
        <w:pStyle w:val="Pargrafdellista"/>
        <w:spacing w:before="0" w:after="0"/>
        <w:ind w:start="0" w:hanging="0"/>
        <w:contextualSpacing/>
        <w:rPr>
          <w:bCs/>
        </w:rPr>
      </w:pPr>
      <w:r>
        <w:rPr>
          <w:bCs/>
        </w:rPr>
      </w:r>
    </w:p>
    <w:p>
      <w:pPr>
        <w:pStyle w:val="Normal"/>
        <w:rPr>
          <w:b/>
          <w:b/>
          <w:bCs/>
        </w:rPr>
      </w:pPr>
      <w:r>
        <w:rPr>
          <w:b/>
          <w:bCs/>
        </w:rPr>
        <w:t>SOLICITO que se me conceda la ayuda mencionada y por este motivo</w:t>
      </w:r>
    </w:p>
    <w:p>
      <w:pPr>
        <w:pStyle w:val="Normal"/>
        <w:rPr>
          <w:b/>
          <w:b/>
          <w:bCs/>
        </w:rPr>
      </w:pPr>
      <w:r>
        <w:rPr>
          <w:b/>
          <w:bCs/>
        </w:rPr>
      </w:r>
    </w:p>
    <w:p>
      <w:pPr>
        <w:pStyle w:val="Normal"/>
        <w:rPr>
          <w:b/>
          <w:b/>
          <w:bCs/>
        </w:rPr>
      </w:pPr>
      <w:r>
        <w:rPr>
          <w:b/>
          <w:bCs/>
        </w:rPr>
        <w:t>DECLARO:</w:t>
      </w:r>
    </w:p>
    <w:p>
      <w:pPr>
        <w:pStyle w:val="Pargrafdellista"/>
        <w:numPr>
          <w:ilvl w:val="0"/>
          <w:numId w:val="5"/>
        </w:numPr>
        <w:spacing w:before="0" w:after="0"/>
        <w:contextualSpacing/>
        <w:jc w:val="both"/>
        <w:rPr>
          <w:bCs/>
        </w:rPr>
      </w:pPr>
      <w:r>
        <w:rPr>
          <w:bCs/>
        </w:rPr>
        <w:t>Que estoy empadronado/a y resido en Cervera.</w:t>
      </w:r>
    </w:p>
    <w:p>
      <w:pPr>
        <w:pStyle w:val="Pargrafdellista"/>
        <w:numPr>
          <w:ilvl w:val="0"/>
          <w:numId w:val="5"/>
        </w:numPr>
        <w:spacing w:before="0" w:after="0"/>
        <w:contextualSpacing/>
        <w:jc w:val="both"/>
        <w:rPr/>
      </w:pPr>
      <w:r>
        <w:rPr/>
        <w:t>Que son ciertos todos los datos consignados en esta solicitud.</w:t>
      </w:r>
    </w:p>
    <w:p>
      <w:pPr>
        <w:pStyle w:val="Pargrafdellista"/>
        <w:numPr>
          <w:ilvl w:val="0"/>
          <w:numId w:val="5"/>
        </w:numPr>
        <w:spacing w:before="0" w:after="0"/>
        <w:contextualSpacing/>
        <w:jc w:val="both"/>
        <w:rPr/>
      </w:pPr>
      <w:r>
        <w:rPr/>
        <w:t>Que estoy informado/a de la obligatoriedad a presentar los documentos adecuados ante los órganos de control de la Administración para, en su caso, verificar sus datos.</w:t>
      </w:r>
    </w:p>
    <w:p>
      <w:pPr>
        <w:pStyle w:val="Pargrafdellista"/>
        <w:numPr>
          <w:ilvl w:val="0"/>
          <w:numId w:val="5"/>
        </w:numPr>
        <w:spacing w:before="0" w:after="0"/>
        <w:contextualSpacing/>
        <w:jc w:val="both"/>
        <w:rPr>
          <w:bCs/>
        </w:rPr>
      </w:pPr>
      <w:r>
        <w:rPr>
          <w:bCs/>
        </w:rPr>
        <w:t>Que cumplo con las condiciones de estar en situación de riesgo en seguimiento/tratamiento por Servicios Sociales Basicos del Consejo Comarcal de la Segarra y que permito que comprueben estos datos y/o cumplo con las condiciones de ser alumno con necesidades escenificas de apoyo educativo ( NESE) determinado por el</w:t>
      </w:r>
      <w:r>
        <w:rPr>
          <w:rFonts w:cs="Calibri"/>
        </w:rPr>
        <w:t xml:space="preserve"> el Equipo de asesoramiento y orientación psicopedagógica (EAP) y que permito que comprueben estos datos.</w:t>
      </w:r>
    </w:p>
    <w:p>
      <w:pPr>
        <w:pStyle w:val="Pargrafdellista"/>
        <w:numPr>
          <w:ilvl w:val="0"/>
          <w:numId w:val="5"/>
        </w:numPr>
        <w:spacing w:before="0" w:after="0"/>
        <w:contextualSpacing/>
        <w:jc w:val="both"/>
        <w:rPr>
          <w:bCs/>
        </w:rPr>
      </w:pPr>
      <w:r>
        <w:rPr>
          <w:bCs/>
        </w:rPr>
        <w:t>Que me comprometo a notificar cualquier modificación de la solicitud que altere las condiciones de acceso a la ayuda.</w:t>
      </w:r>
    </w:p>
    <w:p>
      <w:pPr>
        <w:pStyle w:val="Pargrafdellista"/>
        <w:numPr>
          <w:ilvl w:val="0"/>
          <w:numId w:val="5"/>
        </w:numPr>
        <w:spacing w:before="0" w:after="0"/>
        <w:contextualSpacing/>
        <w:jc w:val="both"/>
        <w:rPr>
          <w:bCs/>
        </w:rPr>
      </w:pPr>
      <w:r>
        <w:rPr>
          <w:bCs/>
        </w:rPr>
        <w:t>Que no he recibido ninguna otra subvención por este curso escolar.</w:t>
      </w:r>
    </w:p>
    <w:p>
      <w:pPr>
        <w:pStyle w:val="Normal"/>
        <w:rPr>
          <w:b/>
          <w:b/>
          <w:bCs/>
        </w:rPr>
      </w:pPr>
      <w:r>
        <w:rPr>
          <w:b/>
          <w:bCs/>
        </w:rPr>
        <w:t>AUTORIZO:</w:t>
      </w:r>
    </w:p>
    <w:p>
      <w:pPr>
        <w:pStyle w:val="Pargrafdellista"/>
        <w:numPr>
          <w:ilvl w:val="0"/>
          <w:numId w:val="4"/>
        </w:numPr>
        <w:spacing w:lineRule="auto" w:line="240" w:before="0" w:after="0"/>
        <w:contextualSpacing/>
        <w:jc w:val="both"/>
        <w:rPr/>
      </w:pPr>
      <w:r>
        <w:rPr/>
        <w:t xml:space="preserve">Autorizo ​​a la Paeria de Cervera a consultar mis datos a otras administraciones u organismos para comprobar si cumplo las condiciones requeridas para acceder al objeto de esta solicitud y pueda consultarlos durante su vigencia, en los siguientes datos de la AOC: </w:t>
      </w:r>
    </w:p>
    <w:p>
      <w:pPr>
        <w:pStyle w:val="TextBody"/>
        <w:rPr>
          <w:rFonts w:ascii="Calibri" w:hAnsi="Calibri" w:cs="Arial"/>
          <w:b/>
          <w:b/>
          <w:bCs/>
          <w:szCs w:val="22"/>
          <w:lang w:val="ca-ES" w:eastAsia="en-US"/>
        </w:rPr>
      </w:pPr>
      <w:r>
        <w:rPr>
          <w:rFonts w:cs="Arial" w:ascii="Calibri" w:hAnsi="Calibri"/>
          <w:b/>
          <w:bCs/>
          <w:szCs w:val="22"/>
          <w:lang w:val="ca-ES" w:eastAsia="en-US"/>
        </w:rPr>
      </w:r>
    </w:p>
    <w:p>
      <w:pPr>
        <w:pStyle w:val="TextBody"/>
        <w:rPr/>
      </w:pPr>
      <w:r>
        <w:rPr>
          <w:rFonts w:cs="Arial" w:ascii="Calibri" w:hAnsi="Calibri"/>
          <w:b/>
          <w:bCs/>
          <w:szCs w:val="22"/>
          <w:lang w:val="ca-ES" w:eastAsia="en-US"/>
        </w:rPr>
        <w:t>Administración local:</w:t>
      </w:r>
    </w:p>
    <w:p>
      <w:pPr>
        <w:pStyle w:val="TextBody"/>
        <w:widowControl w:val="false"/>
        <w:numPr>
          <w:ilvl w:val="0"/>
          <w:numId w:val="10"/>
        </w:numPr>
        <w:suppressAutoHyphens w:val="true"/>
        <w:overflowPunct w:val="true"/>
        <w:autoSpaceDE w:val="true"/>
        <w:spacing w:before="0" w:after="120"/>
        <w:jc w:val="start"/>
        <w:textAlignment w:val="auto"/>
        <w:rPr/>
      </w:pPr>
      <w:r>
        <w:rPr>
          <w:rFonts w:cs="Arial" w:ascii="Calibri" w:hAnsi="Calibri"/>
          <w:b/>
          <w:bCs/>
          <w:szCs w:val="22"/>
          <w:lang w:val="ca-ES" w:eastAsia="en-US"/>
        </w:rPr>
        <w:t>Padrón municipal de habitantes</w:t>
      </w:r>
    </w:p>
    <w:p>
      <w:pPr>
        <w:pStyle w:val="TextBody"/>
        <w:widowControl w:val="false"/>
        <w:numPr>
          <w:ilvl w:val="1"/>
          <w:numId w:val="10"/>
        </w:numPr>
        <w:suppressAutoHyphens w:val="true"/>
        <w:overflowPunct w:val="true"/>
        <w:autoSpaceDE w:val="true"/>
        <w:spacing w:before="0" w:after="120"/>
        <w:jc w:val="start"/>
        <w:textAlignment w:val="auto"/>
        <w:rPr>
          <w:rFonts w:ascii="Calibri" w:hAnsi="Calibri" w:cs="Arial"/>
          <w:b/>
          <w:b/>
          <w:bCs/>
          <w:szCs w:val="22"/>
          <w:lang w:val="ca-ES" w:eastAsia="en-US"/>
        </w:rPr>
      </w:pPr>
      <w:r>
        <w:rPr>
          <w:rFonts w:cs="Arial" w:ascii="Calibri" w:hAnsi="Calibri"/>
          <w:bCs/>
          <w:szCs w:val="22"/>
          <w:lang w:val="ca-ES" w:eastAsia="en-US"/>
        </w:rPr>
        <w:t>Datos de empadronamiento de un titular.</w:t>
      </w:r>
    </w:p>
    <w:p>
      <w:pPr>
        <w:pStyle w:val="TextBody"/>
        <w:widowControl w:val="false"/>
        <w:numPr>
          <w:ilvl w:val="1"/>
          <w:numId w:val="10"/>
        </w:numPr>
        <w:suppressAutoHyphens w:val="true"/>
        <w:overflowPunct w:val="true"/>
        <w:autoSpaceDE w:val="true"/>
        <w:spacing w:before="0" w:after="120"/>
        <w:jc w:val="start"/>
        <w:textAlignment w:val="auto"/>
        <w:rPr>
          <w:rFonts w:ascii="Calibri" w:hAnsi="Calibri" w:cs="Arial"/>
          <w:b/>
          <w:b/>
          <w:bCs/>
          <w:szCs w:val="22"/>
          <w:lang w:val="ca-ES" w:eastAsia="en-US"/>
        </w:rPr>
      </w:pPr>
      <w:r>
        <w:rPr>
          <w:rFonts w:cs="Arial" w:ascii="Calibri" w:hAnsi="Calibri"/>
          <w:bCs/>
          <w:szCs w:val="22"/>
          <w:lang w:val="ca-ES" w:eastAsia="en-US"/>
        </w:rPr>
        <w:t>Datos de convivencia de un titular.</w:t>
      </w:r>
    </w:p>
    <w:p>
      <w:pPr>
        <w:pStyle w:val="TextBody"/>
        <w:rPr>
          <w:rFonts w:ascii="Calibri" w:hAnsi="Calibri" w:cs="Arial"/>
          <w:b/>
          <w:b/>
          <w:bCs/>
          <w:szCs w:val="22"/>
          <w:lang w:val="ca-ES" w:eastAsia="en-US"/>
        </w:rPr>
      </w:pPr>
      <w:r>
        <w:rPr>
          <w:rFonts w:cs="Arial" w:ascii="Calibri" w:hAnsi="Calibri"/>
          <w:b/>
          <w:bCs/>
          <w:szCs w:val="22"/>
          <w:lang w:val="ca-ES" w:eastAsia="en-US"/>
        </w:rPr>
        <w:t>Generalidad de Cataluña:</w:t>
      </w:r>
    </w:p>
    <w:p>
      <w:pPr>
        <w:pStyle w:val="TextBody"/>
        <w:widowControl w:val="false"/>
        <w:numPr>
          <w:ilvl w:val="0"/>
          <w:numId w:val="2"/>
        </w:numPr>
        <w:suppressAutoHyphens w:val="true"/>
        <w:overflowPunct w:val="true"/>
        <w:autoSpaceDE w:val="true"/>
        <w:spacing w:before="0" w:after="120"/>
        <w:jc w:val="start"/>
        <w:textAlignment w:val="auto"/>
        <w:rPr>
          <w:rFonts w:ascii="Calibri" w:hAnsi="Calibri" w:cs="Arial"/>
          <w:b/>
          <w:b/>
          <w:bCs/>
          <w:szCs w:val="22"/>
          <w:lang w:val="ca-ES" w:eastAsia="en-US"/>
        </w:rPr>
      </w:pPr>
      <w:r>
        <w:rPr>
          <w:rFonts w:cs="Arial" w:ascii="Calibri" w:hAnsi="Calibri"/>
          <w:b/>
          <w:bCs/>
          <w:szCs w:val="22"/>
          <w:lang w:val="ca-ES" w:eastAsia="en-US"/>
        </w:rPr>
        <w:t>Secretaría de Inclusión Social y de Promoción de la Autonomía Personal - SISPAP</w:t>
      </w:r>
    </w:p>
    <w:p>
      <w:pPr>
        <w:pStyle w:val="TextBody"/>
        <w:widowControl w:val="false"/>
        <w:numPr>
          <w:ilvl w:val="1"/>
          <w:numId w:val="2"/>
        </w:numPr>
        <w:suppressAutoHyphens w:val="true"/>
        <w:overflowPunct w:val="true"/>
        <w:autoSpaceDE w:val="true"/>
        <w:spacing w:before="0" w:after="120"/>
        <w:jc w:val="start"/>
        <w:textAlignment w:val="auto"/>
        <w:rPr>
          <w:rFonts w:ascii="Calibri" w:hAnsi="Calibri" w:cs="Arial"/>
          <w:b/>
          <w:b/>
          <w:bCs/>
          <w:szCs w:val="22"/>
          <w:lang w:val="ca-ES" w:eastAsia="en-US"/>
        </w:rPr>
      </w:pPr>
      <w:r>
        <w:rPr>
          <w:rFonts w:cs="Arial" w:ascii="Calibri" w:hAnsi="Calibri"/>
          <w:b/>
          <w:bCs/>
          <w:szCs w:val="22"/>
          <w:lang w:val="ca-ES" w:eastAsia="en-US"/>
        </w:rPr>
        <w:t xml:space="preserve">Discapacidades: </w:t>
      </w:r>
      <w:r>
        <w:rPr>
          <w:rFonts w:cs="Arial" w:ascii="Calibri" w:hAnsi="Calibri"/>
          <w:bCs/>
          <w:szCs w:val="22"/>
          <w:lang w:val="ca-ES" w:eastAsia="en-US"/>
        </w:rPr>
        <w:t>Datos básicos.</w:t>
      </w:r>
    </w:p>
    <w:p>
      <w:pPr>
        <w:pStyle w:val="TextBody"/>
        <w:widowControl w:val="false"/>
        <w:numPr>
          <w:ilvl w:val="0"/>
          <w:numId w:val="2"/>
        </w:numPr>
        <w:suppressAutoHyphens w:val="true"/>
        <w:overflowPunct w:val="true"/>
        <w:autoSpaceDE w:val="true"/>
        <w:spacing w:before="0" w:after="120"/>
        <w:jc w:val="start"/>
        <w:textAlignment w:val="auto"/>
        <w:rPr>
          <w:rFonts w:ascii="Calibri" w:hAnsi="Calibri" w:cs="Arial"/>
          <w:b/>
          <w:b/>
          <w:bCs/>
          <w:szCs w:val="22"/>
          <w:lang w:val="ca-ES" w:eastAsia="en-US"/>
        </w:rPr>
      </w:pPr>
      <w:r>
        <w:rPr>
          <w:rFonts w:cs="Arial" w:ascii="Calibri" w:hAnsi="Calibri"/>
          <w:b/>
          <w:bCs/>
          <w:szCs w:val="22"/>
          <w:lang w:val="ca-ES" w:eastAsia="en-US"/>
        </w:rPr>
        <w:t>Departamento de trabajo, asuntos sociales y familia</w:t>
      </w:r>
    </w:p>
    <w:p>
      <w:pPr>
        <w:pStyle w:val="TextBody"/>
        <w:widowControl w:val="false"/>
        <w:numPr>
          <w:ilvl w:val="1"/>
          <w:numId w:val="2"/>
        </w:numPr>
        <w:suppressAutoHyphens w:val="true"/>
        <w:overflowPunct w:val="true"/>
        <w:autoSpaceDE w:val="true"/>
        <w:spacing w:before="0" w:after="120"/>
        <w:jc w:val="start"/>
        <w:textAlignment w:val="auto"/>
        <w:rPr>
          <w:rFonts w:ascii="Calibri" w:hAnsi="Calibri" w:cs="Arial"/>
          <w:b/>
          <w:b/>
          <w:bCs/>
          <w:szCs w:val="22"/>
          <w:lang w:val="ca-ES" w:eastAsia="en-US"/>
        </w:rPr>
      </w:pPr>
      <w:r>
        <w:rPr>
          <w:rFonts w:cs="Arial" w:ascii="Calibri" w:hAnsi="Calibri"/>
          <w:b/>
          <w:bCs/>
          <w:szCs w:val="22"/>
          <w:lang w:val="ca-ES" w:eastAsia="en-US"/>
        </w:rPr>
        <w:t xml:space="preserve">Título de familia monoparental. </w:t>
      </w:r>
      <w:r>
        <w:rPr>
          <w:rFonts w:cs="Arial" w:ascii="Calibri" w:hAnsi="Calibri"/>
          <w:bCs/>
          <w:szCs w:val="22"/>
          <w:lang w:val="ca-ES" w:eastAsia="en-US"/>
        </w:rPr>
        <w:t>Datos completos de un título.</w:t>
      </w:r>
    </w:p>
    <w:p>
      <w:pPr>
        <w:pStyle w:val="TextBody"/>
        <w:widowControl w:val="false"/>
        <w:numPr>
          <w:ilvl w:val="0"/>
          <w:numId w:val="2"/>
        </w:numPr>
        <w:suppressAutoHyphens w:val="true"/>
        <w:overflowPunct w:val="true"/>
        <w:autoSpaceDE w:val="true"/>
        <w:spacing w:before="0" w:after="120"/>
        <w:jc w:val="start"/>
        <w:textAlignment w:val="auto"/>
        <w:rPr>
          <w:rFonts w:ascii="Calibri" w:hAnsi="Calibri" w:cs="Arial"/>
          <w:b/>
          <w:b/>
          <w:bCs/>
          <w:szCs w:val="22"/>
          <w:lang w:val="ca-ES" w:eastAsia="en-US"/>
        </w:rPr>
      </w:pPr>
      <w:r>
        <w:rPr>
          <w:rFonts w:cs="Arial" w:ascii="Calibri" w:hAnsi="Calibri"/>
          <w:b/>
          <w:bCs/>
          <w:szCs w:val="22"/>
          <w:lang w:val="ca-ES" w:eastAsia="en-US"/>
        </w:rPr>
        <w:t>Agencia Tributaria de Cataluña</w:t>
      </w:r>
    </w:p>
    <w:p>
      <w:pPr>
        <w:pStyle w:val="TextBody"/>
        <w:widowControl w:val="false"/>
        <w:numPr>
          <w:ilvl w:val="1"/>
          <w:numId w:val="2"/>
        </w:numPr>
        <w:suppressAutoHyphens w:val="true"/>
        <w:overflowPunct w:val="true"/>
        <w:autoSpaceDE w:val="true"/>
        <w:spacing w:before="0" w:after="120"/>
        <w:jc w:val="start"/>
        <w:textAlignment w:val="auto"/>
        <w:rPr>
          <w:rFonts w:ascii="Calibri" w:hAnsi="Calibri" w:cs="Calibri"/>
          <w:b/>
          <w:b/>
          <w:bCs/>
          <w:szCs w:val="22"/>
          <w:lang w:val="ca-ES" w:eastAsia="en-US"/>
        </w:rPr>
      </w:pPr>
      <w:r>
        <w:rPr>
          <w:rFonts w:cs="Calibri" w:ascii="Calibri" w:hAnsi="Calibri"/>
          <w:b/>
          <w:bCs/>
          <w:szCs w:val="22"/>
          <w:lang w:val="ca-ES" w:eastAsia="en-US"/>
        </w:rPr>
        <w:t>Deuda con el ATC.</w:t>
      </w:r>
      <w:r>
        <w:rPr>
          <w:rFonts w:cs="Calibri" w:ascii="Calibri" w:hAnsi="Calibri"/>
          <w:szCs w:val="22"/>
          <w:lang w:val="ca-ES" w:eastAsia="en-US"/>
        </w:rPr>
        <w:t xml:space="preserve"> </w:t>
      </w:r>
      <w:hyperlink r:id="rId3">
        <w:r>
          <w:rPr>
            <w:rStyle w:val="InternetLink"/>
            <w:rFonts w:cs="Calibri" w:ascii="Calibri" w:hAnsi="Calibri"/>
            <w:szCs w:val="22"/>
            <w:lang w:val="ca-ES" w:eastAsia="en-US"/>
          </w:rPr>
          <w:t>Estar al corriente de obligaciones tributarias con la Administración de la Generalidad</w:t>
        </w:r>
      </w:hyperlink>
    </w:p>
    <w:p>
      <w:pPr>
        <w:pStyle w:val="TextBody"/>
        <w:rPr/>
      </w:pPr>
      <w:r>
        <w:rPr>
          <w:rFonts w:cs="Calibri" w:ascii="Calibri" w:hAnsi="Calibri"/>
          <w:b/>
          <w:bCs/>
          <w:szCs w:val="22"/>
          <w:lang w:val="ca-ES" w:eastAsia="en-US"/>
        </w:rPr>
        <w:t>Administración General del Estado:</w:t>
      </w:r>
    </w:p>
    <w:p>
      <w:pPr>
        <w:pStyle w:val="TextBody"/>
        <w:widowControl w:val="false"/>
        <w:numPr>
          <w:ilvl w:val="0"/>
          <w:numId w:val="11"/>
        </w:numPr>
        <w:suppressAutoHyphens w:val="true"/>
        <w:overflowPunct w:val="true"/>
        <w:autoSpaceDE w:val="true"/>
        <w:spacing w:before="0" w:after="120"/>
        <w:jc w:val="start"/>
        <w:textAlignment w:val="auto"/>
        <w:rPr>
          <w:rFonts w:ascii="Calibri" w:hAnsi="Calibri" w:cs="Calibri"/>
          <w:b/>
          <w:b/>
          <w:bCs/>
          <w:szCs w:val="22"/>
          <w:lang w:val="ca-ES" w:eastAsia="en-US"/>
        </w:rPr>
      </w:pPr>
      <w:r>
        <w:rPr>
          <w:rFonts w:cs="Calibri" w:ascii="Calibri" w:hAnsi="Calibri"/>
          <w:b/>
          <w:bCs/>
          <w:szCs w:val="22"/>
          <w:lang w:val="ca-ES" w:eastAsia="en-US"/>
        </w:rPr>
        <w:t>Tesorería de la Seguridad Social</w:t>
      </w:r>
    </w:p>
    <w:p>
      <w:pPr>
        <w:pStyle w:val="TextBody"/>
        <w:widowControl w:val="false"/>
        <w:numPr>
          <w:ilvl w:val="1"/>
          <w:numId w:val="11"/>
        </w:numPr>
        <w:suppressAutoHyphens w:val="true"/>
        <w:overflowPunct w:val="true"/>
        <w:autoSpaceDE w:val="true"/>
        <w:spacing w:before="0" w:after="120"/>
        <w:jc w:val="start"/>
        <w:textAlignment w:val="auto"/>
        <w:rPr>
          <w:rFonts w:ascii="Calibri" w:hAnsi="Calibri" w:cs="Calibri"/>
          <w:szCs w:val="22"/>
          <w:lang w:val="ca-ES" w:eastAsia="en-US"/>
        </w:rPr>
      </w:pPr>
      <w:r>
        <w:rPr>
          <w:rFonts w:cs="Calibri" w:ascii="Calibri" w:hAnsi="Calibri"/>
          <w:b/>
          <w:bCs/>
          <w:szCs w:val="22"/>
          <w:lang w:val="ca-ES" w:eastAsia="en-US"/>
        </w:rPr>
        <w:t xml:space="preserve">Deudas con la Seguridad Social y situación de alta. </w:t>
      </w:r>
      <w:r>
        <w:rPr>
          <w:rFonts w:cs="Calibri" w:ascii="Calibri" w:hAnsi="Calibri"/>
          <w:szCs w:val="22"/>
          <w:lang w:val="ca-ES" w:eastAsia="en-US"/>
        </w:rPr>
        <w:t>Situación de deuda.</w:t>
      </w:r>
    </w:p>
    <w:p>
      <w:pPr>
        <w:pStyle w:val="TextBody"/>
        <w:rPr>
          <w:rFonts w:ascii="Calibri" w:hAnsi="Calibri" w:cs="Calibri"/>
          <w:b/>
          <w:b/>
          <w:bCs/>
          <w:szCs w:val="22"/>
          <w:lang w:val="ca-ES" w:eastAsia="en-US"/>
        </w:rPr>
      </w:pPr>
      <w:r>
        <w:rPr>
          <w:rFonts w:cs="Calibri" w:ascii="Calibri" w:hAnsi="Calibri"/>
          <w:b/>
          <w:bCs/>
          <w:szCs w:val="22"/>
          <w:lang w:val="ca-ES" w:eastAsia="en-US"/>
        </w:rPr>
      </w:r>
    </w:p>
    <w:p>
      <w:pPr>
        <w:pStyle w:val="TextBody"/>
        <w:ind w:start="1789" w:hanging="0"/>
        <w:rPr>
          <w:rFonts w:ascii="Calibri" w:hAnsi="Calibri" w:cs="Arial"/>
          <w:b/>
          <w:b/>
          <w:bCs/>
          <w:szCs w:val="22"/>
          <w:lang w:val="ca-ES" w:eastAsia="en-US"/>
        </w:rPr>
      </w:pPr>
      <w:r>
        <w:rPr>
          <w:rFonts w:cs="Arial" w:ascii="Calibri" w:hAnsi="Calibri"/>
          <w:b/>
          <w:bCs/>
          <w:szCs w:val="22"/>
          <w:lang w:val="ca-ES" w:eastAsia="en-US"/>
        </w:rPr>
      </w:r>
    </w:p>
    <w:p>
      <w:pPr>
        <w:pStyle w:val="TextBody"/>
        <w:ind w:start="1789" w:hanging="0"/>
        <w:rPr>
          <w:rFonts w:ascii="Calibri" w:hAnsi="Calibri" w:cs="Arial"/>
          <w:b/>
          <w:b/>
          <w:bCs/>
          <w:szCs w:val="22"/>
          <w:lang w:val="ca-ES" w:eastAsia="en-US"/>
        </w:rPr>
      </w:pPr>
      <w:r>
        <w:rPr>
          <w:rFonts w:cs="Arial" w:ascii="Calibri" w:hAnsi="Calibri"/>
          <w:b/>
          <w:bCs/>
          <w:szCs w:val="22"/>
          <w:lang w:val="ca-ES" w:eastAsia="en-US"/>
        </w:rPr>
      </w:r>
    </w:p>
    <w:p>
      <w:pPr>
        <w:pStyle w:val="Pargrafdellista"/>
        <w:numPr>
          <w:ilvl w:val="0"/>
          <w:numId w:val="4"/>
        </w:numPr>
        <w:spacing w:before="0" w:after="0"/>
        <w:contextualSpacing/>
        <w:jc w:val="both"/>
        <w:rPr/>
      </w:pPr>
      <w:r>
        <w:rPr/>
        <w:t>Autorizo ​​al ayuntamiento de Cervera a facilitar mis datos personales a los Servicios Sociales Básicos de la Segarra y al Equipo de asesoramiento y orientación psicopedagógica para poder tramitar la ayuda.</w:t>
      </w:r>
    </w:p>
    <w:p>
      <w:pPr>
        <w:pStyle w:val="Pargrafdellista"/>
        <w:numPr>
          <w:ilvl w:val="0"/>
          <w:numId w:val="4"/>
        </w:numPr>
        <w:spacing w:before="0" w:after="0"/>
        <w:contextualSpacing/>
        <w:jc w:val="both"/>
        <w:rPr/>
      </w:pPr>
      <w:r>
        <w:rPr/>
        <w:t>Autorizo ​​que el pago de esta ayuda se haga directa e íntegramente a la entidad donde realice mi hijo/a la actividad extraescolar.</w:t>
      </w:r>
    </w:p>
    <w:p>
      <w:pPr>
        <w:pStyle w:val="Normal"/>
        <w:rPr>
          <w:b/>
          <w:b/>
          <w:bCs/>
        </w:rPr>
      </w:pPr>
      <w:r>
        <w:rPr>
          <w:b/>
          <w:bCs/>
        </w:rPr>
      </w:r>
    </w:p>
    <w:p>
      <w:pPr>
        <w:pStyle w:val="Normal"/>
        <w:rPr>
          <w:bCs/>
        </w:rPr>
      </w:pPr>
      <w:r>
        <w:rPr>
          <w:bCs/>
        </w:rPr>
        <w:t xml:space="preserve">En caso de que me sea otorgada la ayuda, DECLARO </w:t>
      </w:r>
    </w:p>
    <w:p>
      <w:pPr>
        <w:pStyle w:val="Pargrafdellista"/>
        <w:numPr>
          <w:ilvl w:val="0"/>
          <w:numId w:val="13"/>
        </w:numPr>
        <w:spacing w:before="0" w:after="0"/>
        <w:contextualSpacing/>
        <w:rPr>
          <w:bCs/>
        </w:rPr>
      </w:pPr>
      <w:r>
        <w:rPr>
          <w:bCs/>
        </w:rPr>
        <w:t>Que acepto la ayuda de actividades extraescolares por alumnos de primaria y secundaria.</w:t>
      </w:r>
    </w:p>
    <w:p>
      <w:pPr>
        <w:pStyle w:val="TextBody"/>
        <w:spacing w:lineRule="auto" w:line="276"/>
        <w:rPr>
          <w:rFonts w:ascii="Calibri" w:hAnsi="Calibri" w:cs="Calibri"/>
          <w:bCs/>
          <w:szCs w:val="22"/>
          <w:lang w:val="ca-ES" w:eastAsia="en-US"/>
        </w:rPr>
      </w:pPr>
      <w:r>
        <w:rPr>
          <w:rFonts w:cs="Calibri" w:ascii="Calibri" w:hAnsi="Calibri"/>
          <w:bCs/>
          <w:szCs w:val="22"/>
          <w:lang w:val="ca-ES" w:eastAsia="en-US"/>
        </w:rPr>
      </w:r>
    </w:p>
    <w:p>
      <w:pPr>
        <w:pStyle w:val="TextBody"/>
        <w:widowControl w:val="false"/>
        <w:numPr>
          <w:ilvl w:val="0"/>
          <w:numId w:val="8"/>
        </w:numPr>
        <w:suppressAutoHyphens w:val="true"/>
        <w:overflowPunct w:val="true"/>
        <w:autoSpaceDE w:val="true"/>
        <w:spacing w:lineRule="auto" w:line="276" w:before="0" w:after="120"/>
        <w:textAlignment w:val="auto"/>
        <w:rPr>
          <w:rFonts w:ascii="Calibri" w:hAnsi="Calibri" w:cs="Calibri"/>
          <w:szCs w:val="22"/>
          <w:lang w:val="ca-ES" w:eastAsia="en-US"/>
        </w:rPr>
      </w:pPr>
      <w:r>
        <w:rPr>
          <w:rFonts w:cs="Calibri" w:ascii="Calibri" w:hAnsi="Calibri"/>
          <w:szCs w:val="22"/>
          <w:lang w:val="ca-ES" w:eastAsia="en-US"/>
        </w:rPr>
        <w:t xml:space="preserve">Solicitando esta ayuda me COMPROMETO pagar el resto de importe del coste de la actividad que no asuma la ayuda.</w:t>
      </w:r>
    </w:p>
    <w:p>
      <w:pPr>
        <w:pStyle w:val="TextBody"/>
        <w:spacing w:lineRule="auto" w:line="276"/>
        <w:rPr>
          <w:rFonts w:ascii="Calibri" w:hAnsi="Calibri" w:cs="Calibri"/>
          <w:bCs/>
          <w:sz w:val="18"/>
          <w:szCs w:val="22"/>
          <w:lang w:val="ca-ES" w:eastAsia="en-US"/>
        </w:rPr>
      </w:pPr>
      <w:r>
        <w:rPr>
          <w:rFonts w:cs="Calibri" w:ascii="Calibri" w:hAnsi="Calibri"/>
          <w:bCs/>
          <w:sz w:val="18"/>
          <w:szCs w:val="22"/>
          <w:lang w:val="ca-ES" w:eastAsia="en-US"/>
        </w:rPr>
        <w:t>Si en la presentación de la solicitud se observa alguna deficiencia o falta alguno de los documentos necesarios para la valoración de la ayuda, la Paeria lo notificará directamente a la persona interesada para que, en el plazo de 10 días , pueda enmendar la falta. Si en este plazo no se produce la subsanación, y/o no se aporta la documentación solicitada, se entenderá que se desiste de la petición y se archivará sin más trámites.</w:t>
      </w:r>
    </w:p>
    <w:p>
      <w:pPr>
        <w:pStyle w:val="Normal"/>
        <w:jc w:val="center"/>
        <w:rPr>
          <w:b/>
          <w:b/>
        </w:rPr>
      </w:pPr>
      <w:r>
        <w:rPr>
          <w:b/>
        </w:rPr>
        <w:t>FIRMAS</w:t>
      </w:r>
    </w:p>
    <w:p>
      <w:pPr>
        <w:pStyle w:val="Normal"/>
        <w:jc w:val="both"/>
        <w:rPr/>
      </w:pPr>
      <w:r>
        <w:rPr/>
        <w:t>Se necesita la firma de los progenitores/tutores del niño y joven.</w:t>
      </w:r>
    </w:p>
    <w:p>
      <w:pPr>
        <w:pStyle w:val="Normal"/>
        <w:jc w:val="both"/>
        <w:rPr/>
      </w:pPr>
      <w:r>
        <w:rPr/>
      </w:r>
    </w:p>
    <w:p>
      <w:pPr>
        <w:pStyle w:val="Normal"/>
        <w:rPr/>
      </w:pPr>
      <w:r>
        <w:rPr/>
      </w:r>
    </w:p>
    <w:p>
      <w:pPr>
        <w:pStyle w:val="Normal"/>
        <w:rPr/>
      </w:pPr>
      <w:r>
        <w:rPr/>
        <w:t>Na _____________________________________________como madre/tutora del alumno con DNI/NIE/PASAPORTE núm._______________________</w:t>
      </w:r>
    </w:p>
    <w:p>
      <w:pPr>
        <w:pStyle w:val="Normal"/>
        <w:jc w:val="center"/>
        <w:rPr>
          <w:b/>
          <w:b/>
          <w:bCs/>
        </w:rPr>
      </w:pPr>
      <w:r>
        <w:rPr>
          <w:b/>
          <w:bCs/>
        </w:rPr>
      </w:r>
    </w:p>
    <w:p>
      <w:pPr>
        <w:pStyle w:val="Normal"/>
        <w:jc w:val="center"/>
        <w:rPr>
          <w:b/>
          <w:b/>
          <w:bCs/>
        </w:rPr>
      </w:pPr>
      <w:r>
        <w:rPr>
          <w:b/>
          <w:bCs/>
        </w:rPr>
      </w:r>
    </w:p>
    <w:p>
      <w:pPr>
        <w:pStyle w:val="Normal"/>
        <w:jc w:val="center"/>
        <w:rPr>
          <w:b/>
          <w:b/>
          <w:bCs/>
        </w:rPr>
      </w:pPr>
      <w:r>
        <w:rPr>
          <w:b/>
          <w:bCs/>
        </w:rPr>
      </w:r>
    </w:p>
    <w:p>
      <w:pPr>
        <w:pStyle w:val="Normal"/>
        <w:jc w:val="center"/>
        <w:rPr>
          <w:b/>
          <w:b/>
          <w:bCs/>
        </w:rPr>
      </w:pPr>
      <w:r>
        <w:rPr>
          <w:b/>
          <w:bCs/>
        </w:rPr>
      </w:r>
    </w:p>
    <w:p>
      <w:pPr>
        <w:pStyle w:val="Normal"/>
        <w:jc w:val="end"/>
        <w:rPr>
          <w:b/>
          <w:b/>
          <w:bCs/>
        </w:rPr>
      </w:pPr>
      <w:r>
        <w:rPr>
          <w:b/>
          <w:bCs/>
        </w:rPr>
        <w:t>Firma</w:t>
      </w:r>
    </w:p>
    <w:p>
      <w:pPr>
        <w:pStyle w:val="Normal"/>
        <w:jc w:val="center"/>
        <w:rPr>
          <w:b/>
          <w:b/>
          <w:bCs/>
        </w:rPr>
      </w:pPr>
      <w:r>
        <w:rPr>
          <w:b/>
          <w:bCs/>
        </w:rPr>
      </w:r>
    </w:p>
    <w:p>
      <w:pPr>
        <w:pStyle w:val="Normal"/>
        <w:rPr/>
      </w:pPr>
      <w:r>
        <w:rPr/>
        <w:t>En _______________________________________________como padre/tutor del alumno con DNI/NIE/PASAPORTE núm._______________________</w:t>
      </w:r>
    </w:p>
    <w:p>
      <w:pPr>
        <w:pStyle w:val="Normal"/>
        <w:rPr/>
      </w:pPr>
      <w:r>
        <w:rPr/>
      </w:r>
    </w:p>
    <w:p>
      <w:pPr>
        <w:pStyle w:val="Normal"/>
        <w:jc w:val="end"/>
        <w:rPr>
          <w:b/>
          <w:b/>
        </w:rPr>
      </w:pPr>
      <w:r>
        <w:rPr>
          <w:b/>
        </w:rPr>
      </w:r>
    </w:p>
    <w:p>
      <w:pPr>
        <w:pStyle w:val="Normal"/>
        <w:jc w:val="end"/>
        <w:rPr>
          <w:b/>
          <w:b/>
        </w:rPr>
      </w:pPr>
      <w:r>
        <w:rPr>
          <w:b/>
        </w:rPr>
      </w:r>
    </w:p>
    <w:p>
      <w:pPr>
        <w:pStyle w:val="Normal"/>
        <w:jc w:val="end"/>
        <w:rPr>
          <w:b/>
          <w:b/>
        </w:rPr>
      </w:pPr>
      <w:r>
        <w:rPr>
          <w:b/>
        </w:rPr>
      </w:r>
    </w:p>
    <w:p>
      <w:pPr>
        <w:pStyle w:val="Normal"/>
        <w:jc w:val="end"/>
        <w:rPr>
          <w:b/>
          <w:b/>
        </w:rPr>
      </w:pPr>
      <w:r>
        <w:rPr>
          <w:b/>
        </w:rPr>
      </w:r>
    </w:p>
    <w:p>
      <w:pPr>
        <w:pStyle w:val="Normal"/>
        <w:jc w:val="end"/>
        <w:rPr>
          <w:b/>
          <w:b/>
        </w:rPr>
      </w:pPr>
      <w:r>
        <w:rPr>
          <w:b/>
        </w:rPr>
        <w:t>Firma</w:t>
      </w:r>
    </w:p>
    <w:p>
      <w:pPr>
        <w:pStyle w:val="Normal"/>
        <w:rPr/>
      </w:pPr>
      <w:r>
        <w:rPr>
          <w:rFonts w:cs="Calibri"/>
        </w:rPr>
        <w:t xml:space="preserve"> Cervera, a de de 2022</w:t>
      </w:r>
    </w:p>
    <w:p>
      <w:pPr>
        <w:pStyle w:val="Normal"/>
        <w:rPr/>
      </w:pPr>
      <w:r>
        <w:rPr/>
      </w:r>
    </w:p>
    <w:p>
      <w:pPr>
        <w:pStyle w:val="Normal"/>
        <w:rPr/>
      </w:pPr>
      <w:r>
        <w:rPr/>
      </w:r>
    </w:p>
    <w:p>
      <w:pPr>
        <w:pStyle w:val="TextBody"/>
        <w:spacing w:lineRule="auto" w:line="276"/>
        <w:rPr>
          <w:rFonts w:ascii="Arial" w:hAnsi="Arial" w:cs="Arial"/>
          <w:b/>
          <w:b/>
          <w:szCs w:val="24"/>
        </w:rPr>
      </w:pPr>
      <w:r>
        <w:rPr>
          <w:rFonts w:cs="Arial" w:ascii="Arial" w:hAnsi="Arial"/>
          <w:b/>
          <w:szCs w:val="24"/>
        </w:rPr>
      </w:r>
    </w:p>
    <w:sectPr>
      <w:headerReference w:type="default" r:id="rId4"/>
      <w:footerReference w:type="default" r:id="rId5"/>
      <w:type w:val="nextPage"/>
      <w:pgSz w:w="11906" w:h="16838"/>
      <w:pgMar w:left="1701" w:right="1701" w:header="708" w:top="1417" w:footer="708" w:bottom="141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Calibri">
    <w:charset w:val="00" w:characterSet="windows-1252"/>
    <w:family w:val="swiss"/>
    <w:pitch w:val="variable"/>
  </w:font>
  <w:font w:name="Cambria">
    <w:charset w:val="00" w:characterSet="windows-1252"/>
    <w:family w:val="roman"/>
    <w:pitch w:val="variable"/>
  </w:font>
  <w:font w:name="Arial Narrow">
    <w:charset w:val="00" w:characterSet="windows-1252"/>
    <w:family w:val="swiss"/>
    <w:pitch w:val="variable"/>
  </w:font>
  <w:font w:name="Courier New">
    <w:charset w:val="00" w:characterSet="windows-1252"/>
    <w:family w:val="modern"/>
    <w:pitch w:val="default"/>
  </w:font>
  <w:font w:name="Wingdings">
    <w:charset w:val="02"/>
    <w:family w:val="auto"/>
    <w:pitch w:val="variable"/>
  </w:font>
  <w:font w:name="Tahoma">
    <w:charset w:val="00" w:characterSet="windows-1252"/>
    <w:family w:val="swiss"/>
    <w:pitch w:val="variable"/>
  </w:font>
  <w:font w:name="Helvetica">
    <w:altName w:val="Arial"/>
    <w:charset w:val="00" w:characterSet="windows-1252"/>
    <w:family w:val="swiss"/>
    <w:pitch w:val="variable"/>
  </w:font>
  <w:font w:name="Palatino">
    <w:charset w:val="00" w:characterSet="windows-1252"/>
    <w:family w:val="roman"/>
    <w:pitch w:val="variable"/>
  </w:font>
  <w:font w:name="Liberation Sans">
    <w:altName w:val="Arial"/>
    <w:charset w:val="00" w:characterSet="windows-1252"/>
    <w:family w:val="swiss"/>
    <w:pitch w:val="variable"/>
  </w:font>
  <w:font w:name="Verdana">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center"/>
      <w:rPr>
        <w:rFonts w:ascii="Verdana" w:hAnsi="Verdana" w:cs="Verdana"/>
        <w:sz w:val="16"/>
        <w:szCs w:val="16"/>
      </w:rPr>
    </w:pPr>
    <w:r>
      <w:rPr>
        <w:rFonts w:cs="Verdana" w:ascii="Verdana" w:hAnsi="Verdana"/>
        <w:sz w:val="16"/>
        <w:szCs w:val="16"/>
      </w:rPr>
      <w:t>Plaza Mayor 1, 25200 Cervera</w:t>
    </w:r>
  </w:p>
  <w:p>
    <w:pPr>
      <w:pStyle w:val="Footer"/>
      <w:jc w:val="center"/>
      <w:rPr/>
    </w:pPr>
    <w:r>
      <w:rPr>
        <w:rFonts w:cs="Verdana" w:ascii="Verdana" w:hAnsi="Verdana"/>
        <w:sz w:val="16"/>
        <w:szCs w:val="16"/>
      </w:rPr>
      <w:t xml:space="preserve">Teléfonos: </w:t>
    </w:r>
    <w:r>
      <w:rPr>
        <w:rFonts w:cs="Tahoma" w:ascii="Tahoma" w:hAnsi="Tahoma"/>
        <w:sz w:val="16"/>
      </w:rPr>
      <w:t>973 53 00 00 – Fax 973 53 19 41</w:t>
    </w:r>
  </w:p>
  <w:p>
    <w:pPr>
      <w:pStyle w:val="Footer"/>
      <w:jc w:val="center"/>
      <w:rPr/>
    </w:pPr>
    <w:r>
      <w:rPr>
        <w:rFonts w:cs="Verdana" w:ascii="Verdana" w:hAnsi="Verdana"/>
        <w:sz w:val="16"/>
        <w:szCs w:val="16"/>
      </w:rPr>
      <w:t xml:space="preserve">Email: </w:t>
    </w:r>
    <w:r>
      <w:rPr>
        <w:rFonts w:cs="Tahoma" w:ascii="Tahoma" w:hAnsi="Tahoma"/>
        <w:sz w:val="16"/>
      </w:rPr>
      <w:t>secretaria@cerverapaeria.cat</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lang w:val="en-US" w:eastAsia="en-US"/>
      </w:rPr>
    </w:pPr>
    <w:r>
      <w:rPr>
        <w:lang w:val="en-US" w:eastAsia="en-US"/>
      </w:rPr>
      <w:drawing>
        <wp:inline distT="0" distB="0" distL="0" distR="0">
          <wp:extent cx="914400" cy="896620"/>
          <wp:effectExtent l="0" t="0" r="0" b="0"/>
          <wp:docPr id="2" name="Imagen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 title=""/>
                  <pic:cNvPicPr>
                    <a:picLocks noChangeAspect="1" noChangeArrowheads="1"/>
                  </pic:cNvPicPr>
                </pic:nvPicPr>
                <pic:blipFill>
                  <a:blip r:embed="rId1"/>
                  <a:srcRect l="-39" t="-40" r="-39" b="-40"/>
                  <a:stretch>
                    <a:fillRect/>
                  </a:stretch>
                </pic:blipFill>
                <pic:spPr bwMode="auto">
                  <a:xfrm>
                    <a:off x="0" y="0"/>
                    <a:ext cx="914400" cy="896620"/>
                  </a:xfrm>
                  <a:prstGeom prst="rect">
                    <a:avLst/>
                  </a:prstGeom>
                </pic:spPr>
              </pic:pic>
            </a:graphicData>
          </a:graphic>
        </wp:inline>
      </w:drawing>
    </w:r>
  </w:p>
  <w:p>
    <w:pPr>
      <w:pStyle w:val="Header"/>
      <w:rPr>
        <w:lang w:val="en-US" w:eastAsia="en-US"/>
      </w:rPr>
    </w:pPr>
    <w:r>
      <w:rPr>
        <w:lang w:val="en-US" w:eastAsia="en-US"/>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
      <w:lvlJc w:val="start"/>
      <w:pPr>
        <w:tabs>
          <w:tab w:val="num" w:pos="0"/>
        </w:tabs>
        <w:ind w:start="0" w:hanging="0"/>
      </w:pPr>
    </w:lvl>
    <w:lvl w:ilvl="1">
      <w:start w:val="1"/>
      <w:pStyle w:val="Heading2"/>
      <w:numFmt w:val="none"/>
      <w:suff w:val="nothing"/>
      <w:lvlText w:val=""/>
      <w:lvlJc w:val="start"/>
      <w:pPr>
        <w:tabs>
          <w:tab w:val="num" w:pos="0"/>
        </w:tabs>
        <w:ind w:start="0" w:hanging="0"/>
      </w:pPr>
    </w:lvl>
    <w:lvl w:ilvl="2">
      <w:start w:val="1"/>
      <w:pStyle w:val="Heading3"/>
      <w:numFmt w:val="none"/>
      <w:suff w:val="nothing"/>
      <w:lvlText w:val=""/>
      <w:lvlJc w:val="start"/>
      <w:pPr>
        <w:tabs>
          <w:tab w:val="num" w:pos="0"/>
        </w:tabs>
        <w:ind w:start="0" w:hanging="0"/>
      </w:pPr>
    </w:lvl>
    <w:lvl w:ilvl="3">
      <w:start w:val="1"/>
      <w:pStyle w:val="Heading4"/>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abstractNum w:abstractNumId="2">
    <w:lvl w:ilvl="0">
      <w:start w:val="1"/>
      <w:numFmt w:val="bullet"/>
      <w:lvlText w:val=""/>
      <w:lvlJc w:val="start"/>
      <w:pPr>
        <w:tabs>
          <w:tab w:val="num" w:pos="0"/>
        </w:tabs>
        <w:ind w:start="1069" w:hanging="360"/>
      </w:pPr>
      <w:rPr>
        <w:rFonts w:ascii="Symbol" w:hAnsi="Symbol" w:cs="Symbol" w:hint="default"/>
        <w:szCs w:val="22"/>
        <w:lang w:val="ca-ES" w:eastAsia="en-US"/>
      </w:rPr>
    </w:lvl>
    <w:lvl w:ilvl="1">
      <w:start w:val="1"/>
      <w:numFmt w:val="bullet"/>
      <w:lvlText w:val="o"/>
      <w:lvlJc w:val="start"/>
      <w:pPr>
        <w:tabs>
          <w:tab w:val="num" w:pos="0"/>
        </w:tabs>
        <w:ind w:start="1789" w:hanging="360"/>
      </w:pPr>
      <w:rPr>
        <w:rFonts w:ascii="Courier New" w:hAnsi="Courier New" w:cs="Courier New" w:hint="default"/>
        <w:szCs w:val="22"/>
        <w:lang w:val="ca-ES" w:eastAsia="en-US"/>
      </w:rPr>
    </w:lvl>
    <w:lvl w:ilvl="2">
      <w:start w:val="1"/>
      <w:numFmt w:val="bullet"/>
      <w:lvlText w:val=""/>
      <w:lvlJc w:val="start"/>
      <w:pPr>
        <w:tabs>
          <w:tab w:val="num" w:pos="0"/>
        </w:tabs>
        <w:ind w:start="2509" w:hanging="360"/>
      </w:pPr>
      <w:rPr>
        <w:rFonts w:ascii="Wingdings" w:hAnsi="Wingdings" w:cs="Wingdings" w:hint="default"/>
      </w:rPr>
    </w:lvl>
    <w:lvl w:ilvl="3">
      <w:start w:val="1"/>
      <w:numFmt w:val="bullet"/>
      <w:lvlText w:val=""/>
      <w:lvlJc w:val="start"/>
      <w:pPr>
        <w:tabs>
          <w:tab w:val="num" w:pos="0"/>
        </w:tabs>
        <w:ind w:start="3229" w:hanging="360"/>
      </w:pPr>
      <w:rPr>
        <w:rFonts w:ascii="Symbol" w:hAnsi="Symbol" w:cs="Symbol" w:hint="default"/>
        <w:szCs w:val="22"/>
        <w:lang w:val="ca-ES" w:eastAsia="en-US"/>
      </w:rPr>
    </w:lvl>
    <w:lvl w:ilvl="4">
      <w:start w:val="1"/>
      <w:numFmt w:val="bullet"/>
      <w:lvlText w:val="o"/>
      <w:lvlJc w:val="start"/>
      <w:pPr>
        <w:tabs>
          <w:tab w:val="num" w:pos="0"/>
        </w:tabs>
        <w:ind w:start="3949" w:hanging="360"/>
      </w:pPr>
      <w:rPr>
        <w:rFonts w:ascii="Courier New" w:hAnsi="Courier New" w:cs="Courier New" w:hint="default"/>
        <w:szCs w:val="22"/>
        <w:lang w:val="ca-ES" w:eastAsia="en-US"/>
      </w:rPr>
    </w:lvl>
    <w:lvl w:ilvl="5">
      <w:start w:val="1"/>
      <w:numFmt w:val="bullet"/>
      <w:lvlText w:val=""/>
      <w:lvlJc w:val="start"/>
      <w:pPr>
        <w:tabs>
          <w:tab w:val="num" w:pos="0"/>
        </w:tabs>
        <w:ind w:start="4669" w:hanging="360"/>
      </w:pPr>
      <w:rPr>
        <w:rFonts w:ascii="Wingdings" w:hAnsi="Wingdings" w:cs="Wingdings" w:hint="default"/>
      </w:rPr>
    </w:lvl>
    <w:lvl w:ilvl="6">
      <w:start w:val="1"/>
      <w:numFmt w:val="bullet"/>
      <w:lvlText w:val=""/>
      <w:lvlJc w:val="start"/>
      <w:pPr>
        <w:tabs>
          <w:tab w:val="num" w:pos="0"/>
        </w:tabs>
        <w:ind w:start="5389" w:hanging="360"/>
      </w:pPr>
      <w:rPr>
        <w:rFonts w:ascii="Symbol" w:hAnsi="Symbol" w:cs="Symbol" w:hint="default"/>
        <w:szCs w:val="22"/>
        <w:lang w:val="ca-ES" w:eastAsia="en-US"/>
      </w:rPr>
    </w:lvl>
    <w:lvl w:ilvl="7">
      <w:start w:val="1"/>
      <w:numFmt w:val="bullet"/>
      <w:lvlText w:val="o"/>
      <w:lvlJc w:val="start"/>
      <w:pPr>
        <w:tabs>
          <w:tab w:val="num" w:pos="0"/>
        </w:tabs>
        <w:ind w:start="6109" w:hanging="360"/>
      </w:pPr>
      <w:rPr>
        <w:rFonts w:ascii="Courier New" w:hAnsi="Courier New" w:cs="Courier New" w:hint="default"/>
        <w:szCs w:val="22"/>
        <w:lang w:val="ca-ES" w:eastAsia="en-US"/>
      </w:rPr>
    </w:lvl>
    <w:lvl w:ilvl="8">
      <w:start w:val="1"/>
      <w:numFmt w:val="bullet"/>
      <w:lvlText w:val=""/>
      <w:lvlJc w:val="start"/>
      <w:pPr>
        <w:tabs>
          <w:tab w:val="num" w:pos="0"/>
        </w:tabs>
        <w:ind w:start="6829" w:hanging="360"/>
      </w:pPr>
      <w:rPr>
        <w:rFonts w:ascii="Wingdings" w:hAnsi="Wingdings" w:cs="Wingdings" w:hint="default"/>
      </w:rPr>
    </w:lvl>
  </w:abstractNum>
  <w:abstractNum w:abstractNumId="3">
    <w:lvl w:ilvl="0">
      <w:start w:val="1"/>
      <w:numFmt w:val="lowerLetter"/>
      <w:lvlText w:val="%1)"/>
      <w:lvlJc w:val="start"/>
      <w:pPr>
        <w:tabs>
          <w:tab w:val="num" w:pos="0"/>
        </w:tabs>
        <w:ind w:start="720" w:hanging="360"/>
      </w:pPr>
      <w:rPr>
        <w:szCs w:val="22"/>
        <w:rFonts w:ascii="Calibri" w:hAnsi="Calibri" w:cs="Arial"/>
        <w:lang w:val="ca-ES" w:eastAsia="en-US"/>
      </w:rPr>
    </w:lvl>
  </w:abstractNum>
  <w:abstractNum w:abstractNumId="4">
    <w:lvl w:ilvl="0">
      <w:start w:val="1"/>
      <w:numFmt w:val="bullet"/>
      <w:lvlText w:val=""/>
      <w:lvlJc w:val="start"/>
      <w:pPr>
        <w:tabs>
          <w:tab w:val="num" w:pos="0"/>
        </w:tabs>
        <w:ind w:start="720" w:hanging="360"/>
      </w:pPr>
      <w:rPr>
        <w:rFonts w:ascii="Wingdings" w:hAnsi="Wingdings" w:cs="Wingdings" w:hint="default"/>
      </w:rPr>
    </w:lvl>
  </w:abstractNum>
  <w:abstractNum w:abstractNumId="5">
    <w:lvl w:ilvl="0">
      <w:start w:val="1"/>
      <w:numFmt w:val="bullet"/>
      <w:lvlText w:val=""/>
      <w:lvlJc w:val="start"/>
      <w:pPr>
        <w:tabs>
          <w:tab w:val="num" w:pos="0"/>
        </w:tabs>
        <w:ind w:start="720" w:hanging="360"/>
      </w:pPr>
      <w:rPr>
        <w:rFonts w:ascii="Wingdings" w:hAnsi="Wingdings" w:cs="Wingdings" w:hint="default"/>
      </w:rPr>
    </w:lvl>
  </w:abstractNum>
  <w:abstractNum w:abstractNumId="6">
    <w:lvl w:ilvl="0">
      <w:start w:val="1"/>
      <w:numFmt w:val="lowerLetter"/>
      <w:lvlText w:val="%1)"/>
      <w:lvlJc w:val="start"/>
      <w:pPr>
        <w:tabs>
          <w:tab w:val="num" w:pos="0"/>
        </w:tabs>
        <w:ind w:start="720" w:hanging="360"/>
      </w:pPr>
      <w:rPr>
        <w:szCs w:val="22"/>
        <w:rFonts w:ascii="Calibri" w:hAnsi="Calibri" w:cs="Arial"/>
        <w:lang w:val="ca-ES" w:eastAsia="en-US"/>
      </w:rPr>
    </w:lvl>
  </w:abstractNum>
  <w:abstractNum w:abstractNumId="7">
    <w:lvl w:ilvl="0">
      <w:start w:val="1"/>
      <w:numFmt w:val="lowerLetter"/>
      <w:lvlText w:val="%1)"/>
      <w:lvlJc w:val="start"/>
      <w:pPr>
        <w:tabs>
          <w:tab w:val="num" w:pos="0"/>
        </w:tabs>
        <w:ind w:start="720" w:hanging="360"/>
      </w:pPr>
      <w:rPr>
        <w:szCs w:val="22"/>
        <w:rFonts w:ascii="Calibri" w:hAnsi="Calibri" w:cs="Arial"/>
        <w:lang w:val="ca-ES" w:eastAsia="en-US"/>
      </w:rPr>
    </w:lvl>
  </w:abstractNum>
  <w:abstractNum w:abstractNumId="8">
    <w:lvl w:ilvl="0">
      <w:start w:val="1"/>
      <w:numFmt w:val="bullet"/>
      <w:lvlText w:val=""/>
      <w:lvlJc w:val="start"/>
      <w:pPr>
        <w:tabs>
          <w:tab w:val="num" w:pos="0"/>
        </w:tabs>
        <w:ind w:start="360" w:hanging="360"/>
      </w:pPr>
      <w:rPr>
        <w:rFonts w:ascii="Wingdings" w:hAnsi="Wingdings" w:cs="Wingdings" w:hint="default"/>
        <w:szCs w:val="22"/>
        <w:lang w:val="ca-ES" w:eastAsia="en-US"/>
      </w:rPr>
    </w:lvl>
  </w:abstractNum>
  <w:abstractNum w:abstractNumId="9">
    <w:lvl w:ilvl="0">
      <w:start w:val="1"/>
      <w:numFmt w:val="lowerLetter"/>
      <w:lvlText w:val="%1)"/>
      <w:lvlJc w:val="start"/>
      <w:pPr>
        <w:tabs>
          <w:tab w:val="num" w:pos="0"/>
        </w:tabs>
        <w:ind w:start="720" w:hanging="360"/>
      </w:pPr>
      <w:rPr>
        <w:szCs w:val="22"/>
        <w:bCs/>
        <w:rFonts w:ascii="Calibri" w:hAnsi="Calibri" w:cs="Calibri"/>
        <w:lang w:val="ca-ES" w:eastAsia="en-US"/>
      </w:rPr>
    </w:lvl>
  </w:abstractNum>
  <w:abstractNum w:abstractNumId="10">
    <w:lvl w:ilvl="0">
      <w:start w:val="1"/>
      <w:numFmt w:val="bullet"/>
      <w:lvlText w:val=""/>
      <w:lvlJc w:val="start"/>
      <w:pPr>
        <w:tabs>
          <w:tab w:val="num" w:pos="0"/>
        </w:tabs>
        <w:ind w:start="1080" w:hanging="360"/>
      </w:pPr>
      <w:rPr>
        <w:rFonts w:ascii="Symbol" w:hAnsi="Symbol" w:cs="Symbol" w:hint="default"/>
        <w:szCs w:val="22"/>
        <w:lang w:val="ca-ES" w:eastAsia="en-US"/>
      </w:rPr>
    </w:lvl>
    <w:lvl w:ilvl="1">
      <w:start w:val="1"/>
      <w:numFmt w:val="bullet"/>
      <w:lvlText w:val="o"/>
      <w:lvlJc w:val="start"/>
      <w:pPr>
        <w:tabs>
          <w:tab w:val="num" w:pos="0"/>
        </w:tabs>
        <w:ind w:start="1800" w:hanging="360"/>
      </w:pPr>
      <w:rPr>
        <w:rFonts w:ascii="Courier New" w:hAnsi="Courier New" w:cs="Courier New" w:hint="default"/>
        <w:szCs w:val="22"/>
        <w:lang w:val="ca-ES" w:eastAsia="en-US"/>
      </w:rPr>
    </w:lvl>
    <w:lvl w:ilvl="2">
      <w:start w:val="1"/>
      <w:numFmt w:val="bullet"/>
      <w:lvlText w:val=""/>
      <w:lvlJc w:val="start"/>
      <w:pPr>
        <w:tabs>
          <w:tab w:val="num" w:pos="0"/>
        </w:tabs>
        <w:ind w:start="2520" w:hanging="360"/>
      </w:pPr>
      <w:rPr>
        <w:rFonts w:ascii="Wingdings" w:hAnsi="Wingdings" w:cs="Wingdings" w:hint="default"/>
      </w:rPr>
    </w:lvl>
    <w:lvl w:ilvl="3">
      <w:start w:val="1"/>
      <w:numFmt w:val="bullet"/>
      <w:lvlText w:val=""/>
      <w:lvlJc w:val="start"/>
      <w:pPr>
        <w:tabs>
          <w:tab w:val="num" w:pos="0"/>
        </w:tabs>
        <w:ind w:start="3240" w:hanging="360"/>
      </w:pPr>
      <w:rPr>
        <w:rFonts w:ascii="Symbol" w:hAnsi="Symbol" w:cs="Symbol" w:hint="default"/>
        <w:szCs w:val="22"/>
        <w:lang w:val="ca-ES" w:eastAsia="en-US"/>
      </w:rPr>
    </w:lvl>
    <w:lvl w:ilvl="4">
      <w:start w:val="1"/>
      <w:numFmt w:val="bullet"/>
      <w:lvlText w:val="o"/>
      <w:lvlJc w:val="start"/>
      <w:pPr>
        <w:tabs>
          <w:tab w:val="num" w:pos="0"/>
        </w:tabs>
        <w:ind w:start="3960" w:hanging="360"/>
      </w:pPr>
      <w:rPr>
        <w:rFonts w:ascii="Courier New" w:hAnsi="Courier New" w:cs="Courier New" w:hint="default"/>
        <w:szCs w:val="22"/>
        <w:lang w:val="ca-ES" w:eastAsia="en-US"/>
      </w:rPr>
    </w:lvl>
    <w:lvl w:ilvl="5">
      <w:start w:val="1"/>
      <w:numFmt w:val="bullet"/>
      <w:lvlText w:val=""/>
      <w:lvlJc w:val="start"/>
      <w:pPr>
        <w:tabs>
          <w:tab w:val="num" w:pos="0"/>
        </w:tabs>
        <w:ind w:start="4680" w:hanging="360"/>
      </w:pPr>
      <w:rPr>
        <w:rFonts w:ascii="Wingdings" w:hAnsi="Wingdings" w:cs="Wingdings" w:hint="default"/>
      </w:rPr>
    </w:lvl>
    <w:lvl w:ilvl="6">
      <w:start w:val="1"/>
      <w:numFmt w:val="bullet"/>
      <w:lvlText w:val=""/>
      <w:lvlJc w:val="start"/>
      <w:pPr>
        <w:tabs>
          <w:tab w:val="num" w:pos="0"/>
        </w:tabs>
        <w:ind w:start="5400" w:hanging="360"/>
      </w:pPr>
      <w:rPr>
        <w:rFonts w:ascii="Symbol" w:hAnsi="Symbol" w:cs="Symbol" w:hint="default"/>
        <w:szCs w:val="22"/>
        <w:lang w:val="ca-ES" w:eastAsia="en-US"/>
      </w:rPr>
    </w:lvl>
    <w:lvl w:ilvl="7">
      <w:start w:val="1"/>
      <w:numFmt w:val="bullet"/>
      <w:lvlText w:val="o"/>
      <w:lvlJc w:val="start"/>
      <w:pPr>
        <w:tabs>
          <w:tab w:val="num" w:pos="0"/>
        </w:tabs>
        <w:ind w:start="6120" w:hanging="360"/>
      </w:pPr>
      <w:rPr>
        <w:rFonts w:ascii="Courier New" w:hAnsi="Courier New" w:cs="Courier New" w:hint="default"/>
        <w:szCs w:val="22"/>
        <w:lang w:val="ca-ES" w:eastAsia="en-US"/>
      </w:rPr>
    </w:lvl>
    <w:lvl w:ilvl="8">
      <w:start w:val="1"/>
      <w:numFmt w:val="bullet"/>
      <w:lvlText w:val=""/>
      <w:lvlJc w:val="start"/>
      <w:pPr>
        <w:tabs>
          <w:tab w:val="num" w:pos="0"/>
        </w:tabs>
        <w:ind w:start="6840" w:hanging="360"/>
      </w:pPr>
      <w:rPr>
        <w:rFonts w:ascii="Wingdings" w:hAnsi="Wingdings" w:cs="Wingdings" w:hint="default"/>
      </w:rPr>
    </w:lvl>
  </w:abstractNum>
  <w:abstractNum w:abstractNumId="11">
    <w:lvl w:ilvl="0">
      <w:start w:val="1"/>
      <w:numFmt w:val="bullet"/>
      <w:lvlText w:val=""/>
      <w:lvlJc w:val="start"/>
      <w:pPr>
        <w:tabs>
          <w:tab w:val="num" w:pos="0"/>
        </w:tabs>
        <w:ind w:start="1069" w:hanging="360"/>
      </w:pPr>
      <w:rPr>
        <w:rFonts w:ascii="Symbol" w:hAnsi="Symbol" w:cs="Symbol" w:hint="default"/>
      </w:rPr>
    </w:lvl>
    <w:lvl w:ilvl="1">
      <w:start w:val="1"/>
      <w:numFmt w:val="bullet"/>
      <w:lvlText w:val="o"/>
      <w:lvlJc w:val="start"/>
      <w:pPr>
        <w:tabs>
          <w:tab w:val="num" w:pos="0"/>
        </w:tabs>
        <w:ind w:start="1789" w:hanging="360"/>
      </w:pPr>
      <w:rPr>
        <w:rFonts w:ascii="Courier New" w:hAnsi="Courier New" w:cs="Courier New" w:hint="default"/>
        <w:szCs w:val="22"/>
        <w:lang w:val="ca-ES" w:eastAsia="en-US"/>
      </w:rPr>
    </w:lvl>
    <w:lvl w:ilvl="2">
      <w:start w:val="1"/>
      <w:numFmt w:val="bullet"/>
      <w:lvlText w:val=""/>
      <w:lvlJc w:val="start"/>
      <w:pPr>
        <w:tabs>
          <w:tab w:val="num" w:pos="0"/>
        </w:tabs>
        <w:ind w:start="2509" w:hanging="360"/>
      </w:pPr>
      <w:rPr>
        <w:rFonts w:ascii="Wingdings" w:hAnsi="Wingdings" w:cs="Wingdings" w:hint="default"/>
      </w:rPr>
    </w:lvl>
    <w:lvl w:ilvl="3">
      <w:start w:val="1"/>
      <w:numFmt w:val="bullet"/>
      <w:lvlText w:val=""/>
      <w:lvlJc w:val="start"/>
      <w:pPr>
        <w:tabs>
          <w:tab w:val="num" w:pos="0"/>
        </w:tabs>
        <w:ind w:start="3229" w:hanging="360"/>
      </w:pPr>
      <w:rPr>
        <w:rFonts w:ascii="Symbol" w:hAnsi="Symbol" w:cs="Symbol" w:hint="default"/>
      </w:rPr>
    </w:lvl>
    <w:lvl w:ilvl="4">
      <w:start w:val="1"/>
      <w:numFmt w:val="bullet"/>
      <w:lvlText w:val="o"/>
      <w:lvlJc w:val="start"/>
      <w:pPr>
        <w:tabs>
          <w:tab w:val="num" w:pos="0"/>
        </w:tabs>
        <w:ind w:start="3949" w:hanging="360"/>
      </w:pPr>
      <w:rPr>
        <w:rFonts w:ascii="Courier New" w:hAnsi="Courier New" w:cs="Courier New" w:hint="default"/>
        <w:szCs w:val="22"/>
        <w:lang w:val="ca-ES" w:eastAsia="en-US"/>
      </w:rPr>
    </w:lvl>
    <w:lvl w:ilvl="5">
      <w:start w:val="1"/>
      <w:numFmt w:val="bullet"/>
      <w:lvlText w:val=""/>
      <w:lvlJc w:val="start"/>
      <w:pPr>
        <w:tabs>
          <w:tab w:val="num" w:pos="0"/>
        </w:tabs>
        <w:ind w:start="4669" w:hanging="360"/>
      </w:pPr>
      <w:rPr>
        <w:rFonts w:ascii="Wingdings" w:hAnsi="Wingdings" w:cs="Wingdings" w:hint="default"/>
      </w:rPr>
    </w:lvl>
    <w:lvl w:ilvl="6">
      <w:start w:val="1"/>
      <w:numFmt w:val="bullet"/>
      <w:lvlText w:val=""/>
      <w:lvlJc w:val="start"/>
      <w:pPr>
        <w:tabs>
          <w:tab w:val="num" w:pos="0"/>
        </w:tabs>
        <w:ind w:start="5389" w:hanging="360"/>
      </w:pPr>
      <w:rPr>
        <w:rFonts w:ascii="Symbol" w:hAnsi="Symbol" w:cs="Symbol" w:hint="default"/>
      </w:rPr>
    </w:lvl>
    <w:lvl w:ilvl="7">
      <w:start w:val="1"/>
      <w:numFmt w:val="bullet"/>
      <w:lvlText w:val="o"/>
      <w:lvlJc w:val="start"/>
      <w:pPr>
        <w:tabs>
          <w:tab w:val="num" w:pos="0"/>
        </w:tabs>
        <w:ind w:start="6109" w:hanging="360"/>
      </w:pPr>
      <w:rPr>
        <w:rFonts w:ascii="Courier New" w:hAnsi="Courier New" w:cs="Courier New" w:hint="default"/>
        <w:szCs w:val="22"/>
        <w:lang w:val="ca-ES" w:eastAsia="en-US"/>
      </w:rPr>
    </w:lvl>
    <w:lvl w:ilvl="8">
      <w:start w:val="1"/>
      <w:numFmt w:val="bullet"/>
      <w:lvlText w:val=""/>
      <w:lvlJc w:val="start"/>
      <w:pPr>
        <w:tabs>
          <w:tab w:val="num" w:pos="0"/>
        </w:tabs>
        <w:ind w:start="6829" w:hanging="360"/>
      </w:pPr>
      <w:rPr>
        <w:rFonts w:ascii="Wingdings" w:hAnsi="Wingdings" w:cs="Wingdings" w:hint="default"/>
      </w:rPr>
    </w:lvl>
  </w:abstractNum>
  <w:abstractNum w:abstractNumId="12">
    <w:lvl w:ilvl="0">
      <w:start w:val="1"/>
      <w:numFmt w:val="upperRoman"/>
      <w:lvlText w:val="%1."/>
      <w:lvlJc w:val="end"/>
      <w:pPr>
        <w:tabs>
          <w:tab w:val="num" w:pos="0"/>
        </w:tabs>
        <w:ind w:start="1778" w:hanging="360"/>
      </w:pPr>
      <w:rPr>
        <w:bCs/>
        <w:rFonts w:cs="Calibri"/>
      </w:rPr>
    </w:lvl>
  </w:abstractNum>
  <w:abstractNum w:abstractNumId="13">
    <w:lvl w:ilvl="0">
      <w:start w:val="1"/>
      <w:numFmt w:val="bullet"/>
      <w:lvlText w:val=""/>
      <w:lvlJc w:val="start"/>
      <w:pPr>
        <w:tabs>
          <w:tab w:val="num" w:pos="0"/>
        </w:tabs>
        <w:ind w:start="720" w:hanging="360"/>
      </w:pPr>
      <w:rPr>
        <w:rFonts w:ascii="Wingdings" w:hAnsi="Wingdings" w:cs="Wingdings" w:hint="default"/>
      </w:rPr>
    </w:lvl>
  </w:abstractNum>
  <w:abstractNum w:abstractNumId="14">
    <w:lvl w:ilvl="0">
      <w:start w:val="1"/>
      <w:numFmt w:val="lowerLetter"/>
      <w:lvlText w:val="%1)"/>
      <w:lvlJc w:val="start"/>
      <w:pPr>
        <w:tabs>
          <w:tab w:val="num" w:pos="0"/>
        </w:tabs>
        <w:ind w:start="720" w:hanging="360"/>
      </w:pPr>
      <w:rPr>
        <w:szCs w:val="22"/>
        <w:rFonts w:ascii="Calibri" w:hAnsi="Calibri" w:cs="Arial"/>
        <w:lang w:val="ca-ES" w:eastAsia="en-U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sz w:val="24"/>
        <w:szCs w:val="24"/>
        <w:lang w:val="en-US" w:eastAsia="zh-CN" w:bidi="hi-IN"/>
      </w:rPr>
    </w:rPrDefault>
    <w:pPrDefault>
      <w:pPr>
        <w:suppressAutoHyphens w:val="true"/>
      </w:pPr>
    </w:pPrDefault>
  </w:docDefaults>
  <w:style w:type="paragraph" w:styleId="Normal">
    <w:name w:val="Normal"/>
    <w:qFormat/>
    <w:pPr>
      <w:widowControl/>
      <w:bidi w:val="0"/>
    </w:pPr>
    <w:rPr>
      <w:rFonts w:ascii="Calibri" w:hAnsi="Calibri" w:eastAsia="Calibri" w:cs="Times New Roman"/>
      <w:color w:val="auto"/>
      <w:sz w:val="22"/>
      <w:szCs w:val="22"/>
      <w:lang w:val="ca-ES" w:bidi="ar-SA" w:eastAsia="zh-CN"/>
    </w:rPr>
  </w:style>
  <w:style w:type="paragraph" w:styleId="Heading1">
    <w:name w:val="Heading 1"/>
    <w:basedOn w:val="Normal"/>
    <w:next w:val="TextBody"/>
    <w:qFormat/>
    <w:pPr>
      <w:numPr>
        <w:ilvl w:val="0"/>
        <w:numId w:val="1"/>
      </w:numPr>
      <w:spacing w:before="280" w:after="280"/>
      <w:outlineLvl w:val="0"/>
    </w:pPr>
    <w:rPr>
      <w:rFonts w:ascii="Times New Roman" w:hAnsi="Times New Roman" w:eastAsia="Times New Roman" w:cs="Times New Roman"/>
      <w:b/>
      <w:bCs/>
      <w:kern w:val="2"/>
      <w:sz w:val="48"/>
      <w:szCs w:val="48"/>
    </w:rPr>
  </w:style>
  <w:style w:type="paragraph" w:styleId="Heading2">
    <w:name w:val="Heading 2"/>
    <w:basedOn w:val="Normal"/>
    <w:next w:val="Normal"/>
    <w:qFormat/>
    <w:pPr>
      <w:keepNext w:val="true"/>
      <w:numPr>
        <w:ilvl w:val="1"/>
        <w:numId w:val="1"/>
      </w:numPr>
      <w:spacing w:before="240" w:after="60"/>
      <w:outlineLvl w:val="1"/>
    </w:pPr>
    <w:rPr>
      <w:rFonts w:ascii="Cambria" w:hAnsi="Cambria" w:eastAsia="Times New Roman" w:cs="Cambria"/>
      <w:b/>
      <w:bCs/>
      <w:i/>
      <w:iCs/>
      <w:sz w:val="28"/>
      <w:szCs w:val="28"/>
    </w:rPr>
  </w:style>
  <w:style w:type="paragraph" w:styleId="Heading3">
    <w:name w:val="Heading 3"/>
    <w:basedOn w:val="Normal"/>
    <w:next w:val="Normal"/>
    <w:qFormat/>
    <w:pPr>
      <w:keepNext w:val="true"/>
      <w:numPr>
        <w:ilvl w:val="2"/>
        <w:numId w:val="1"/>
      </w:numPr>
      <w:spacing w:before="240" w:after="60"/>
      <w:outlineLvl w:val="2"/>
    </w:pPr>
    <w:rPr>
      <w:rFonts w:ascii="Cambria" w:hAnsi="Cambria" w:eastAsia="Times New Roman" w:cs="Times New Roman"/>
      <w:b/>
      <w:bCs/>
      <w:sz w:val="26"/>
      <w:szCs w:val="26"/>
    </w:rPr>
  </w:style>
  <w:style w:type="paragraph" w:styleId="Heading4">
    <w:name w:val="Heading 4"/>
    <w:basedOn w:val="Normal"/>
    <w:next w:val="Normal"/>
    <w:qFormat/>
    <w:pPr>
      <w:keepNext w:val="true"/>
      <w:widowControl w:val="false"/>
      <w:numPr>
        <w:ilvl w:val="3"/>
        <w:numId w:val="1"/>
      </w:numPr>
      <w:suppressAutoHyphens w:val="true"/>
      <w:spacing w:before="240" w:after="60"/>
      <w:outlineLvl w:val="3"/>
    </w:pPr>
    <w:rPr>
      <w:rFonts w:eastAsia="Times New Roman"/>
      <w:b/>
      <w:bCs/>
      <w:kern w:val="2"/>
      <w:sz w:val="28"/>
      <w:szCs w:val="28"/>
      <w:lang w:val="es-ES"/>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rFonts w:ascii="Arial Narrow;Arial Narrow" w:hAnsi="Arial Narrow;Arial Narrow" w:eastAsia="Times New Roman" w:cs="Tahoma"/>
    </w:rPr>
  </w:style>
  <w:style w:type="character" w:styleId="WW8Num4z1">
    <w:name w:val="WW8Num4z1"/>
    <w:qFormat/>
    <w:rPr>
      <w:rFonts w:ascii="Courier New" w:hAnsi="Courier New" w:cs="Courier New"/>
    </w:rPr>
  </w:style>
  <w:style w:type="character" w:styleId="WW8Num4z2">
    <w:name w:val="WW8Num4z2"/>
    <w:qFormat/>
    <w:rPr>
      <w:rFonts w:ascii="Wingdings" w:hAnsi="Wingdings" w:cs="Wingdings"/>
    </w:rPr>
  </w:style>
  <w:style w:type="character" w:styleId="WW8Num4z3">
    <w:name w:val="WW8Num4z3"/>
    <w:qFormat/>
    <w:rPr>
      <w:rFonts w:ascii="Symbol" w:hAnsi="Symbol" w:cs="Symbol"/>
    </w:rPr>
  </w:style>
  <w:style w:type="character" w:styleId="WW8Num5z0">
    <w:name w:val="WW8Num5z0"/>
    <w:qFormat/>
    <w:rPr>
      <w:rFonts w:ascii="Arial Narrow;Arial Narrow" w:hAnsi="Arial Narrow;Arial Narrow" w:eastAsia="Times New Roman" w:cs="Tahoma"/>
    </w:rPr>
  </w:style>
  <w:style w:type="character" w:styleId="WW8Num5z1">
    <w:name w:val="WW8Num5z1"/>
    <w:qFormat/>
    <w:rPr>
      <w:rFonts w:ascii="Courier New" w:hAnsi="Courier New" w:cs="Courier New"/>
    </w:rPr>
  </w:style>
  <w:style w:type="character" w:styleId="WW8Num5z2">
    <w:name w:val="WW8Num5z2"/>
    <w:qFormat/>
    <w:rPr>
      <w:rFonts w:ascii="Wingdings" w:hAnsi="Wingdings" w:cs="Wingdings"/>
    </w:rPr>
  </w:style>
  <w:style w:type="character" w:styleId="WW8Num5z3">
    <w:name w:val="WW8Num5z3"/>
    <w:qFormat/>
    <w:rPr>
      <w:rFonts w:ascii="Symbol" w:hAnsi="Symbol" w:cs="Symbol"/>
    </w:rPr>
  </w:style>
  <w:style w:type="character" w:styleId="WW8Num6z0">
    <w:name w:val="WW8Num6z0"/>
    <w:qFormat/>
    <w:rPr>
      <w:rFonts w:ascii="Arial Narrow;Arial Narrow" w:hAnsi="Arial Narrow;Arial Narrow" w:eastAsia="Times New Roman" w:cs="Tahoma"/>
    </w:rPr>
  </w:style>
  <w:style w:type="character" w:styleId="WW8Num6z1">
    <w:name w:val="WW8Num6z1"/>
    <w:qFormat/>
    <w:rPr/>
  </w:style>
  <w:style w:type="character" w:styleId="WW8Num6z2">
    <w:name w:val="WW8Num6z2"/>
    <w:qFormat/>
    <w:rPr/>
  </w:style>
  <w:style w:type="character" w:styleId="WW8Num6z3">
    <w:name w:val="WW8Num6z3"/>
    <w:qFormat/>
    <w:rPr/>
  </w:style>
  <w:style w:type="character" w:styleId="WW8Num6z4">
    <w:name w:val="WW8Num6z4"/>
    <w:qFormat/>
    <w:rPr/>
  </w:style>
  <w:style w:type="character" w:styleId="WW8Num6z5">
    <w:name w:val="WW8Num6z5"/>
    <w:qFormat/>
    <w:rPr/>
  </w:style>
  <w:style w:type="character" w:styleId="WW8Num6z6">
    <w:name w:val="WW8Num6z6"/>
    <w:qFormat/>
    <w:rPr/>
  </w:style>
  <w:style w:type="character" w:styleId="WW8Num6z7">
    <w:name w:val="WW8Num6z7"/>
    <w:qFormat/>
    <w:rPr/>
  </w:style>
  <w:style w:type="character" w:styleId="WW8Num6z8">
    <w:name w:val="WW8Num6z8"/>
    <w:qFormat/>
    <w:rPr/>
  </w:style>
  <w:style w:type="character" w:styleId="WW8Num7z0">
    <w:name w:val="WW8Num7z0"/>
    <w:qFormat/>
    <w:rPr>
      <w:rFonts w:ascii="Symbol" w:hAnsi="Symbol" w:cs="Symbol"/>
      <w:szCs w:val="22"/>
      <w:lang w:val="ca-ES" w:eastAsia="en-US"/>
    </w:rPr>
  </w:style>
  <w:style w:type="character" w:styleId="WW8Num7z1">
    <w:name w:val="WW8Num7z1"/>
    <w:qFormat/>
    <w:rPr>
      <w:rFonts w:ascii="Courier New" w:hAnsi="Courier New" w:cs="Courier New"/>
      <w:szCs w:val="22"/>
      <w:lang w:val="ca-ES" w:eastAsia="en-US"/>
    </w:rPr>
  </w:style>
  <w:style w:type="character" w:styleId="WW8Num7z2">
    <w:name w:val="WW8Num7z2"/>
    <w:qFormat/>
    <w:rPr>
      <w:rFonts w:ascii="Wingdings" w:hAnsi="Wingdings" w:cs="Wingdings"/>
    </w:rPr>
  </w:style>
  <w:style w:type="character" w:styleId="WW8Num8z0">
    <w:name w:val="WW8Num8z0"/>
    <w:qFormat/>
    <w:rPr/>
  </w:style>
  <w:style w:type="character" w:styleId="WW8Num8z1">
    <w:name w:val="WW8Num8z1"/>
    <w:qFormat/>
    <w:rPr/>
  </w:style>
  <w:style w:type="character" w:styleId="WW8Num8z2">
    <w:name w:val="WW8Num8z2"/>
    <w:qFormat/>
    <w:rPr/>
  </w:style>
  <w:style w:type="character" w:styleId="WW8Num8z3">
    <w:name w:val="WW8Num8z3"/>
    <w:qFormat/>
    <w:rPr/>
  </w:style>
  <w:style w:type="character" w:styleId="WW8Num8z4">
    <w:name w:val="WW8Num8z4"/>
    <w:qFormat/>
    <w:rPr/>
  </w:style>
  <w:style w:type="character" w:styleId="WW8Num8z5">
    <w:name w:val="WW8Num8z5"/>
    <w:qFormat/>
    <w:rPr/>
  </w:style>
  <w:style w:type="character" w:styleId="WW8Num8z6">
    <w:name w:val="WW8Num8z6"/>
    <w:qFormat/>
    <w:rPr/>
  </w:style>
  <w:style w:type="character" w:styleId="WW8Num8z7">
    <w:name w:val="WW8Num8z7"/>
    <w:qFormat/>
    <w:rPr/>
  </w:style>
  <w:style w:type="character" w:styleId="WW8Num8z8">
    <w:name w:val="WW8Num8z8"/>
    <w:qFormat/>
    <w:rPr/>
  </w:style>
  <w:style w:type="character" w:styleId="WW8Num9z0">
    <w:name w:val="WW8Num9z0"/>
    <w:qFormat/>
    <w:rPr>
      <w:b/>
    </w:rPr>
  </w:style>
  <w:style w:type="character" w:styleId="WW8Num9z1">
    <w:name w:val="WW8Num9z1"/>
    <w:qFormat/>
    <w:rPr/>
  </w:style>
  <w:style w:type="character" w:styleId="WW8Num9z2">
    <w:name w:val="WW8Num9z2"/>
    <w:qFormat/>
    <w:rPr/>
  </w:style>
  <w:style w:type="character" w:styleId="WW8Num9z3">
    <w:name w:val="WW8Num9z3"/>
    <w:qFormat/>
    <w:rPr/>
  </w:style>
  <w:style w:type="character" w:styleId="WW8Num9z4">
    <w:name w:val="WW8Num9z4"/>
    <w:qFormat/>
    <w:rPr/>
  </w:style>
  <w:style w:type="character" w:styleId="WW8Num9z5">
    <w:name w:val="WW8Num9z5"/>
    <w:qFormat/>
    <w:rPr/>
  </w:style>
  <w:style w:type="character" w:styleId="WW8Num9z6">
    <w:name w:val="WW8Num9z6"/>
    <w:qFormat/>
    <w:rPr/>
  </w:style>
  <w:style w:type="character" w:styleId="WW8Num9z7">
    <w:name w:val="WW8Num9z7"/>
    <w:qFormat/>
    <w:rPr/>
  </w:style>
  <w:style w:type="character" w:styleId="WW8Num9z8">
    <w:name w:val="WW8Num9z8"/>
    <w:qFormat/>
    <w:rPr/>
  </w:style>
  <w:style w:type="character" w:styleId="WW8Num10z0">
    <w:name w:val="WW8Num10z0"/>
    <w:qFormat/>
    <w:rPr>
      <w:rFonts w:ascii="Calibri" w:hAnsi="Calibri" w:cs="Arial"/>
      <w:szCs w:val="22"/>
      <w:lang w:val="ca-ES" w:eastAsia="en-US"/>
    </w:rPr>
  </w:style>
  <w:style w:type="character" w:styleId="WW8Num10z1">
    <w:name w:val="WW8Num10z1"/>
    <w:qFormat/>
    <w:rPr/>
  </w:style>
  <w:style w:type="character" w:styleId="WW8Num10z2">
    <w:name w:val="WW8Num10z2"/>
    <w:qFormat/>
    <w:rPr/>
  </w:style>
  <w:style w:type="character" w:styleId="WW8Num10z3">
    <w:name w:val="WW8Num10z3"/>
    <w:qFormat/>
    <w:rPr/>
  </w:style>
  <w:style w:type="character" w:styleId="WW8Num10z4">
    <w:name w:val="WW8Num10z4"/>
    <w:qFormat/>
    <w:rPr/>
  </w:style>
  <w:style w:type="character" w:styleId="WW8Num10z5">
    <w:name w:val="WW8Num10z5"/>
    <w:qFormat/>
    <w:rPr/>
  </w:style>
  <w:style w:type="character" w:styleId="WW8Num10z6">
    <w:name w:val="WW8Num10z6"/>
    <w:qFormat/>
    <w:rPr/>
  </w:style>
  <w:style w:type="character" w:styleId="WW8Num10z7">
    <w:name w:val="WW8Num10z7"/>
    <w:qFormat/>
    <w:rPr/>
  </w:style>
  <w:style w:type="character" w:styleId="WW8Num10z8">
    <w:name w:val="WW8Num10z8"/>
    <w:qFormat/>
    <w:rPr/>
  </w:style>
  <w:style w:type="character" w:styleId="WW8Num11z0">
    <w:name w:val="WW8Num11z0"/>
    <w:qFormat/>
    <w:rPr>
      <w:rFonts w:ascii="Wingdings" w:hAnsi="Wingdings" w:cs="Wingdings"/>
      <w:sz w:val="16"/>
    </w:rPr>
  </w:style>
  <w:style w:type="character" w:styleId="WW8Num11z1">
    <w:name w:val="WW8Num11z1"/>
    <w:qFormat/>
    <w:rPr>
      <w:rFonts w:ascii="Courier New" w:hAnsi="Courier New" w:cs="Courier New"/>
    </w:rPr>
  </w:style>
  <w:style w:type="character" w:styleId="WW8Num11z2">
    <w:name w:val="WW8Num11z2"/>
    <w:qFormat/>
    <w:rPr>
      <w:rFonts w:ascii="Wingdings" w:hAnsi="Wingdings" w:cs="Wingdings"/>
    </w:rPr>
  </w:style>
  <w:style w:type="character" w:styleId="WW8Num11z3">
    <w:name w:val="WW8Num11z3"/>
    <w:qFormat/>
    <w:rPr>
      <w:rFonts w:ascii="Symbol" w:hAnsi="Symbol" w:cs="Symbol"/>
    </w:rPr>
  </w:style>
  <w:style w:type="character" w:styleId="WW8Num12z0">
    <w:name w:val="WW8Num12z0"/>
    <w:qFormat/>
    <w:rPr/>
  </w:style>
  <w:style w:type="character" w:styleId="WW8Num12z1">
    <w:name w:val="WW8Num12z1"/>
    <w:qFormat/>
    <w:rPr/>
  </w:style>
  <w:style w:type="character" w:styleId="WW8Num12z2">
    <w:name w:val="WW8Num12z2"/>
    <w:qFormat/>
    <w:rPr/>
  </w:style>
  <w:style w:type="character" w:styleId="WW8Num12z3">
    <w:name w:val="WW8Num12z3"/>
    <w:qFormat/>
    <w:rPr/>
  </w:style>
  <w:style w:type="character" w:styleId="WW8Num12z4">
    <w:name w:val="WW8Num12z4"/>
    <w:qFormat/>
    <w:rPr/>
  </w:style>
  <w:style w:type="character" w:styleId="WW8Num12z5">
    <w:name w:val="WW8Num12z5"/>
    <w:qFormat/>
    <w:rPr/>
  </w:style>
  <w:style w:type="character" w:styleId="WW8Num12z6">
    <w:name w:val="WW8Num12z6"/>
    <w:qFormat/>
    <w:rPr/>
  </w:style>
  <w:style w:type="character" w:styleId="WW8Num12z7">
    <w:name w:val="WW8Num12z7"/>
    <w:qFormat/>
    <w:rPr/>
  </w:style>
  <w:style w:type="character" w:styleId="WW8Num12z8">
    <w:name w:val="WW8Num12z8"/>
    <w:qFormat/>
    <w:rPr/>
  </w:style>
  <w:style w:type="character" w:styleId="WW8Num13z0">
    <w:name w:val="WW8Num13z0"/>
    <w:qFormat/>
    <w:rPr/>
  </w:style>
  <w:style w:type="character" w:styleId="WW8Num13z1">
    <w:name w:val="WW8Num13z1"/>
    <w:qFormat/>
    <w:rPr/>
  </w:style>
  <w:style w:type="character" w:styleId="WW8Num13z2">
    <w:name w:val="WW8Num13z2"/>
    <w:qFormat/>
    <w:rPr/>
  </w:style>
  <w:style w:type="character" w:styleId="WW8Num13z3">
    <w:name w:val="WW8Num13z3"/>
    <w:qFormat/>
    <w:rPr/>
  </w:style>
  <w:style w:type="character" w:styleId="WW8Num13z4">
    <w:name w:val="WW8Num13z4"/>
    <w:qFormat/>
    <w:rPr/>
  </w:style>
  <w:style w:type="character" w:styleId="WW8Num13z5">
    <w:name w:val="WW8Num13z5"/>
    <w:qFormat/>
    <w:rPr/>
  </w:style>
  <w:style w:type="character" w:styleId="WW8Num13z6">
    <w:name w:val="WW8Num13z6"/>
    <w:qFormat/>
    <w:rPr/>
  </w:style>
  <w:style w:type="character" w:styleId="WW8Num13z7">
    <w:name w:val="WW8Num13z7"/>
    <w:qFormat/>
    <w:rPr/>
  </w:style>
  <w:style w:type="character" w:styleId="WW8Num13z8">
    <w:name w:val="WW8Num13z8"/>
    <w:qFormat/>
    <w:rPr/>
  </w:style>
  <w:style w:type="character" w:styleId="WW8Num14z0">
    <w:name w:val="WW8Num14z0"/>
    <w:qFormat/>
    <w:rPr>
      <w:rFonts w:ascii="Wingdings" w:hAnsi="Wingdings" w:cs="Wingdings"/>
    </w:rPr>
  </w:style>
  <w:style w:type="character" w:styleId="WW8Num14z1">
    <w:name w:val="WW8Num14z1"/>
    <w:qFormat/>
    <w:rPr/>
  </w:style>
  <w:style w:type="character" w:styleId="WW8Num14z2">
    <w:name w:val="WW8Num14z2"/>
    <w:qFormat/>
    <w:rPr/>
  </w:style>
  <w:style w:type="character" w:styleId="WW8Num14z3">
    <w:name w:val="WW8Num14z3"/>
    <w:qFormat/>
    <w:rPr/>
  </w:style>
  <w:style w:type="character" w:styleId="WW8Num14z4">
    <w:name w:val="WW8Num14z4"/>
    <w:qFormat/>
    <w:rPr/>
  </w:style>
  <w:style w:type="character" w:styleId="WW8Num14z5">
    <w:name w:val="WW8Num14z5"/>
    <w:qFormat/>
    <w:rPr/>
  </w:style>
  <w:style w:type="character" w:styleId="WW8Num14z6">
    <w:name w:val="WW8Num14z6"/>
    <w:qFormat/>
    <w:rPr/>
  </w:style>
  <w:style w:type="character" w:styleId="WW8Num14z7">
    <w:name w:val="WW8Num14z7"/>
    <w:qFormat/>
    <w:rPr/>
  </w:style>
  <w:style w:type="character" w:styleId="WW8Num14z8">
    <w:name w:val="WW8Num14z8"/>
    <w:qFormat/>
    <w:rPr/>
  </w:style>
  <w:style w:type="character" w:styleId="WW8Num15z0">
    <w:name w:val="WW8Num15z0"/>
    <w:qFormat/>
    <w:rPr/>
  </w:style>
  <w:style w:type="character" w:styleId="WW8Num15z1">
    <w:name w:val="WW8Num15z1"/>
    <w:qFormat/>
    <w:rPr/>
  </w:style>
  <w:style w:type="character" w:styleId="WW8Num15z2">
    <w:name w:val="WW8Num15z2"/>
    <w:qFormat/>
    <w:rPr/>
  </w:style>
  <w:style w:type="character" w:styleId="WW8Num15z3">
    <w:name w:val="WW8Num15z3"/>
    <w:qFormat/>
    <w:rPr/>
  </w:style>
  <w:style w:type="character" w:styleId="WW8Num15z4">
    <w:name w:val="WW8Num15z4"/>
    <w:qFormat/>
    <w:rPr/>
  </w:style>
  <w:style w:type="character" w:styleId="WW8Num15z5">
    <w:name w:val="WW8Num15z5"/>
    <w:qFormat/>
    <w:rPr/>
  </w:style>
  <w:style w:type="character" w:styleId="WW8Num15z6">
    <w:name w:val="WW8Num15z6"/>
    <w:qFormat/>
    <w:rPr/>
  </w:style>
  <w:style w:type="character" w:styleId="WW8Num15z7">
    <w:name w:val="WW8Num15z7"/>
    <w:qFormat/>
    <w:rPr/>
  </w:style>
  <w:style w:type="character" w:styleId="WW8Num15z8">
    <w:name w:val="WW8Num15z8"/>
    <w:qFormat/>
    <w:rPr/>
  </w:style>
  <w:style w:type="character" w:styleId="WW8Num16z0">
    <w:name w:val="WW8Num16z0"/>
    <w:qFormat/>
    <w:rPr/>
  </w:style>
  <w:style w:type="character" w:styleId="WW8Num16z1">
    <w:name w:val="WW8Num16z1"/>
    <w:qFormat/>
    <w:rPr/>
  </w:style>
  <w:style w:type="character" w:styleId="WW8Num16z2">
    <w:name w:val="WW8Num16z2"/>
    <w:qFormat/>
    <w:rPr/>
  </w:style>
  <w:style w:type="character" w:styleId="WW8Num16z3">
    <w:name w:val="WW8Num16z3"/>
    <w:qFormat/>
    <w:rPr/>
  </w:style>
  <w:style w:type="character" w:styleId="WW8Num16z4">
    <w:name w:val="WW8Num16z4"/>
    <w:qFormat/>
    <w:rPr/>
  </w:style>
  <w:style w:type="character" w:styleId="WW8Num16z5">
    <w:name w:val="WW8Num16z5"/>
    <w:qFormat/>
    <w:rPr/>
  </w:style>
  <w:style w:type="character" w:styleId="WW8Num16z6">
    <w:name w:val="WW8Num16z6"/>
    <w:qFormat/>
    <w:rPr/>
  </w:style>
  <w:style w:type="character" w:styleId="WW8Num16z7">
    <w:name w:val="WW8Num16z7"/>
    <w:qFormat/>
    <w:rPr/>
  </w:style>
  <w:style w:type="character" w:styleId="WW8Num16z8">
    <w:name w:val="WW8Num16z8"/>
    <w:qFormat/>
    <w:rPr/>
  </w:style>
  <w:style w:type="character" w:styleId="WW8Num17z0">
    <w:name w:val="WW8Num17z0"/>
    <w:qFormat/>
    <w:rPr>
      <w:rFonts w:ascii="Wingdings" w:hAnsi="Wingdings" w:cs="Wingdings"/>
      <w:sz w:val="16"/>
    </w:rPr>
  </w:style>
  <w:style w:type="character" w:styleId="WW8Num17z1">
    <w:name w:val="WW8Num17z1"/>
    <w:qFormat/>
    <w:rPr>
      <w:rFonts w:ascii="Courier New" w:hAnsi="Courier New" w:cs="Courier New"/>
    </w:rPr>
  </w:style>
  <w:style w:type="character" w:styleId="WW8Num17z2">
    <w:name w:val="WW8Num17z2"/>
    <w:qFormat/>
    <w:rPr>
      <w:rFonts w:ascii="Wingdings" w:hAnsi="Wingdings" w:cs="Wingdings"/>
    </w:rPr>
  </w:style>
  <w:style w:type="character" w:styleId="WW8Num17z3">
    <w:name w:val="WW8Num17z3"/>
    <w:qFormat/>
    <w:rPr>
      <w:rFonts w:ascii="Symbol" w:hAnsi="Symbol" w:cs="Symbol"/>
    </w:rPr>
  </w:style>
  <w:style w:type="character" w:styleId="WW8Num18z0">
    <w:name w:val="WW8Num18z0"/>
    <w:qFormat/>
    <w:rPr>
      <w:rFonts w:ascii="Wingdings" w:hAnsi="Wingdings" w:cs="Wingdings"/>
      <w:sz w:val="16"/>
    </w:rPr>
  </w:style>
  <w:style w:type="character" w:styleId="WW8Num18z1">
    <w:name w:val="WW8Num18z1"/>
    <w:qFormat/>
    <w:rPr>
      <w:rFonts w:ascii="Courier New" w:hAnsi="Courier New" w:cs="Courier New"/>
    </w:rPr>
  </w:style>
  <w:style w:type="character" w:styleId="WW8Num18z2">
    <w:name w:val="WW8Num18z2"/>
    <w:qFormat/>
    <w:rPr>
      <w:rFonts w:ascii="Wingdings" w:hAnsi="Wingdings" w:cs="Wingdings"/>
    </w:rPr>
  </w:style>
  <w:style w:type="character" w:styleId="WW8Num18z3">
    <w:name w:val="WW8Num18z3"/>
    <w:qFormat/>
    <w:rPr>
      <w:rFonts w:ascii="Symbol" w:hAnsi="Symbol" w:cs="Symbol"/>
    </w:rPr>
  </w:style>
  <w:style w:type="character" w:styleId="WW8Num19z0">
    <w:name w:val="WW8Num19z0"/>
    <w:qFormat/>
    <w:rPr>
      <w:rFonts w:ascii="Wingdings" w:hAnsi="Wingdings" w:cs="Wingdings"/>
    </w:rPr>
  </w:style>
  <w:style w:type="character" w:styleId="WW8Num19z1">
    <w:name w:val="WW8Num19z1"/>
    <w:qFormat/>
    <w:rPr>
      <w:rFonts w:ascii="Courier New" w:hAnsi="Courier New" w:cs="Courier New"/>
    </w:rPr>
  </w:style>
  <w:style w:type="character" w:styleId="WW8Num19z3">
    <w:name w:val="WW8Num19z3"/>
    <w:qFormat/>
    <w:rPr>
      <w:rFonts w:ascii="Symbol" w:hAnsi="Symbol" w:cs="Symbol"/>
    </w:rPr>
  </w:style>
  <w:style w:type="character" w:styleId="WW8Num20z0">
    <w:name w:val="WW8Num20z0"/>
    <w:qFormat/>
    <w:rPr>
      <w:rFonts w:ascii="Calibri" w:hAnsi="Calibri" w:cs="Arial"/>
      <w:szCs w:val="22"/>
      <w:lang w:val="ca-ES" w:eastAsia="en-US"/>
    </w:rPr>
  </w:style>
  <w:style w:type="character" w:styleId="WW8Num20z1">
    <w:name w:val="WW8Num20z1"/>
    <w:qFormat/>
    <w:rPr/>
  </w:style>
  <w:style w:type="character" w:styleId="WW8Num20z2">
    <w:name w:val="WW8Num20z2"/>
    <w:qFormat/>
    <w:rPr/>
  </w:style>
  <w:style w:type="character" w:styleId="WW8Num20z3">
    <w:name w:val="WW8Num20z3"/>
    <w:qFormat/>
    <w:rPr/>
  </w:style>
  <w:style w:type="character" w:styleId="WW8Num20z4">
    <w:name w:val="WW8Num20z4"/>
    <w:qFormat/>
    <w:rPr/>
  </w:style>
  <w:style w:type="character" w:styleId="WW8Num20z5">
    <w:name w:val="WW8Num20z5"/>
    <w:qFormat/>
    <w:rPr/>
  </w:style>
  <w:style w:type="character" w:styleId="WW8Num20z6">
    <w:name w:val="WW8Num20z6"/>
    <w:qFormat/>
    <w:rPr/>
  </w:style>
  <w:style w:type="character" w:styleId="WW8Num20z7">
    <w:name w:val="WW8Num20z7"/>
    <w:qFormat/>
    <w:rPr/>
  </w:style>
  <w:style w:type="character" w:styleId="WW8Num20z8">
    <w:name w:val="WW8Num20z8"/>
    <w:qFormat/>
    <w:rPr/>
  </w:style>
  <w:style w:type="character" w:styleId="WW8Num21z0">
    <w:name w:val="WW8Num21z0"/>
    <w:qFormat/>
    <w:rPr>
      <w:rFonts w:ascii="Arial Narrow;Arial Narrow" w:hAnsi="Arial Narrow;Arial Narrow" w:eastAsia="Times New Roman" w:cs="Tahoma"/>
    </w:rPr>
  </w:style>
  <w:style w:type="character" w:styleId="WW8Num21z1">
    <w:name w:val="WW8Num21z1"/>
    <w:qFormat/>
    <w:rPr>
      <w:rFonts w:ascii="Courier New" w:hAnsi="Courier New" w:cs="Courier New"/>
    </w:rPr>
  </w:style>
  <w:style w:type="character" w:styleId="WW8Num21z2">
    <w:name w:val="WW8Num21z2"/>
    <w:qFormat/>
    <w:rPr>
      <w:rFonts w:ascii="Wingdings" w:hAnsi="Wingdings" w:cs="Wingdings"/>
    </w:rPr>
  </w:style>
  <w:style w:type="character" w:styleId="WW8Num21z3">
    <w:name w:val="WW8Num21z3"/>
    <w:qFormat/>
    <w:rPr>
      <w:rFonts w:ascii="Symbol" w:hAnsi="Symbol" w:cs="Symbol"/>
    </w:rPr>
  </w:style>
  <w:style w:type="character" w:styleId="WW8Num22z0">
    <w:name w:val="WW8Num22z0"/>
    <w:qFormat/>
    <w:rPr/>
  </w:style>
  <w:style w:type="character" w:styleId="WW8Num22z1">
    <w:name w:val="WW8Num22z1"/>
    <w:qFormat/>
    <w:rPr/>
  </w:style>
  <w:style w:type="character" w:styleId="WW8Num22z2">
    <w:name w:val="WW8Num22z2"/>
    <w:qFormat/>
    <w:rPr/>
  </w:style>
  <w:style w:type="character" w:styleId="WW8Num22z3">
    <w:name w:val="WW8Num22z3"/>
    <w:qFormat/>
    <w:rPr/>
  </w:style>
  <w:style w:type="character" w:styleId="WW8Num22z4">
    <w:name w:val="WW8Num22z4"/>
    <w:qFormat/>
    <w:rPr/>
  </w:style>
  <w:style w:type="character" w:styleId="WW8Num22z5">
    <w:name w:val="WW8Num22z5"/>
    <w:qFormat/>
    <w:rPr/>
  </w:style>
  <w:style w:type="character" w:styleId="WW8Num22z6">
    <w:name w:val="WW8Num22z6"/>
    <w:qFormat/>
    <w:rPr/>
  </w:style>
  <w:style w:type="character" w:styleId="WW8Num22z7">
    <w:name w:val="WW8Num22z7"/>
    <w:qFormat/>
    <w:rPr/>
  </w:style>
  <w:style w:type="character" w:styleId="WW8Num22z8">
    <w:name w:val="WW8Num22z8"/>
    <w:qFormat/>
    <w:rPr/>
  </w:style>
  <w:style w:type="character" w:styleId="WW8Num23z0">
    <w:name w:val="WW8Num23z0"/>
    <w:qFormat/>
    <w:rPr>
      <w:rFonts w:ascii="Calibri" w:hAnsi="Calibri" w:cs="Arial"/>
      <w:szCs w:val="22"/>
      <w:lang w:val="ca-ES" w:eastAsia="en-US"/>
    </w:rPr>
  </w:style>
  <w:style w:type="character" w:styleId="WW8Num23z1">
    <w:name w:val="WW8Num23z1"/>
    <w:qFormat/>
    <w:rPr/>
  </w:style>
  <w:style w:type="character" w:styleId="WW8Num23z2">
    <w:name w:val="WW8Num23z2"/>
    <w:qFormat/>
    <w:rPr/>
  </w:style>
  <w:style w:type="character" w:styleId="WW8Num23z3">
    <w:name w:val="WW8Num23z3"/>
    <w:qFormat/>
    <w:rPr/>
  </w:style>
  <w:style w:type="character" w:styleId="WW8Num23z4">
    <w:name w:val="WW8Num23z4"/>
    <w:qFormat/>
    <w:rPr/>
  </w:style>
  <w:style w:type="character" w:styleId="WW8Num23z5">
    <w:name w:val="WW8Num23z5"/>
    <w:qFormat/>
    <w:rPr/>
  </w:style>
  <w:style w:type="character" w:styleId="WW8Num23z6">
    <w:name w:val="WW8Num23z6"/>
    <w:qFormat/>
    <w:rPr/>
  </w:style>
  <w:style w:type="character" w:styleId="WW8Num23z7">
    <w:name w:val="WW8Num23z7"/>
    <w:qFormat/>
    <w:rPr/>
  </w:style>
  <w:style w:type="character" w:styleId="WW8Num23z8">
    <w:name w:val="WW8Num23z8"/>
    <w:qFormat/>
    <w:rPr/>
  </w:style>
  <w:style w:type="character" w:styleId="WW8Num24z0">
    <w:name w:val="WW8Num24z0"/>
    <w:qFormat/>
    <w:rPr>
      <w:rFonts w:ascii="Wingdings" w:hAnsi="Wingdings" w:cs="Wingdings"/>
      <w:szCs w:val="22"/>
      <w:lang w:val="ca-ES" w:eastAsia="en-US"/>
    </w:rPr>
  </w:style>
  <w:style w:type="character" w:styleId="WW8Num24z1">
    <w:name w:val="WW8Num24z1"/>
    <w:qFormat/>
    <w:rPr>
      <w:rFonts w:ascii="Courier New" w:hAnsi="Courier New" w:cs="Courier New"/>
    </w:rPr>
  </w:style>
  <w:style w:type="character" w:styleId="WW8Num24z3">
    <w:name w:val="WW8Num24z3"/>
    <w:qFormat/>
    <w:rPr>
      <w:rFonts w:ascii="Symbol" w:hAnsi="Symbol" w:cs="Symbol"/>
    </w:rPr>
  </w:style>
  <w:style w:type="character" w:styleId="WW8Num25z0">
    <w:name w:val="WW8Num25z0"/>
    <w:qFormat/>
    <w:rPr/>
  </w:style>
  <w:style w:type="character" w:styleId="WW8Num25z1">
    <w:name w:val="WW8Num25z1"/>
    <w:qFormat/>
    <w:rPr/>
  </w:style>
  <w:style w:type="character" w:styleId="WW8Num25z2">
    <w:name w:val="WW8Num25z2"/>
    <w:qFormat/>
    <w:rPr/>
  </w:style>
  <w:style w:type="character" w:styleId="WW8Num25z3">
    <w:name w:val="WW8Num25z3"/>
    <w:qFormat/>
    <w:rPr/>
  </w:style>
  <w:style w:type="character" w:styleId="WW8Num25z4">
    <w:name w:val="WW8Num25z4"/>
    <w:qFormat/>
    <w:rPr/>
  </w:style>
  <w:style w:type="character" w:styleId="WW8Num25z5">
    <w:name w:val="WW8Num25z5"/>
    <w:qFormat/>
    <w:rPr/>
  </w:style>
  <w:style w:type="character" w:styleId="WW8Num25z6">
    <w:name w:val="WW8Num25z6"/>
    <w:qFormat/>
    <w:rPr/>
  </w:style>
  <w:style w:type="character" w:styleId="WW8Num25z7">
    <w:name w:val="WW8Num25z7"/>
    <w:qFormat/>
    <w:rPr/>
  </w:style>
  <w:style w:type="character" w:styleId="WW8Num25z8">
    <w:name w:val="WW8Num25z8"/>
    <w:qFormat/>
    <w:rPr/>
  </w:style>
  <w:style w:type="character" w:styleId="WW8Num26z0">
    <w:name w:val="WW8Num26z0"/>
    <w:qFormat/>
    <w:rPr>
      <w:rFonts w:ascii="Symbol" w:hAnsi="Symbol" w:cs="Symbol"/>
    </w:rPr>
  </w:style>
  <w:style w:type="character" w:styleId="WW8Num26z1">
    <w:name w:val="WW8Num26z1"/>
    <w:qFormat/>
    <w:rPr>
      <w:rFonts w:ascii="Courier New" w:hAnsi="Courier New" w:cs="Courier New"/>
    </w:rPr>
  </w:style>
  <w:style w:type="character" w:styleId="WW8Num26z2">
    <w:name w:val="WW8Num26z2"/>
    <w:qFormat/>
    <w:rPr>
      <w:rFonts w:ascii="Wingdings" w:hAnsi="Wingdings" w:cs="Wingdings"/>
    </w:rPr>
  </w:style>
  <w:style w:type="character" w:styleId="WW8Num27z0">
    <w:name w:val="WW8Num27z0"/>
    <w:qFormat/>
    <w:rPr>
      <w:rFonts w:ascii="Wingdings" w:hAnsi="Wingdings" w:cs="Wingdings"/>
      <w:sz w:val="16"/>
    </w:rPr>
  </w:style>
  <w:style w:type="character" w:styleId="WW8Num27z1">
    <w:name w:val="WW8Num27z1"/>
    <w:qFormat/>
    <w:rPr>
      <w:rFonts w:ascii="Courier New" w:hAnsi="Courier New" w:cs="Courier New"/>
    </w:rPr>
  </w:style>
  <w:style w:type="character" w:styleId="WW8Num27z2">
    <w:name w:val="WW8Num27z2"/>
    <w:qFormat/>
    <w:rPr>
      <w:rFonts w:ascii="Wingdings" w:hAnsi="Wingdings" w:cs="Wingdings"/>
    </w:rPr>
  </w:style>
  <w:style w:type="character" w:styleId="WW8Num27z3">
    <w:name w:val="WW8Num27z3"/>
    <w:qFormat/>
    <w:rPr>
      <w:rFonts w:ascii="Symbol" w:hAnsi="Symbol" w:cs="Symbol"/>
    </w:rPr>
  </w:style>
  <w:style w:type="character" w:styleId="WW8Num28z0">
    <w:name w:val="WW8Num28z0"/>
    <w:qFormat/>
    <w:rPr/>
  </w:style>
  <w:style w:type="character" w:styleId="WW8Num28z1">
    <w:name w:val="WW8Num28z1"/>
    <w:qFormat/>
    <w:rPr/>
  </w:style>
  <w:style w:type="character" w:styleId="WW8Num28z2">
    <w:name w:val="WW8Num28z2"/>
    <w:qFormat/>
    <w:rPr/>
  </w:style>
  <w:style w:type="character" w:styleId="WW8Num28z3">
    <w:name w:val="WW8Num28z3"/>
    <w:qFormat/>
    <w:rPr/>
  </w:style>
  <w:style w:type="character" w:styleId="WW8Num28z4">
    <w:name w:val="WW8Num28z4"/>
    <w:qFormat/>
    <w:rPr/>
  </w:style>
  <w:style w:type="character" w:styleId="WW8Num28z5">
    <w:name w:val="WW8Num28z5"/>
    <w:qFormat/>
    <w:rPr/>
  </w:style>
  <w:style w:type="character" w:styleId="WW8Num28z6">
    <w:name w:val="WW8Num28z6"/>
    <w:qFormat/>
    <w:rPr/>
  </w:style>
  <w:style w:type="character" w:styleId="WW8Num28z7">
    <w:name w:val="WW8Num28z7"/>
    <w:qFormat/>
    <w:rPr/>
  </w:style>
  <w:style w:type="character" w:styleId="WW8Num28z8">
    <w:name w:val="WW8Num28z8"/>
    <w:qFormat/>
    <w:rPr/>
  </w:style>
  <w:style w:type="character" w:styleId="WW8Num29z0">
    <w:name w:val="WW8Num29z0"/>
    <w:qFormat/>
    <w:rPr>
      <w:rFonts w:ascii="Calibri" w:hAnsi="Calibri" w:cs="Calibri"/>
      <w:bCs/>
      <w:szCs w:val="22"/>
      <w:lang w:val="ca-ES" w:eastAsia="en-US"/>
    </w:rPr>
  </w:style>
  <w:style w:type="character" w:styleId="WW8Num29z1">
    <w:name w:val="WW8Num29z1"/>
    <w:qFormat/>
    <w:rPr/>
  </w:style>
  <w:style w:type="character" w:styleId="WW8Num29z2">
    <w:name w:val="WW8Num29z2"/>
    <w:qFormat/>
    <w:rPr/>
  </w:style>
  <w:style w:type="character" w:styleId="WW8Num29z3">
    <w:name w:val="WW8Num29z3"/>
    <w:qFormat/>
    <w:rPr/>
  </w:style>
  <w:style w:type="character" w:styleId="WW8Num29z4">
    <w:name w:val="WW8Num29z4"/>
    <w:qFormat/>
    <w:rPr/>
  </w:style>
  <w:style w:type="character" w:styleId="WW8Num29z5">
    <w:name w:val="WW8Num29z5"/>
    <w:qFormat/>
    <w:rPr/>
  </w:style>
  <w:style w:type="character" w:styleId="WW8Num29z6">
    <w:name w:val="WW8Num29z6"/>
    <w:qFormat/>
    <w:rPr/>
  </w:style>
  <w:style w:type="character" w:styleId="WW8Num29z7">
    <w:name w:val="WW8Num29z7"/>
    <w:qFormat/>
    <w:rPr/>
  </w:style>
  <w:style w:type="character" w:styleId="WW8Num29z8">
    <w:name w:val="WW8Num29z8"/>
    <w:qFormat/>
    <w:rPr/>
  </w:style>
  <w:style w:type="character" w:styleId="WW8Num30z0">
    <w:name w:val="WW8Num30z0"/>
    <w:qFormat/>
    <w:rPr>
      <w:b/>
    </w:rPr>
  </w:style>
  <w:style w:type="character" w:styleId="WW8Num30z1">
    <w:name w:val="WW8Num30z1"/>
    <w:qFormat/>
    <w:rPr/>
  </w:style>
  <w:style w:type="character" w:styleId="WW8Num30z2">
    <w:name w:val="WW8Num30z2"/>
    <w:qFormat/>
    <w:rPr/>
  </w:style>
  <w:style w:type="character" w:styleId="WW8Num30z3">
    <w:name w:val="WW8Num30z3"/>
    <w:qFormat/>
    <w:rPr/>
  </w:style>
  <w:style w:type="character" w:styleId="WW8Num30z4">
    <w:name w:val="WW8Num30z4"/>
    <w:qFormat/>
    <w:rPr/>
  </w:style>
  <w:style w:type="character" w:styleId="WW8Num30z5">
    <w:name w:val="WW8Num30z5"/>
    <w:qFormat/>
    <w:rPr/>
  </w:style>
  <w:style w:type="character" w:styleId="WW8Num30z6">
    <w:name w:val="WW8Num30z6"/>
    <w:qFormat/>
    <w:rPr/>
  </w:style>
  <w:style w:type="character" w:styleId="WW8Num30z7">
    <w:name w:val="WW8Num30z7"/>
    <w:qFormat/>
    <w:rPr/>
  </w:style>
  <w:style w:type="character" w:styleId="WW8Num30z8">
    <w:name w:val="WW8Num30z8"/>
    <w:qFormat/>
    <w:rPr/>
  </w:style>
  <w:style w:type="character" w:styleId="WW8Num31z0">
    <w:name w:val="WW8Num31z0"/>
    <w:qFormat/>
    <w:rPr>
      <w:rFonts w:ascii="Symbol" w:hAnsi="Symbol" w:cs="Symbol"/>
    </w:rPr>
  </w:style>
  <w:style w:type="character" w:styleId="WW8Num31z1">
    <w:name w:val="WW8Num31z1"/>
    <w:qFormat/>
    <w:rPr>
      <w:rFonts w:ascii="Courier New" w:hAnsi="Courier New" w:cs="Courier New"/>
    </w:rPr>
  </w:style>
  <w:style w:type="character" w:styleId="WW8Num31z2">
    <w:name w:val="WW8Num31z2"/>
    <w:qFormat/>
    <w:rPr>
      <w:rFonts w:ascii="Wingdings" w:hAnsi="Wingdings" w:cs="Wingdings"/>
    </w:rPr>
  </w:style>
  <w:style w:type="character" w:styleId="WW8Num32z0">
    <w:name w:val="WW8Num32z0"/>
    <w:qFormat/>
    <w:rPr>
      <w:b/>
    </w:rPr>
  </w:style>
  <w:style w:type="character" w:styleId="WW8Num32z1">
    <w:name w:val="WW8Num32z1"/>
    <w:qFormat/>
    <w:rPr/>
  </w:style>
  <w:style w:type="character" w:styleId="WW8Num32z2">
    <w:name w:val="WW8Num32z2"/>
    <w:qFormat/>
    <w:rPr/>
  </w:style>
  <w:style w:type="character" w:styleId="WW8Num32z3">
    <w:name w:val="WW8Num32z3"/>
    <w:qFormat/>
    <w:rPr/>
  </w:style>
  <w:style w:type="character" w:styleId="WW8Num32z4">
    <w:name w:val="WW8Num32z4"/>
    <w:qFormat/>
    <w:rPr/>
  </w:style>
  <w:style w:type="character" w:styleId="WW8Num32z5">
    <w:name w:val="WW8Num32z5"/>
    <w:qFormat/>
    <w:rPr/>
  </w:style>
  <w:style w:type="character" w:styleId="WW8Num32z6">
    <w:name w:val="WW8Num32z6"/>
    <w:qFormat/>
    <w:rPr/>
  </w:style>
  <w:style w:type="character" w:styleId="WW8Num32z7">
    <w:name w:val="WW8Num32z7"/>
    <w:qFormat/>
    <w:rPr/>
  </w:style>
  <w:style w:type="character" w:styleId="WW8Num32z8">
    <w:name w:val="WW8Num32z8"/>
    <w:qFormat/>
    <w:rPr/>
  </w:style>
  <w:style w:type="character" w:styleId="WW8Num33z0">
    <w:name w:val="WW8Num33z0"/>
    <w:qFormat/>
    <w:rPr>
      <w:rFonts w:ascii="Symbol" w:hAnsi="Symbol" w:cs="Symbol"/>
      <w:szCs w:val="22"/>
      <w:lang w:val="ca-ES" w:eastAsia="en-US"/>
    </w:rPr>
  </w:style>
  <w:style w:type="character" w:styleId="WW8Num33z1">
    <w:name w:val="WW8Num33z1"/>
    <w:qFormat/>
    <w:rPr>
      <w:rFonts w:ascii="Courier New" w:hAnsi="Courier New" w:cs="Courier New"/>
      <w:szCs w:val="22"/>
      <w:lang w:val="ca-ES" w:eastAsia="en-US"/>
    </w:rPr>
  </w:style>
  <w:style w:type="character" w:styleId="WW8Num33z2">
    <w:name w:val="WW8Num33z2"/>
    <w:qFormat/>
    <w:rPr>
      <w:rFonts w:ascii="Wingdings" w:hAnsi="Wingdings" w:cs="Wingdings"/>
    </w:rPr>
  </w:style>
  <w:style w:type="character" w:styleId="WW8Num34z0">
    <w:name w:val="WW8Num34z0"/>
    <w:qFormat/>
    <w:rPr>
      <w:rFonts w:ascii="Symbol" w:hAnsi="Symbol" w:cs="Symbol"/>
    </w:rPr>
  </w:style>
  <w:style w:type="character" w:styleId="WW8Num34z1">
    <w:name w:val="WW8Num34z1"/>
    <w:qFormat/>
    <w:rPr>
      <w:rFonts w:ascii="Courier New" w:hAnsi="Courier New" w:cs="Courier New"/>
      <w:szCs w:val="22"/>
      <w:lang w:val="ca-ES" w:eastAsia="en-US"/>
    </w:rPr>
  </w:style>
  <w:style w:type="character" w:styleId="WW8Num34z2">
    <w:name w:val="WW8Num34z2"/>
    <w:qFormat/>
    <w:rPr>
      <w:rFonts w:ascii="Wingdings" w:hAnsi="Wingdings" w:cs="Wingdings"/>
    </w:rPr>
  </w:style>
  <w:style w:type="character" w:styleId="WW8Num35z0">
    <w:name w:val="WW8Num35z0"/>
    <w:qFormat/>
    <w:rPr>
      <w:rFonts w:cs="Calibri"/>
      <w:bCs/>
    </w:rPr>
  </w:style>
  <w:style w:type="character" w:styleId="WW8Num35z1">
    <w:name w:val="WW8Num35z1"/>
    <w:qFormat/>
    <w:rPr/>
  </w:style>
  <w:style w:type="character" w:styleId="WW8Num35z2">
    <w:name w:val="WW8Num35z2"/>
    <w:qFormat/>
    <w:rPr/>
  </w:style>
  <w:style w:type="character" w:styleId="WW8Num35z3">
    <w:name w:val="WW8Num35z3"/>
    <w:qFormat/>
    <w:rPr/>
  </w:style>
  <w:style w:type="character" w:styleId="WW8Num35z4">
    <w:name w:val="WW8Num35z4"/>
    <w:qFormat/>
    <w:rPr/>
  </w:style>
  <w:style w:type="character" w:styleId="WW8Num35z5">
    <w:name w:val="WW8Num35z5"/>
    <w:qFormat/>
    <w:rPr/>
  </w:style>
  <w:style w:type="character" w:styleId="WW8Num35z6">
    <w:name w:val="WW8Num35z6"/>
    <w:qFormat/>
    <w:rPr/>
  </w:style>
  <w:style w:type="character" w:styleId="WW8Num35z7">
    <w:name w:val="WW8Num35z7"/>
    <w:qFormat/>
    <w:rPr/>
  </w:style>
  <w:style w:type="character" w:styleId="WW8Num35z8">
    <w:name w:val="WW8Num35z8"/>
    <w:qFormat/>
    <w:rPr/>
  </w:style>
  <w:style w:type="character" w:styleId="WW8Num36z0">
    <w:name w:val="WW8Num36z0"/>
    <w:qFormat/>
    <w:rPr>
      <w:rFonts w:ascii="Symbol" w:hAnsi="Symbol" w:cs="Symbol"/>
    </w:rPr>
  </w:style>
  <w:style w:type="character" w:styleId="WW8Num36z1">
    <w:name w:val="WW8Num36z1"/>
    <w:qFormat/>
    <w:rPr>
      <w:rFonts w:ascii="Courier New" w:hAnsi="Courier New" w:cs="Courier New"/>
    </w:rPr>
  </w:style>
  <w:style w:type="character" w:styleId="WW8Num36z2">
    <w:name w:val="WW8Num36z2"/>
    <w:qFormat/>
    <w:rPr>
      <w:rFonts w:ascii="Wingdings" w:hAnsi="Wingdings" w:cs="Wingdings"/>
    </w:rPr>
  </w:style>
  <w:style w:type="character" w:styleId="WW8Num37z0">
    <w:name w:val="WW8Num37z0"/>
    <w:qFormat/>
    <w:rPr>
      <w:rFonts w:ascii="Wingdings" w:hAnsi="Wingdings" w:cs="Wingdings"/>
    </w:rPr>
  </w:style>
  <w:style w:type="character" w:styleId="WW8Num37z1">
    <w:name w:val="WW8Num37z1"/>
    <w:qFormat/>
    <w:rPr>
      <w:rFonts w:ascii="Courier New" w:hAnsi="Courier New" w:cs="Courier New"/>
    </w:rPr>
  </w:style>
  <w:style w:type="character" w:styleId="WW8Num37z3">
    <w:name w:val="WW8Num37z3"/>
    <w:qFormat/>
    <w:rPr>
      <w:rFonts w:ascii="Symbol" w:hAnsi="Symbol" w:cs="Symbol"/>
    </w:rPr>
  </w:style>
  <w:style w:type="character" w:styleId="WW8Num38z0">
    <w:name w:val="WW8Num38z0"/>
    <w:qFormat/>
    <w:rPr/>
  </w:style>
  <w:style w:type="character" w:styleId="WW8Num38z1">
    <w:name w:val="WW8Num38z1"/>
    <w:qFormat/>
    <w:rPr>
      <w:rFonts w:ascii="Courier New" w:hAnsi="Courier New" w:cs="Courier New"/>
    </w:rPr>
  </w:style>
  <w:style w:type="character" w:styleId="WW8Num38z2">
    <w:name w:val="WW8Num38z2"/>
    <w:qFormat/>
    <w:rPr>
      <w:rFonts w:ascii="Wingdings" w:hAnsi="Wingdings" w:cs="Wingdings"/>
    </w:rPr>
  </w:style>
  <w:style w:type="character" w:styleId="WW8Num38z3">
    <w:name w:val="WW8Num38z3"/>
    <w:qFormat/>
    <w:rPr>
      <w:rFonts w:ascii="Symbol" w:hAnsi="Symbol" w:cs="Symbol"/>
    </w:rPr>
  </w:style>
  <w:style w:type="character" w:styleId="WW8Num39z0">
    <w:name w:val="WW8Num39z0"/>
    <w:qFormat/>
    <w:rPr>
      <w:rFonts w:ascii="Symbol" w:hAnsi="Symbol" w:eastAsia="Lucida Sans Unicode" w:cs="Arial"/>
    </w:rPr>
  </w:style>
  <w:style w:type="character" w:styleId="WW8Num39z1">
    <w:name w:val="WW8Num39z1"/>
    <w:qFormat/>
    <w:rPr>
      <w:rFonts w:ascii="Courier New" w:hAnsi="Courier New" w:cs="Courier New"/>
    </w:rPr>
  </w:style>
  <w:style w:type="character" w:styleId="WW8Num39z2">
    <w:name w:val="WW8Num39z2"/>
    <w:qFormat/>
    <w:rPr>
      <w:rFonts w:ascii="Wingdings" w:hAnsi="Wingdings" w:cs="Wingdings"/>
    </w:rPr>
  </w:style>
  <w:style w:type="character" w:styleId="WW8Num39z3">
    <w:name w:val="WW8Num39z3"/>
    <w:qFormat/>
    <w:rPr>
      <w:rFonts w:ascii="Symbol" w:hAnsi="Symbol" w:cs="Symbol"/>
    </w:rPr>
  </w:style>
  <w:style w:type="character" w:styleId="WW8Num40z0">
    <w:name w:val="WW8Num40z0"/>
    <w:qFormat/>
    <w:rPr>
      <w:rFonts w:ascii="Calibri" w:hAnsi="Calibri" w:cs="Arial"/>
      <w:szCs w:val="22"/>
      <w:lang w:val="ca-ES" w:eastAsia="en-US"/>
    </w:rPr>
  </w:style>
  <w:style w:type="character" w:styleId="WW8Num40z1">
    <w:name w:val="WW8Num40z1"/>
    <w:qFormat/>
    <w:rPr/>
  </w:style>
  <w:style w:type="character" w:styleId="WW8Num40z2">
    <w:name w:val="WW8Num40z2"/>
    <w:qFormat/>
    <w:rPr/>
  </w:style>
  <w:style w:type="character" w:styleId="WW8Num40z3">
    <w:name w:val="WW8Num40z3"/>
    <w:qFormat/>
    <w:rPr/>
  </w:style>
  <w:style w:type="character" w:styleId="WW8Num40z4">
    <w:name w:val="WW8Num40z4"/>
    <w:qFormat/>
    <w:rPr/>
  </w:style>
  <w:style w:type="character" w:styleId="WW8Num40z5">
    <w:name w:val="WW8Num40z5"/>
    <w:qFormat/>
    <w:rPr/>
  </w:style>
  <w:style w:type="character" w:styleId="WW8Num40z6">
    <w:name w:val="WW8Num40z6"/>
    <w:qFormat/>
    <w:rPr/>
  </w:style>
  <w:style w:type="character" w:styleId="WW8Num40z7">
    <w:name w:val="WW8Num40z7"/>
    <w:qFormat/>
    <w:rPr/>
  </w:style>
  <w:style w:type="character" w:styleId="WW8Num40z8">
    <w:name w:val="WW8Num40z8"/>
    <w:qFormat/>
    <w:rPr/>
  </w:style>
  <w:style w:type="character" w:styleId="Lletraperdefectedelpargraf">
    <w:name w:val="Lletra per defecte del paràgraf"/>
    <w:qFormat/>
    <w:rPr/>
  </w:style>
  <w:style w:type="character" w:styleId="CapaleraCar">
    <w:name w:val="Capçalera Car"/>
    <w:qFormat/>
    <w:rPr>
      <w:lang w:val="ca-ES"/>
    </w:rPr>
  </w:style>
  <w:style w:type="character" w:styleId="PeuCar">
    <w:name w:val="Peu Car"/>
    <w:qFormat/>
    <w:rPr>
      <w:lang w:val="ca-ES"/>
    </w:rPr>
  </w:style>
  <w:style w:type="character" w:styleId="TextdeglobusCar">
    <w:name w:val="Text de globus Car"/>
    <w:qFormat/>
    <w:rPr>
      <w:rFonts w:ascii="Tahoma" w:hAnsi="Tahoma" w:cs="Tahoma"/>
      <w:sz w:val="16"/>
      <w:szCs w:val="16"/>
      <w:lang w:val="ca-ES"/>
    </w:rPr>
  </w:style>
  <w:style w:type="character" w:styleId="InternetLink">
    <w:name w:val="Hyperlink"/>
    <w:rPr>
      <w:rFonts w:ascii="Times New Roman" w:hAnsi="Times New Roman" w:cs="Times New Roman"/>
      <w:color w:val="0000FF"/>
      <w:u w:val="single"/>
    </w:rPr>
  </w:style>
  <w:style w:type="character" w:styleId="Ttol2Car">
    <w:name w:val="Títol 2 Car"/>
    <w:qFormat/>
    <w:rPr>
      <w:rFonts w:ascii="Cambria" w:hAnsi="Cambria" w:eastAsia="Times New Roman" w:cs="Cambria"/>
      <w:b/>
      <w:bCs/>
      <w:i/>
      <w:iCs/>
      <w:sz w:val="28"/>
      <w:szCs w:val="28"/>
      <w:lang w:val="ca-ES"/>
    </w:rPr>
  </w:style>
  <w:style w:type="character" w:styleId="Ttol3Car">
    <w:name w:val="Títol 3 Car"/>
    <w:qFormat/>
    <w:rPr>
      <w:rFonts w:ascii="Cambria" w:hAnsi="Cambria" w:eastAsia="Times New Roman" w:cs="Times New Roman"/>
      <w:b/>
      <w:bCs/>
      <w:sz w:val="26"/>
      <w:szCs w:val="26"/>
      <w:lang w:val="ca-ES"/>
    </w:rPr>
  </w:style>
  <w:style w:type="character" w:styleId="Normal1">
    <w:name w:val="Normal1"/>
    <w:qFormat/>
    <w:rPr>
      <w:rFonts w:ascii="Helvetica" w:hAnsi="Helvetica" w:cs="Helvetica"/>
      <w:sz w:val="24"/>
    </w:rPr>
  </w:style>
  <w:style w:type="character" w:styleId="Numerotituloredondo">
    <w:name w:val="numero titulo redondo"/>
    <w:qFormat/>
    <w:rPr>
      <w:rFonts w:ascii="Palatino" w:hAnsi="Palatino" w:cs="Palatino"/>
    </w:rPr>
  </w:style>
  <w:style w:type="character" w:styleId="TextindependentCar">
    <w:name w:val="Text independent Car"/>
    <w:qFormat/>
    <w:rPr>
      <w:rFonts w:ascii="Times New Roman" w:hAnsi="Times New Roman" w:eastAsia="Times New Roman" w:cs="Times New Roman"/>
      <w:sz w:val="24"/>
      <w:lang w:val="en-US" w:eastAsia="en-US"/>
    </w:rPr>
  </w:style>
  <w:style w:type="character" w:styleId="VisitedInternetLink">
    <w:name w:val="FollowedHyperlink"/>
    <w:rPr>
      <w:color w:val="800080"/>
      <w:u w:val="single"/>
    </w:rPr>
  </w:style>
  <w:style w:type="character" w:styleId="Mencisenseresoldre">
    <w:name w:val="Menció sense resoldre"/>
    <w:qFormat/>
    <w:rPr>
      <w:color w:val="605E5C"/>
      <w:shd w:fill="E1DFDD" w:val="clear"/>
    </w:rPr>
  </w:style>
  <w:style w:type="character" w:styleId="Ttol1Car">
    <w:name w:val="Títol 1 Car"/>
    <w:qFormat/>
    <w:rPr>
      <w:rFonts w:ascii="Times New Roman" w:hAnsi="Times New Roman" w:eastAsia="Times New Roman" w:cs="Times New Roman"/>
      <w:b/>
      <w:bCs/>
      <w:kern w:val="2"/>
      <w:sz w:val="48"/>
      <w:szCs w:val="48"/>
    </w:rPr>
  </w:style>
  <w:style w:type="character" w:styleId="Ttol4Car">
    <w:name w:val="Títol 4 Car"/>
    <w:qFormat/>
    <w:rPr>
      <w:rFonts w:eastAsia="Times New Roman"/>
      <w:b/>
      <w:bCs/>
      <w:kern w:val="2"/>
      <w:sz w:val="28"/>
      <w:szCs w:val="28"/>
      <w:lang w:val="es-ES"/>
    </w:rPr>
  </w:style>
  <w:style w:type="character" w:styleId="StrongEmphasis">
    <w:name w:val="Strong Emphasis"/>
    <w:qFormat/>
    <w:rPr>
      <w:b/>
      <w:bCs/>
    </w:rPr>
  </w:style>
  <w:style w:type="character" w:styleId="Refernciadecomentari">
    <w:name w:val="Referència de comentari"/>
    <w:qFormat/>
    <w:rPr>
      <w:sz w:val="16"/>
      <w:szCs w:val="16"/>
    </w:rPr>
  </w:style>
  <w:style w:type="character" w:styleId="TextdecomentariCar">
    <w:name w:val="Text de comentari Car"/>
    <w:qFormat/>
    <w:rPr>
      <w:rFonts w:ascii="Arial" w:hAnsi="Arial" w:eastAsia="Lucida Sans Unicode" w:cs="Arial"/>
      <w:kern w:val="2"/>
      <w:lang w:val="es-ES"/>
    </w:rPr>
  </w:style>
  <w:style w:type="character" w:styleId="TemadelcomentariCar">
    <w:name w:val="Tema del comentari Car"/>
    <w:qFormat/>
    <w:rPr>
      <w:rFonts w:ascii="Arial" w:hAnsi="Arial" w:eastAsia="Lucida Sans Unicode" w:cs="Arial"/>
      <w:b/>
      <w:bCs/>
      <w:kern w:val="2"/>
      <w:lang w:val="es-ES"/>
    </w:rPr>
  </w:style>
  <w:style w:type="paragraph" w:styleId="Heading">
    <w:name w:val="Heading"/>
    <w:basedOn w:val="Normal"/>
    <w:next w:val="TextBody"/>
    <w:qFormat/>
    <w:pPr>
      <w:keepNext w:val="true"/>
      <w:widowControl w:val="false"/>
      <w:suppressAutoHyphens w:val="true"/>
      <w:spacing w:before="240" w:after="120"/>
    </w:pPr>
    <w:rPr>
      <w:rFonts w:ascii="Arial" w:hAnsi="Arial" w:eastAsia="MS Mincho;ＭＳ 明朝" w:cs="Tahoma"/>
      <w:kern w:val="2"/>
      <w:szCs w:val="28"/>
      <w:lang w:val="es-ES"/>
    </w:rPr>
  </w:style>
  <w:style w:type="paragraph" w:styleId="TextBody">
    <w:name w:val="Body Text"/>
    <w:basedOn w:val="Normal"/>
    <w:pPr>
      <w:overflowPunct w:val="false"/>
      <w:autoSpaceDE w:val="false"/>
      <w:jc w:val="both"/>
      <w:textAlignment w:val="baseline"/>
    </w:pPr>
    <w:rPr>
      <w:rFonts w:ascii="Times New Roman" w:hAnsi="Times New Roman" w:eastAsia="Times New Roman" w:cs="Times New Roman"/>
      <w:sz w:val="24"/>
      <w:szCs w:val="20"/>
      <w:lang w:val="es-ES" w:eastAsia="en-US"/>
    </w:rPr>
  </w:style>
  <w:style w:type="paragraph" w:styleId="List">
    <w:name w:val="List"/>
    <w:basedOn w:val="TextBody"/>
    <w:pPr>
      <w:widowControl w:val="false"/>
      <w:suppressAutoHyphens w:val="true"/>
      <w:overflowPunct w:val="true"/>
      <w:autoSpaceDE w:val="true"/>
      <w:spacing w:before="0" w:after="120"/>
      <w:jc w:val="start"/>
      <w:textAlignment w:val="auto"/>
    </w:pPr>
    <w:rPr>
      <w:rFonts w:ascii="Arial" w:hAnsi="Arial" w:eastAsia="Lucida Sans Unicode" w:cs="Tahoma"/>
      <w:kern w:val="2"/>
      <w:sz w:val="22"/>
      <w:szCs w:val="24"/>
    </w:rPr>
  </w:style>
  <w:style w:type="paragraph" w:styleId="Caption">
    <w:name w:val="Caption"/>
    <w:basedOn w:val="Normal"/>
    <w:qFormat/>
    <w:pPr>
      <w:widowControl w:val="false"/>
      <w:suppressLineNumbers/>
      <w:suppressAutoHyphens w:val="true"/>
      <w:spacing w:before="120" w:after="120"/>
    </w:pPr>
    <w:rPr>
      <w:rFonts w:ascii="Arial" w:hAnsi="Arial" w:eastAsia="Lucida Sans Unicode" w:cs="Tahoma"/>
      <w:i/>
      <w:iCs/>
      <w:kern w:val="2"/>
      <w:szCs w:val="24"/>
      <w:lang w:val="es-ES"/>
    </w:rPr>
  </w:style>
  <w:style w:type="paragraph" w:styleId="Index">
    <w:name w:val="Index"/>
    <w:basedOn w:val="Normal"/>
    <w:qFormat/>
    <w:pPr>
      <w:widowControl w:val="false"/>
      <w:suppressLineNumbers/>
      <w:suppressAutoHyphens w:val="true"/>
    </w:pPr>
    <w:rPr>
      <w:rFonts w:ascii="Arial" w:hAnsi="Arial" w:eastAsia="Lucida Sans Unicode" w:cs="Tahoma"/>
      <w:kern w:val="2"/>
      <w:szCs w:val="24"/>
      <w:lang w:val="es-ES"/>
    </w:rPr>
  </w:style>
  <w:style w:type="paragraph" w:styleId="HeaderandFooter">
    <w:name w:val="Header and Footer"/>
    <w:basedOn w:val="Normal"/>
    <w:qFormat/>
    <w:pPr>
      <w:suppressLineNumbers/>
      <w:tabs>
        <w:tab w:val="clear" w:pos="708"/>
        <w:tab w:val="center" w:pos="4986" w:leader="none"/>
        <w:tab w:val="right" w:pos="9972" w:leader="none"/>
      </w:tabs>
    </w:pPr>
    <w:rPr/>
  </w:style>
  <w:style w:type="paragraph" w:styleId="Header">
    <w:name w:val="Header"/>
    <w:basedOn w:val="Normal"/>
    <w:pPr>
      <w:spacing w:lineRule="auto" w:line="240"/>
    </w:pPr>
    <w:rPr/>
  </w:style>
  <w:style w:type="paragraph" w:styleId="Footer">
    <w:name w:val="Footer"/>
    <w:basedOn w:val="Normal"/>
    <w:pPr>
      <w:spacing w:lineRule="auto" w:line="240"/>
    </w:pPr>
    <w:rPr/>
  </w:style>
  <w:style w:type="paragraph" w:styleId="Textdeglobus">
    <w:name w:val="Text de globus"/>
    <w:basedOn w:val="Normal"/>
    <w:qFormat/>
    <w:pPr>
      <w:spacing w:lineRule="auto" w:line="240"/>
    </w:pPr>
    <w:rPr>
      <w:rFonts w:ascii="Tahoma" w:hAnsi="Tahoma" w:cs="Tahoma"/>
      <w:sz w:val="16"/>
      <w:szCs w:val="16"/>
    </w:rPr>
  </w:style>
  <w:style w:type="paragraph" w:styleId="Textoindependiente31">
    <w:name w:val="Texto independiente 31"/>
    <w:basedOn w:val="Normal"/>
    <w:qFormat/>
    <w:pPr>
      <w:jc w:val="both"/>
    </w:pPr>
    <w:rPr>
      <w:rFonts w:ascii="Arial" w:hAnsi="Arial" w:cs="Arial"/>
      <w:b/>
      <w:bCs/>
      <w:color w:val="000000"/>
      <w:sz w:val="20"/>
      <w:szCs w:val="20"/>
    </w:rPr>
  </w:style>
  <w:style w:type="paragraph" w:styleId="Parrafo2">
    <w:name w:val="parrafo_2"/>
    <w:basedOn w:val="Normal"/>
    <w:qFormat/>
    <w:pPr>
      <w:spacing w:before="280" w:after="280"/>
    </w:pPr>
    <w:rPr>
      <w:rFonts w:ascii="Times New Roman" w:hAnsi="Times New Roman" w:cs="Times New Roman"/>
      <w:sz w:val="24"/>
      <w:szCs w:val="24"/>
      <w:lang w:val="ca-ES"/>
    </w:rPr>
  </w:style>
  <w:style w:type="paragraph" w:styleId="NormalWeb">
    <w:name w:val="Normal (Web)"/>
    <w:basedOn w:val="Normal"/>
    <w:qFormat/>
    <w:pPr>
      <w:spacing w:before="280" w:after="280"/>
    </w:pPr>
    <w:rPr>
      <w:rFonts w:ascii="Times New Roman" w:hAnsi="Times New Roman" w:eastAsia="Times New Roman" w:cs="Times New Roman"/>
      <w:sz w:val="24"/>
      <w:szCs w:val="24"/>
      <w:lang w:val="es-ES"/>
    </w:rPr>
  </w:style>
  <w:style w:type="paragraph" w:styleId="Articulo">
    <w:name w:val="articulo"/>
    <w:basedOn w:val="Normal"/>
    <w:qFormat/>
    <w:pPr>
      <w:spacing w:before="280" w:after="280"/>
    </w:pPr>
    <w:rPr>
      <w:rFonts w:ascii="Times New Roman" w:hAnsi="Times New Roman" w:eastAsia="Times New Roman" w:cs="Times New Roman"/>
      <w:sz w:val="24"/>
      <w:szCs w:val="24"/>
      <w:lang w:val="es-ES"/>
    </w:rPr>
  </w:style>
  <w:style w:type="paragraph" w:styleId="Parrafo">
    <w:name w:val="parrafo"/>
    <w:basedOn w:val="Normal"/>
    <w:qFormat/>
    <w:pPr>
      <w:spacing w:before="280" w:after="280"/>
    </w:pPr>
    <w:rPr>
      <w:rFonts w:ascii="Times New Roman" w:hAnsi="Times New Roman" w:eastAsia="Times New Roman" w:cs="Times New Roman"/>
      <w:sz w:val="24"/>
      <w:szCs w:val="24"/>
      <w:lang w:val="es-ES"/>
    </w:rPr>
  </w:style>
  <w:style w:type="paragraph" w:styleId="Titulo4">
    <w:name w:val="Titulo 4"/>
    <w:qFormat/>
    <w:pPr>
      <w:widowControl w:val="false"/>
      <w:autoSpaceDE w:val="false"/>
      <w:bidi w:val="0"/>
      <w:spacing w:lineRule="exact" w:line="240" w:before="480" w:after="240"/>
    </w:pPr>
    <w:rPr>
      <w:rFonts w:ascii="Times New Roman" w:hAnsi="Times New Roman" w:eastAsia="Times New Roman" w:cs="Times New Roman"/>
      <w:color w:val="auto"/>
      <w:sz w:val="24"/>
      <w:szCs w:val="24"/>
      <w:lang w:val="es-ES" w:bidi="ar-SA" w:eastAsia="zh-CN"/>
    </w:rPr>
  </w:style>
  <w:style w:type="paragraph" w:styleId="Titulo3">
    <w:name w:val="Titulo 3"/>
    <w:qFormat/>
    <w:pPr>
      <w:widowControl/>
      <w:bidi w:val="0"/>
      <w:spacing w:lineRule="exact" w:line="240" w:before="0" w:after="480"/>
      <w:ind w:start="113" w:hanging="0"/>
    </w:pPr>
    <w:rPr>
      <w:rFonts w:ascii="Palatino" w:hAnsi="Palatino" w:eastAsia="Times New Roman" w:cs="Palatino"/>
      <w:i/>
      <w:color w:val="auto"/>
      <w:sz w:val="20"/>
      <w:szCs w:val="20"/>
      <w:lang w:val="es-ES" w:eastAsia="en-US" w:bidi="ar-SA"/>
    </w:rPr>
  </w:style>
  <w:style w:type="paragraph" w:styleId="BodyText2">
    <w:name w:val="Body Text 2"/>
    <w:basedOn w:val="Normal"/>
    <w:qFormat/>
    <w:pPr>
      <w:overflowPunct w:val="false"/>
      <w:autoSpaceDE w:val="false"/>
      <w:ind w:start="993" w:hanging="993"/>
      <w:jc w:val="both"/>
      <w:textAlignment w:val="baseline"/>
    </w:pPr>
    <w:rPr>
      <w:rFonts w:ascii="Times New Roman" w:hAnsi="Times New Roman" w:eastAsia="Times New Roman" w:cs="Times New Roman"/>
      <w:sz w:val="24"/>
      <w:szCs w:val="20"/>
      <w:lang w:val="es-ES" w:eastAsia="en-US"/>
    </w:rPr>
  </w:style>
  <w:style w:type="paragraph" w:styleId="Pargrafdellista">
    <w:name w:val="Paràgraf de llista"/>
    <w:basedOn w:val="Normal"/>
    <w:qFormat/>
    <w:pPr>
      <w:spacing w:lineRule="auto" w:line="276" w:before="120" w:after="120"/>
      <w:ind w:start="720" w:hanging="0"/>
      <w:contextualSpacing/>
    </w:pPr>
    <w:rPr>
      <w:rFonts w:ascii="Calibri" w:hAnsi="Calibri" w:eastAsia="Calibri" w:cs="Times New Roman"/>
    </w:rPr>
  </w:style>
  <w:style w:type="paragraph" w:styleId="Default">
    <w:name w:val="Default"/>
    <w:qFormat/>
    <w:pPr>
      <w:widowControl/>
      <w:autoSpaceDE w:val="false"/>
      <w:bidi w:val="0"/>
    </w:pPr>
    <w:rPr>
      <w:rFonts w:ascii="Calibri" w:hAnsi="Calibri" w:eastAsia="Calibri" w:cs="Calibri"/>
      <w:color w:val="000000"/>
      <w:sz w:val="24"/>
      <w:szCs w:val="24"/>
      <w:lang w:val="ca-ES" w:bidi="ar-SA" w:eastAsia="zh-CN"/>
    </w:rPr>
  </w:style>
  <w:style w:type="paragraph" w:styleId="Ttulo1">
    <w:name w:val="Título1"/>
    <w:basedOn w:val="Normal"/>
    <w:next w:val="TextBody"/>
    <w:qFormat/>
    <w:pPr>
      <w:keepNext w:val="true"/>
      <w:widowControl w:val="false"/>
      <w:suppressAutoHyphens w:val="true"/>
      <w:spacing w:before="240" w:after="120"/>
    </w:pPr>
    <w:rPr>
      <w:rFonts w:ascii="Liberation Sans" w:hAnsi="Liberation Sans" w:eastAsia="Microsoft YaHei" w:cs="Mangal;Mangal"/>
      <w:kern w:val="2"/>
      <w:sz w:val="28"/>
      <w:szCs w:val="28"/>
      <w:lang w:val="es-ES"/>
    </w:rPr>
  </w:style>
  <w:style w:type="paragraph" w:styleId="Llegenda">
    <w:name w:val="Llegenda"/>
    <w:basedOn w:val="Normal"/>
    <w:qFormat/>
    <w:pPr>
      <w:widowControl w:val="false"/>
      <w:suppressLineNumbers/>
      <w:suppressAutoHyphens w:val="true"/>
      <w:spacing w:before="120" w:after="120"/>
    </w:pPr>
    <w:rPr>
      <w:rFonts w:ascii="Arial" w:hAnsi="Arial" w:eastAsia="Lucida Sans Unicode" w:cs="Mangal;Mangal"/>
      <w:i/>
      <w:iCs/>
      <w:kern w:val="2"/>
      <w:sz w:val="24"/>
      <w:szCs w:val="24"/>
      <w:lang w:val="es-ES"/>
    </w:rPr>
  </w:style>
  <w:style w:type="paragraph" w:styleId="Ndice">
    <w:name w:val="Índice"/>
    <w:basedOn w:val="Normal"/>
    <w:qFormat/>
    <w:pPr>
      <w:widowControl w:val="false"/>
      <w:suppressLineNumbers/>
      <w:suppressAutoHyphens w:val="true"/>
    </w:pPr>
    <w:rPr>
      <w:rFonts w:ascii="Arial" w:hAnsi="Arial" w:eastAsia="Lucida Sans Unicode" w:cs="Mangal;Mangal"/>
      <w:kern w:val="2"/>
      <w:szCs w:val="24"/>
      <w:lang w:val="es-ES"/>
    </w:rPr>
  </w:style>
  <w:style w:type="paragraph" w:styleId="Header1">
    <w:name w:val="Header1"/>
    <w:basedOn w:val="Normal"/>
    <w:qFormat/>
    <w:pPr>
      <w:widowControl w:val="false"/>
      <w:suppressLineNumbers/>
      <w:tabs>
        <w:tab w:val="clear" w:pos="708"/>
        <w:tab w:val="center" w:pos="4818" w:leader="none"/>
        <w:tab w:val="right" w:pos="9637" w:leader="none"/>
      </w:tabs>
      <w:suppressAutoHyphens w:val="true"/>
    </w:pPr>
    <w:rPr>
      <w:rFonts w:ascii="Arial" w:hAnsi="Arial" w:eastAsia="Lucida Sans Unicode" w:cs="Arial"/>
      <w:kern w:val="2"/>
      <w:szCs w:val="24"/>
      <w:lang w:val="es-ES"/>
    </w:rPr>
  </w:style>
  <w:style w:type="paragraph" w:styleId="Footer1">
    <w:name w:val="Footer1"/>
    <w:basedOn w:val="Normal"/>
    <w:qFormat/>
    <w:pPr>
      <w:widowControl w:val="false"/>
      <w:suppressLineNumbers/>
      <w:tabs>
        <w:tab w:val="clear" w:pos="708"/>
        <w:tab w:val="center" w:pos="4818" w:leader="none"/>
        <w:tab w:val="right" w:pos="9637" w:leader="none"/>
      </w:tabs>
      <w:suppressAutoHyphens w:val="true"/>
    </w:pPr>
    <w:rPr>
      <w:rFonts w:ascii="Arial" w:hAnsi="Arial" w:eastAsia="Lucida Sans Unicode" w:cs="Arial"/>
      <w:kern w:val="2"/>
      <w:szCs w:val="24"/>
      <w:lang w:val="es-ES"/>
    </w:rPr>
  </w:style>
  <w:style w:type="paragraph" w:styleId="Header2">
    <w:name w:val="Header2"/>
    <w:basedOn w:val="Normal"/>
    <w:qFormat/>
    <w:pPr>
      <w:widowControl w:val="false"/>
      <w:suppressLineNumbers/>
      <w:tabs>
        <w:tab w:val="clear" w:pos="708"/>
        <w:tab w:val="right" w:pos="9637" w:leader="none"/>
      </w:tabs>
      <w:suppressAutoHyphens w:val="true"/>
    </w:pPr>
    <w:rPr>
      <w:rFonts w:ascii="Arial" w:hAnsi="Arial" w:eastAsia="Lucida Sans Unicode" w:cs="Arial"/>
      <w:kern w:val="2"/>
      <w:szCs w:val="24"/>
      <w:lang w:val="es-ES"/>
    </w:rPr>
  </w:style>
  <w:style w:type="paragraph" w:styleId="Footer2">
    <w:name w:val="Footer2"/>
    <w:basedOn w:val="Normal"/>
    <w:qFormat/>
    <w:pPr>
      <w:widowControl w:val="false"/>
      <w:suppressLineNumbers/>
      <w:tabs>
        <w:tab w:val="clear" w:pos="708"/>
        <w:tab w:val="right" w:pos="9637" w:leader="none"/>
      </w:tabs>
      <w:suppressAutoHyphens w:val="true"/>
    </w:pPr>
    <w:rPr>
      <w:rFonts w:ascii="Arial" w:hAnsi="Arial" w:eastAsia="Lucida Sans Unicode" w:cs="Arial"/>
      <w:kern w:val="2"/>
      <w:szCs w:val="24"/>
      <w:lang w:val="es-ES"/>
    </w:rPr>
  </w:style>
  <w:style w:type="paragraph" w:styleId="Header3">
    <w:name w:val="Header3"/>
    <w:basedOn w:val="Normal"/>
    <w:qFormat/>
    <w:pPr>
      <w:widowControl w:val="false"/>
      <w:suppressLineNumbers/>
      <w:tabs>
        <w:tab w:val="clear" w:pos="708"/>
        <w:tab w:val="center" w:pos="4818" w:leader="none"/>
        <w:tab w:val="right" w:pos="9637" w:leader="none"/>
      </w:tabs>
      <w:suppressAutoHyphens w:val="true"/>
    </w:pPr>
    <w:rPr>
      <w:rFonts w:ascii="Arial" w:hAnsi="Arial" w:eastAsia="Lucida Sans Unicode" w:cs="Arial"/>
      <w:kern w:val="2"/>
      <w:szCs w:val="24"/>
      <w:lang w:val="es-ES"/>
    </w:rPr>
  </w:style>
  <w:style w:type="paragraph" w:styleId="Header4">
    <w:name w:val="Header4"/>
    <w:basedOn w:val="Normal"/>
    <w:qFormat/>
    <w:pPr>
      <w:widowControl w:val="false"/>
      <w:suppressLineNumbers/>
      <w:tabs>
        <w:tab w:val="clear" w:pos="708"/>
        <w:tab w:val="center" w:pos="4818" w:leader="none"/>
        <w:tab w:val="right" w:pos="9637" w:leader="none"/>
      </w:tabs>
      <w:suppressAutoHyphens w:val="true"/>
    </w:pPr>
    <w:rPr>
      <w:rFonts w:ascii="Arial" w:hAnsi="Arial" w:eastAsia="Lucida Sans Unicode" w:cs="Arial"/>
      <w:kern w:val="2"/>
      <w:szCs w:val="24"/>
      <w:lang w:val="es-ES"/>
    </w:rPr>
  </w:style>
  <w:style w:type="paragraph" w:styleId="Footer3">
    <w:name w:val="Footer3"/>
    <w:basedOn w:val="Normal"/>
    <w:qFormat/>
    <w:pPr>
      <w:widowControl w:val="false"/>
      <w:suppressLineNumbers/>
      <w:tabs>
        <w:tab w:val="clear" w:pos="708"/>
        <w:tab w:val="center" w:pos="4818" w:leader="none"/>
        <w:tab w:val="right" w:pos="9637" w:leader="none"/>
      </w:tabs>
      <w:suppressAutoHyphens w:val="true"/>
    </w:pPr>
    <w:rPr>
      <w:rFonts w:ascii="Arial" w:hAnsi="Arial" w:eastAsia="Lucida Sans Unicode" w:cs="Arial"/>
      <w:kern w:val="2"/>
      <w:szCs w:val="24"/>
      <w:lang w:val="es-ES"/>
    </w:rPr>
  </w:style>
  <w:style w:type="paragraph" w:styleId="TableContents">
    <w:name w:val="Table Contents"/>
    <w:basedOn w:val="Normal"/>
    <w:qFormat/>
    <w:pPr>
      <w:widowControl w:val="false"/>
      <w:suppressLineNumbers/>
      <w:suppressAutoHyphens w:val="true"/>
    </w:pPr>
    <w:rPr>
      <w:rFonts w:ascii="Arial" w:hAnsi="Arial" w:eastAsia="Lucida Sans Unicode" w:cs="Arial"/>
      <w:kern w:val="2"/>
      <w:szCs w:val="24"/>
      <w:lang w:val="es-ES"/>
    </w:rPr>
  </w:style>
  <w:style w:type="paragraph" w:styleId="TableHeading">
    <w:name w:val="Table Heading"/>
    <w:basedOn w:val="TableContents"/>
    <w:qFormat/>
    <w:pPr>
      <w:jc w:val="center"/>
    </w:pPr>
    <w:rPr>
      <w:b/>
      <w:bCs/>
    </w:rPr>
  </w:style>
  <w:style w:type="paragraph" w:styleId="Textdebloc">
    <w:name w:val="Text de bloc"/>
    <w:basedOn w:val="Normal"/>
    <w:qFormat/>
    <w:pPr>
      <w:spacing w:before="0" w:after="120"/>
      <w:ind w:start="1416" w:end="99" w:hanging="0"/>
      <w:jc w:val="both"/>
    </w:pPr>
    <w:rPr>
      <w:rFonts w:eastAsia="Times New Roman"/>
      <w:szCs w:val="24"/>
    </w:rPr>
  </w:style>
  <w:style w:type="paragraph" w:styleId="Western">
    <w:name w:val="western"/>
    <w:basedOn w:val="Normal"/>
    <w:qFormat/>
    <w:pPr>
      <w:spacing w:before="280" w:after="119"/>
    </w:pPr>
    <w:rPr>
      <w:rFonts w:ascii="Arial" w:hAnsi="Arial" w:eastAsia="Times New Roman" w:cs="Arial"/>
      <w:color w:val="000000"/>
      <w:lang w:val="es-ES"/>
    </w:rPr>
  </w:style>
  <w:style w:type="paragraph" w:styleId="Textdecomentari">
    <w:name w:val="Text de comentari"/>
    <w:basedOn w:val="Normal"/>
    <w:qFormat/>
    <w:pPr>
      <w:widowControl w:val="false"/>
      <w:suppressAutoHyphens w:val="true"/>
    </w:pPr>
    <w:rPr>
      <w:rFonts w:ascii="Arial" w:hAnsi="Arial" w:eastAsia="Lucida Sans Unicode" w:cs="Arial"/>
      <w:kern w:val="2"/>
      <w:sz w:val="20"/>
      <w:szCs w:val="20"/>
      <w:lang w:val="es-ES"/>
    </w:rPr>
  </w:style>
  <w:style w:type="paragraph" w:styleId="Temadelcomentari">
    <w:name w:val="Tema del comentari"/>
    <w:basedOn w:val="Textdecomentari"/>
    <w:next w:val="Textdecomentari"/>
    <w:qFormat/>
    <w:pPr/>
    <w:rPr>
      <w:b/>
      <w:bCs/>
    </w:rPr>
  </w:style>
  <w:style w:type="paragraph" w:styleId="FrameContents">
    <w:name w:val="Frame Contents"/>
    <w:basedOn w:val="Normal"/>
    <w:qFormat/>
    <w:pPr/>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1">
    <w:name w:val="WW8Num11"/>
    <w:qFormat/>
  </w:style>
  <w:style w:type="numbering" w:styleId="WW8Num12">
    <w:name w:val="WW8Num12"/>
    <w:qFormat/>
  </w:style>
  <w:style w:type="numbering" w:styleId="WW8Num13">
    <w:name w:val="WW8Num13"/>
    <w:qFormat/>
  </w:style>
  <w:style w:type="numbering" w:styleId="WW8Num14">
    <w:name w:val="WW8Num14"/>
    <w:qFormat/>
  </w:style>
  <w:style w:type="numbering" w:styleId="WW8Num15">
    <w:name w:val="WW8Num15"/>
    <w:qFormat/>
  </w:style>
  <w:style w:type="numbering" w:styleId="WW8Num16">
    <w:name w:val="WW8Num16"/>
    <w:qFormat/>
  </w:style>
  <w:style w:type="numbering" w:styleId="WW8Num17">
    <w:name w:val="WW8Num17"/>
    <w:qFormat/>
  </w:style>
  <w:style w:type="numbering" w:styleId="WW8Num18">
    <w:name w:val="WW8Num18"/>
    <w:qFormat/>
  </w:style>
  <w:style w:type="numbering" w:styleId="WW8Num19">
    <w:name w:val="WW8Num19"/>
    <w:qFormat/>
  </w:style>
  <w:style w:type="numbering" w:styleId="WW8Num20">
    <w:name w:val="WW8Num20"/>
    <w:qFormat/>
  </w:style>
  <w:style w:type="numbering" w:styleId="WW8Num21">
    <w:name w:val="WW8Num21"/>
    <w:qFormat/>
  </w:style>
  <w:style w:type="numbering" w:styleId="WW8Num22">
    <w:name w:val="WW8Num22"/>
    <w:qFormat/>
  </w:style>
  <w:style w:type="numbering" w:styleId="WW8Num23">
    <w:name w:val="WW8Num23"/>
    <w:qFormat/>
  </w:style>
  <w:style w:type="numbering" w:styleId="WW8Num24">
    <w:name w:val="WW8Num24"/>
    <w:qFormat/>
  </w:style>
  <w:style w:type="numbering" w:styleId="WW8Num25">
    <w:name w:val="WW8Num25"/>
    <w:qFormat/>
  </w:style>
  <w:style w:type="numbering" w:styleId="WW8Num26">
    <w:name w:val="WW8Num26"/>
    <w:qFormat/>
  </w:style>
  <w:style w:type="numbering" w:styleId="WW8Num27">
    <w:name w:val="WW8Num27"/>
    <w:qFormat/>
  </w:style>
  <w:style w:type="numbering" w:styleId="WW8Num28">
    <w:name w:val="WW8Num28"/>
    <w:qFormat/>
  </w:style>
  <w:style w:type="numbering" w:styleId="WW8Num29">
    <w:name w:val="WW8Num29"/>
    <w:qFormat/>
  </w:style>
  <w:style w:type="numbering" w:styleId="WW8Num30">
    <w:name w:val="WW8Num30"/>
    <w:qFormat/>
  </w:style>
  <w:style w:type="numbering" w:styleId="WW8Num31">
    <w:name w:val="WW8Num31"/>
    <w:qFormat/>
  </w:style>
  <w:style w:type="numbering" w:styleId="WW8Num32">
    <w:name w:val="WW8Num32"/>
    <w:qFormat/>
  </w:style>
  <w:style w:type="numbering" w:styleId="WW8Num33">
    <w:name w:val="WW8Num33"/>
    <w:qFormat/>
  </w:style>
  <w:style w:type="numbering" w:styleId="WW8Num34">
    <w:name w:val="WW8Num34"/>
    <w:qFormat/>
  </w:style>
  <w:style w:type="numbering" w:styleId="WW8Num35">
    <w:name w:val="WW8Num35"/>
    <w:qFormat/>
  </w:style>
  <w:style w:type="numbering" w:styleId="WW8Num36">
    <w:name w:val="WW8Num36"/>
    <w:qFormat/>
  </w:style>
  <w:style w:type="numbering" w:styleId="WW8Num37">
    <w:name w:val="WW8Num37"/>
    <w:qFormat/>
  </w:style>
  <w:style w:type="numbering" w:styleId="WW8Num38">
    <w:name w:val="WW8Num38"/>
    <w:qFormat/>
  </w:style>
  <w:style w:type="numbering" w:styleId="WW8Num39">
    <w:name w:val="WW8Num39"/>
    <w:qFormat/>
  </w:style>
  <w:style w:type="numbering" w:styleId="WW8Num40">
    <w:name w:val="WW8Num40"/>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cervera.sedelectronica.es/board" TargetMode="External"/><Relationship Id="rId3" Type="http://schemas.openxmlformats.org/officeDocument/2006/relationships/hyperlink" Target="https://pl6.eacat.cat/group/aoc/voformulari?codiModalitat=ATC_INF_DEUTES_TMP" TargetMode="Externa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
<Relationship Id="r_odt_hyperlink" Type="http://schemas.openxmlformats.org/officeDocument/2006/relationships/hyperlink" Target="https://www.onlinedoctranslator.com/es/?utm_source=onlinedoctranslator&amp;utm_medium=doc&amp;utm_campaign=attribution" TargetMode="External"/><Relationship Id="r_odt_logo" Type="http://schemas.openxmlformats.org/officeDocument/2006/relationships/image" Target="media/odt_attribution_logo.png"/></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Normal</Template>
  <TotalTime>14</TotalTime>
  <Application>LibreOffice/7.0.6.2$Linux_X86_64 LibreOffice_project/00$Build-2</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2021-10-13T10:03:00Z</dcterms:created>
  <dc:creator>Usuari</dc:creator>
  <dc:description/>
  <cp:keywords> </cp:keywords>
  <dc:language>en-US</dc:language>
  <cp:lastModifiedBy>Ramon Augé Gené</cp:lastModifiedBy>
  <cp:lastPrinted>2018-05-15T13:46:00Z</cp:lastPrinted>
  <dcterms:modified xsi:type="dcterms:W3CDTF">2021-11-17T09:02:00Z</dcterms:modified>
  <cp:revision>6</cp:revision>
  <dc:subject/>
  <dc:title/>
</cp:coreProperties>
</file>