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both"/>
        <w:rPr>
          <w:rFonts w:ascii="Tahoma" w:hAnsi="Tahoma" w:cs="Tahoma"/>
          <w:b/>
          <w:b/>
          <w:sz w:val="20"/>
          <w:szCs w:val="20"/>
        </w:rPr>
      </w:pPr>
      <w:r>
        <w:rPr>
          <w:rFonts w:cs="Tahoma" w:ascii="Tahoma" w:hAnsi="Tahoma"/>
          <w:b/>
          <w:sz w:val="20"/>
          <w:szCs w:val="20"/>
        </w:rPr>
        <w:t>Convocatoria de subvenciones para  promocionar la participación en competiciones deportivas organizadas, de ámbito provincial, autonómico o nacional, de asociaciones domiciliadas en localidades de la Comarca del Jiloca, de categorías benjamín, alevín, infantil, cadete y juvenil para el año 2021.</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ahoma" w:hAnsi="Tahoma" w:cs="Tahoma"/>
          <w:b/>
          <w:b/>
          <w:spacing w:val="3"/>
          <w:sz w:val="20"/>
          <w:szCs w:val="20"/>
          <w:lang w:eastAsia="es-ES"/>
        </w:rPr>
      </w:pPr>
      <w:r>
        <w:rPr>
          <w:rFonts w:cs="Tahoma" w:ascii="Tahoma" w:hAnsi="Tahoma"/>
          <w:b/>
          <w:spacing w:val="3"/>
          <w:sz w:val="20"/>
          <w:szCs w:val="20"/>
          <w:lang w:eastAsia="es-ES"/>
        </w:rPr>
        <w:tab/>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ahoma" w:hAnsi="Tahoma" w:cs="Tahoma"/>
          <w:b/>
          <w:b/>
          <w:spacing w:val="3"/>
          <w:sz w:val="20"/>
          <w:szCs w:val="20"/>
          <w:u w:val="single"/>
          <w:lang w:eastAsia="es-ES"/>
        </w:rPr>
      </w:pPr>
      <w:r>
        <w:rPr>
          <w:rFonts w:cs="Tahoma" w:ascii="Tahoma" w:hAnsi="Tahoma"/>
          <w:b/>
          <w:spacing w:val="3"/>
          <w:sz w:val="20"/>
          <w:szCs w:val="20"/>
          <w:lang w:eastAsia="es-ES"/>
        </w:rPr>
        <w:tab/>
      </w:r>
      <w:r>
        <w:rPr>
          <w:rFonts w:cs="Tahoma" w:ascii="Tahoma" w:hAnsi="Tahoma"/>
          <w:b/>
          <w:spacing w:val="3"/>
          <w:sz w:val="20"/>
          <w:szCs w:val="20"/>
          <w:u w:val="single"/>
          <w:lang w:eastAsia="es-ES"/>
        </w:rPr>
        <w:t xml:space="preserve">PRIMERA.- Objeto </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ahoma" w:hAnsi="Tahoma" w:cs="Tahoma"/>
          <w:b/>
          <w:b/>
          <w:spacing w:val="3"/>
          <w:sz w:val="20"/>
          <w:szCs w:val="20"/>
          <w:u w:val="single"/>
          <w:lang w:eastAsia="es-ES"/>
        </w:rPr>
      </w:pPr>
      <w:r>
        <w:rPr>
          <w:rFonts w:cs="Tahoma" w:ascii="Tahoma" w:hAnsi="Tahoma"/>
          <w:b/>
          <w:spacing w:val="3"/>
          <w:sz w:val="20"/>
          <w:szCs w:val="20"/>
          <w:u w:val="single"/>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ahoma" w:hAnsi="Tahoma" w:cs="Tahoma"/>
          <w:spacing w:val="3"/>
          <w:sz w:val="20"/>
          <w:szCs w:val="20"/>
          <w:lang w:eastAsia="es-ES"/>
        </w:rPr>
      </w:pPr>
      <w:r>
        <w:rPr>
          <w:rFonts w:cs="Tahoma" w:ascii="Tahoma" w:hAnsi="Tahoma"/>
          <w:spacing w:val="3"/>
          <w:sz w:val="20"/>
          <w:szCs w:val="20"/>
          <w:lang w:eastAsia="es-ES"/>
        </w:rPr>
        <w:tab/>
        <w:t>Es objeto de las presentes bases establecer las condiciones que regulen la concesión de subvenciones para promocionar la participación en competiciones deportivas organizadas, de ámbito provincial, autonómico o nacional, de equipos pertenecientes a asociaciones domiciliadas en localidades de la Comarca del Jiloca, de categorías benjamín, alevín, infantil, cadete y juvenil para el año 2021</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ahoma" w:hAnsi="Tahoma" w:cs="Tahoma"/>
          <w:spacing w:val="3"/>
          <w:sz w:val="20"/>
          <w:szCs w:val="20"/>
          <w:lang w:eastAsia="es-ES"/>
        </w:rPr>
      </w:pPr>
      <w:r>
        <w:rPr>
          <w:rFonts w:cs="Tahoma" w:ascii="Tahoma" w:hAnsi="Tahoma"/>
          <w:spacing w:val="3"/>
          <w:sz w:val="20"/>
          <w:szCs w:val="20"/>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Arial" w:hAnsi="Arial" w:cs="Arial"/>
          <w:b/>
          <w:b/>
          <w:bCs/>
          <w:sz w:val="20"/>
          <w:szCs w:val="20"/>
        </w:rPr>
      </w:pPr>
      <w:r>
        <w:rPr>
          <w:rFonts w:cs="Tahoma" w:ascii="Tahoma" w:hAnsi="Tahoma"/>
          <w:b/>
          <w:spacing w:val="3"/>
          <w:sz w:val="20"/>
          <w:szCs w:val="20"/>
          <w:lang w:eastAsia="es-ES"/>
        </w:rPr>
        <w:tab/>
      </w:r>
      <w:r>
        <w:rPr>
          <w:rFonts w:cs="Tahoma" w:ascii="Tahoma" w:hAnsi="Tahoma"/>
          <w:b/>
          <w:spacing w:val="3"/>
          <w:sz w:val="20"/>
          <w:szCs w:val="20"/>
          <w:u w:val="single"/>
          <w:lang w:eastAsia="es-ES"/>
        </w:rPr>
        <w:t xml:space="preserve">SEGUNDA.- </w:t>
      </w:r>
      <w:r>
        <w:rPr>
          <w:rFonts w:cs="Arial" w:ascii="Arial" w:hAnsi="Arial"/>
          <w:b/>
          <w:bCs/>
          <w:sz w:val="20"/>
          <w:szCs w:val="20"/>
        </w:rPr>
        <w:t xml:space="preserve">Segunda. Beneficiarios, requisitos y acreditación. </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Arial" w:hAnsi="Arial" w:cs="Arial"/>
          <w:b/>
          <w:b/>
          <w:bCs/>
          <w:sz w:val="20"/>
          <w:szCs w:val="20"/>
        </w:rPr>
      </w:pPr>
      <w:r>
        <w:rPr>
          <w:rFonts w:cs="Arial" w:ascii="Arial" w:hAnsi="Arial"/>
          <w:b/>
          <w:bCs/>
          <w:sz w:val="20"/>
          <w:szCs w:val="20"/>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Arial" w:hAnsi="Arial" w:cs="Arial"/>
          <w:sz w:val="20"/>
          <w:szCs w:val="20"/>
        </w:rPr>
      </w:pPr>
      <w:r>
        <w:rPr>
          <w:rFonts w:cs="Arial" w:ascii="Arial" w:hAnsi="Arial"/>
          <w:b/>
          <w:bCs/>
          <w:sz w:val="20"/>
          <w:szCs w:val="20"/>
        </w:rPr>
        <w:tab/>
      </w:r>
      <w:r>
        <w:rPr>
          <w:rFonts w:cs="Arial" w:ascii="Arial" w:hAnsi="Arial"/>
          <w:sz w:val="20"/>
          <w:szCs w:val="20"/>
        </w:rPr>
        <w:t>Tendrán la consideración de beneficiario de estas ayudas económicas los ayuntamientos o sus entidades dependientes y las asociaciones que cumplan los siguientes requisitos:</w:t>
      </w:r>
    </w:p>
    <w:p>
      <w:pPr>
        <w:pStyle w:val="Normal"/>
        <w:widowControl w:val="false"/>
        <w:numPr>
          <w:ilvl w:val="0"/>
          <w:numId w:val="1"/>
        </w:numPr>
        <w:suppressAutoHyphens w:val="true"/>
        <w:spacing w:lineRule="exact" w:line="229" w:before="231" w:after="0"/>
        <w:ind w:left="1008" w:right="144" w:hanging="504"/>
        <w:jc w:val="both"/>
        <w:rPr>
          <w:rFonts w:ascii="Arial" w:hAnsi="Arial" w:cs="Arial"/>
          <w:sz w:val="20"/>
          <w:szCs w:val="20"/>
        </w:rPr>
      </w:pPr>
      <w:r>
        <w:rPr>
          <w:rFonts w:cs="Arial" w:ascii="Arial" w:hAnsi="Arial"/>
          <w:sz w:val="20"/>
          <w:szCs w:val="20"/>
        </w:rPr>
        <w:t>Las asociaciones deberán estar constituidas con acuerdo a la legislación vigente y estar inscritas en el Registro de Asociaciones de la Comunidad Autónoma de Aragón.</w:t>
      </w:r>
    </w:p>
    <w:p>
      <w:pPr>
        <w:pStyle w:val="Normal"/>
        <w:widowControl w:val="false"/>
        <w:numPr>
          <w:ilvl w:val="0"/>
          <w:numId w:val="1"/>
        </w:numPr>
        <w:suppressAutoHyphens w:val="true"/>
        <w:spacing w:lineRule="exact" w:line="229" w:before="231" w:after="0"/>
        <w:ind w:left="1008" w:right="144" w:hanging="504"/>
        <w:jc w:val="both"/>
        <w:rPr>
          <w:rFonts w:ascii="Arial" w:hAnsi="Arial" w:cs="Arial"/>
          <w:sz w:val="20"/>
          <w:szCs w:val="20"/>
        </w:rPr>
      </w:pPr>
      <w:r>
        <w:rPr>
          <w:rFonts w:cs="Arial" w:ascii="Arial" w:hAnsi="Arial"/>
          <w:sz w:val="20"/>
          <w:szCs w:val="20"/>
        </w:rPr>
        <w:t>Tener su domicilio social en alguna localidad de la Comarca del Jiloca.</w:t>
      </w:r>
    </w:p>
    <w:p>
      <w:pPr>
        <w:pStyle w:val="Normal"/>
        <w:widowControl w:val="false"/>
        <w:numPr>
          <w:ilvl w:val="0"/>
          <w:numId w:val="1"/>
        </w:numPr>
        <w:suppressAutoHyphens w:val="true"/>
        <w:spacing w:lineRule="exact" w:line="229" w:before="231" w:after="0"/>
        <w:ind w:left="1008" w:right="144" w:hanging="504"/>
        <w:jc w:val="both"/>
        <w:rPr>
          <w:rFonts w:ascii="Arial" w:hAnsi="Arial" w:cs="Arial"/>
          <w:sz w:val="20"/>
          <w:szCs w:val="20"/>
        </w:rPr>
      </w:pPr>
      <w:r>
        <w:rPr>
          <w:rFonts w:cs="Arial" w:ascii="Arial" w:hAnsi="Arial"/>
          <w:sz w:val="20"/>
          <w:szCs w:val="20"/>
        </w:rPr>
        <w:t>No incurrir en ninguna de las prohibiciones que se establecen en el artículo 13.2 de la Ley General de Subvenciones.</w:t>
      </w:r>
    </w:p>
    <w:p>
      <w:pPr>
        <w:pStyle w:val="Normal"/>
        <w:widowControl w:val="false"/>
        <w:numPr>
          <w:ilvl w:val="0"/>
          <w:numId w:val="1"/>
        </w:numPr>
        <w:suppressAutoHyphens w:val="true"/>
        <w:spacing w:lineRule="exact" w:line="229" w:before="231" w:after="0"/>
        <w:ind w:left="1008" w:right="144" w:hanging="504"/>
        <w:jc w:val="both"/>
        <w:rPr>
          <w:rFonts w:ascii="Arial" w:hAnsi="Arial" w:cs="Arial"/>
          <w:sz w:val="20"/>
          <w:szCs w:val="20"/>
        </w:rPr>
      </w:pPr>
      <w:r>
        <w:rPr>
          <w:rFonts w:cs="Arial" w:ascii="Arial" w:hAnsi="Arial"/>
          <w:sz w:val="20"/>
          <w:szCs w:val="20"/>
        </w:rPr>
        <w:t>Poseer el Código de Identificación Fiscal y estar al día de las obligaciones fiscales y con la Seguridad Social.</w:t>
      </w:r>
    </w:p>
    <w:p>
      <w:pPr>
        <w:pStyle w:val="Normal"/>
        <w:widowControl w:val="false"/>
        <w:numPr>
          <w:ilvl w:val="0"/>
          <w:numId w:val="1"/>
        </w:numPr>
        <w:suppressAutoHyphens w:val="true"/>
        <w:spacing w:lineRule="exact" w:line="229" w:before="231" w:after="0"/>
        <w:ind w:left="1008" w:right="144" w:hanging="504"/>
        <w:jc w:val="both"/>
        <w:rPr>
          <w:rFonts w:ascii="Arial" w:hAnsi="Arial" w:cs="Arial"/>
          <w:sz w:val="20"/>
          <w:szCs w:val="20"/>
        </w:rPr>
      </w:pPr>
      <w:r>
        <w:rPr>
          <w:rFonts w:cs="Arial" w:ascii="Arial" w:hAnsi="Arial"/>
          <w:sz w:val="20"/>
          <w:szCs w:val="20"/>
        </w:rPr>
        <w:t>Tener en vigor una póliza de seguro de responsabilidad civil general de la Entidad o específica para cada actividad.</w:t>
      </w:r>
    </w:p>
    <w:p>
      <w:pPr>
        <w:pStyle w:val="Normal"/>
        <w:widowControl w:val="false"/>
        <w:numPr>
          <w:ilvl w:val="0"/>
          <w:numId w:val="1"/>
        </w:numPr>
        <w:suppressAutoHyphens w:val="true"/>
        <w:spacing w:lineRule="exact" w:line="229" w:before="231" w:after="0"/>
        <w:ind w:left="1008" w:right="144" w:hanging="504"/>
        <w:jc w:val="both"/>
        <w:rPr>
          <w:rFonts w:ascii="Arial" w:hAnsi="Arial" w:cs="Arial"/>
          <w:sz w:val="20"/>
          <w:szCs w:val="20"/>
        </w:rPr>
      </w:pPr>
      <w:r>
        <w:rPr>
          <w:rFonts w:cs="Arial" w:ascii="Arial" w:hAnsi="Arial"/>
          <w:sz w:val="20"/>
          <w:szCs w:val="20"/>
        </w:rPr>
        <w:t>Desarrollar la actividad objeto de subvención dentro del territorio comarcal.</w:t>
      </w:r>
    </w:p>
    <w:p>
      <w:pPr>
        <w:pStyle w:val="Normal"/>
        <w:widowControl w:val="false"/>
        <w:numPr>
          <w:ilvl w:val="0"/>
          <w:numId w:val="1"/>
        </w:numPr>
        <w:suppressAutoHyphens w:val="true"/>
        <w:spacing w:lineRule="exact" w:line="229" w:before="231" w:after="0"/>
        <w:ind w:left="1008" w:right="144" w:hanging="504"/>
        <w:jc w:val="both"/>
        <w:rPr>
          <w:rFonts w:ascii="Arial" w:hAnsi="Arial" w:cs="Arial"/>
          <w:sz w:val="20"/>
          <w:szCs w:val="20"/>
        </w:rPr>
      </w:pPr>
      <w:r>
        <w:rPr>
          <w:rFonts w:cs="Arial" w:ascii="Arial" w:hAnsi="Arial"/>
          <w:sz w:val="20"/>
          <w:szCs w:val="20"/>
        </w:rPr>
        <w:t>Disponer de la estructura y medios necesarios para llevar a cabo las actividades objeto de subvención.</w:t>
      </w:r>
    </w:p>
    <w:p>
      <w:pPr>
        <w:pStyle w:val="Normal"/>
        <w:spacing w:lineRule="exact" w:line="230" w:before="227" w:after="200"/>
        <w:ind w:right="144" w:hanging="0"/>
        <w:jc w:val="both"/>
        <w:rPr>
          <w:rFonts w:ascii="Arial" w:hAnsi="Arial" w:cs="Arial"/>
          <w:b/>
          <w:b/>
          <w:bCs/>
          <w:sz w:val="20"/>
          <w:szCs w:val="20"/>
        </w:rPr>
      </w:pPr>
      <w:r>
        <w:rPr>
          <w:rFonts w:cs="Arial" w:ascii="Arial" w:hAnsi="Arial"/>
          <w:spacing w:val="2"/>
          <w:sz w:val="20"/>
          <w:szCs w:val="20"/>
        </w:rPr>
        <w:t>La acreditación de no incurrir en las prohibiciones para ser beneficiario y la condición de estar al corriente de las obligaciones tributarias y con la Seguridad Social se realizará mediante la declaración contenida en el Anexo I.</w:t>
      </w:r>
    </w:p>
    <w:p>
      <w:pPr>
        <w:pStyle w:val="Normal"/>
        <w:spacing w:lineRule="exact" w:line="231" w:before="458" w:after="200"/>
        <w:ind w:right="144" w:hanging="0"/>
        <w:jc w:val="both"/>
        <w:rPr>
          <w:rFonts w:ascii="Arial" w:hAnsi="Arial" w:cs="Arial"/>
          <w:sz w:val="20"/>
          <w:szCs w:val="20"/>
        </w:rPr>
      </w:pPr>
      <w:r>
        <w:rPr>
          <w:rFonts w:cs="Arial" w:ascii="Arial" w:hAnsi="Arial"/>
          <w:b/>
          <w:bCs/>
          <w:sz w:val="20"/>
          <w:szCs w:val="20"/>
        </w:rPr>
        <w:t>Tercera. Presentación de solicitudes y documentos necesarios</w:t>
      </w:r>
      <w:r>
        <w:rPr>
          <w:rFonts w:cs="Arial" w:ascii="Arial" w:hAnsi="Arial"/>
          <w:sz w:val="20"/>
          <w:szCs w:val="20"/>
        </w:rPr>
        <w:t>. Las solicitudes, dirigidas al Sr. Presidente de la Comarca del Jiloca, se presentarán en el Registro General de la Comarca en C/ Corona de Aragon nº 43 de Calamocha (Teruel), o por cualquiera de los medios señalados en la Ley 39/2015, de régimen Jurídico de las Administraciones Públicas y del Procedimiento administrativo común, en el plazo de 15 días desde la publicación de la presente Convocatoria en el Boletín Oficial de la Provincia de Teruel.</w:t>
      </w:r>
    </w:p>
    <w:p>
      <w:pPr>
        <w:pStyle w:val="Normal"/>
        <w:spacing w:lineRule="exact" w:line="233" w:before="223" w:after="200"/>
        <w:rPr>
          <w:rFonts w:ascii="Arial" w:hAnsi="Arial" w:cs="Arial"/>
          <w:sz w:val="20"/>
          <w:szCs w:val="20"/>
        </w:rPr>
      </w:pPr>
      <w:r>
        <w:rPr>
          <w:rFonts w:cs="Arial" w:ascii="Arial" w:hAnsi="Arial"/>
          <w:sz w:val="20"/>
          <w:szCs w:val="20"/>
        </w:rPr>
        <w:t>Cada solicitud deberá contemplar la siguiente documentación:</w:t>
      </w:r>
    </w:p>
    <w:p>
      <w:pPr>
        <w:pStyle w:val="Normal"/>
        <w:widowControl w:val="false"/>
        <w:numPr>
          <w:ilvl w:val="0"/>
          <w:numId w:val="2"/>
        </w:numPr>
        <w:suppressAutoHyphens w:val="true"/>
        <w:spacing w:lineRule="exact" w:line="230" w:before="232" w:after="0"/>
        <w:ind w:left="0" w:right="135" w:firstLine="525"/>
        <w:jc w:val="both"/>
        <w:rPr>
          <w:rFonts w:ascii="Arial" w:hAnsi="Arial" w:cs="Arial"/>
          <w:sz w:val="20"/>
          <w:szCs w:val="20"/>
        </w:rPr>
      </w:pPr>
      <w:r>
        <w:rPr>
          <w:rFonts w:cs="Arial" w:ascii="Arial" w:hAnsi="Arial"/>
          <w:sz w:val="20"/>
          <w:szCs w:val="20"/>
        </w:rPr>
        <w:t>Anexo I. Solicitud de subvención. Deberá cumplimentarse con todos los datos y contar con la firma del representante legal de la entidad. La falsedad de cualquiera de los datos presentados dará lugar al archivo del expediente, reservándose la Comarca emprender las acciones legales oportunas. El tener deudas con la Agencia Tributaria, Seguridad Social y/o la Comarca del Jiloca determinará la imposibilidad de conceder la subvención.</w:t>
      </w:r>
    </w:p>
    <w:p>
      <w:pPr>
        <w:pStyle w:val="Normal"/>
        <w:widowControl w:val="false"/>
        <w:numPr>
          <w:ilvl w:val="0"/>
          <w:numId w:val="2"/>
        </w:numPr>
        <w:suppressAutoHyphens w:val="true"/>
        <w:spacing w:lineRule="exact" w:line="233" w:before="228" w:after="0"/>
        <w:jc w:val="both"/>
        <w:rPr>
          <w:rFonts w:ascii="Arial" w:hAnsi="Arial" w:cs="Arial"/>
          <w:sz w:val="20"/>
          <w:szCs w:val="20"/>
        </w:rPr>
      </w:pPr>
      <w:r>
        <w:rPr>
          <w:rFonts w:cs="Arial" w:ascii="Arial" w:hAnsi="Arial"/>
          <w:sz w:val="20"/>
          <w:szCs w:val="20"/>
        </w:rPr>
        <w:t xml:space="preserve">Anexo II. Datos de la actividad para la que se solicita subvención. Deberá incluirse un presupuesto total del proyecto, diferenciando el importe de la subvención solicitada a la Diputación Provincial de Teruel, el importe obtenido a través de otras subvenciones y el de financiación de la propia entidad solicitante.  </w:t>
      </w:r>
    </w:p>
    <w:p>
      <w:pPr>
        <w:pStyle w:val="Normal"/>
        <w:widowControl w:val="false"/>
        <w:numPr>
          <w:ilvl w:val="0"/>
          <w:numId w:val="2"/>
        </w:numPr>
        <w:suppressAutoHyphens w:val="true"/>
        <w:spacing w:lineRule="exact" w:line="233" w:before="228" w:after="0"/>
        <w:jc w:val="both"/>
        <w:rPr>
          <w:rFonts w:ascii="Arial" w:hAnsi="Arial" w:cs="Arial"/>
          <w:sz w:val="20"/>
          <w:szCs w:val="20"/>
        </w:rPr>
      </w:pPr>
      <w:r>
        <w:rPr>
          <w:rFonts w:cs="Arial" w:ascii="Arial" w:hAnsi="Arial"/>
          <w:sz w:val="20"/>
          <w:szCs w:val="20"/>
        </w:rPr>
        <w:t>Estatutos o normas estatutarias de la asociación en caso de solicitar subvención por primera vez.</w:t>
      </w:r>
    </w:p>
    <w:p>
      <w:pPr>
        <w:pStyle w:val="Normal"/>
        <w:spacing w:lineRule="exact" w:line="233" w:before="458" w:after="200"/>
        <w:rPr>
          <w:rFonts w:ascii="Arial" w:hAnsi="Arial" w:cs="Arial"/>
          <w:spacing w:val="2"/>
          <w:sz w:val="20"/>
          <w:szCs w:val="20"/>
        </w:rPr>
      </w:pPr>
      <w:r>
        <w:rPr>
          <w:rFonts w:cs="Arial" w:ascii="Arial" w:hAnsi="Arial"/>
          <w:sz w:val="20"/>
          <w:szCs w:val="20"/>
        </w:rPr>
        <w:t>Se deberá realizar una solicitud individualizada por cada actividad propuesta.</w:t>
      </w:r>
    </w:p>
    <w:p>
      <w:pPr>
        <w:pStyle w:val="Normal"/>
        <w:spacing w:lineRule="exact" w:line="226" w:before="233" w:after="200"/>
        <w:ind w:right="144" w:hanging="0"/>
        <w:jc w:val="both"/>
        <w:rPr>
          <w:rFonts w:ascii="Arial" w:hAnsi="Arial" w:cs="Arial"/>
          <w:sz w:val="20"/>
          <w:szCs w:val="20"/>
        </w:rPr>
      </w:pPr>
      <w:r>
        <w:rPr>
          <w:rFonts w:cs="Arial" w:ascii="Arial" w:hAnsi="Arial"/>
          <w:spacing w:val="2"/>
          <w:sz w:val="20"/>
          <w:szCs w:val="20"/>
        </w:rPr>
        <w:t xml:space="preserve">Los documentos de solicitud y justificación se ajustarán a los modelos normalizados Anexos I, II y III, aprobados por la Comarca del Jiloca, disponibles  </w:t>
      </w:r>
      <w:hyperlink r:id="rId2">
        <w:r>
          <w:rPr>
            <w:rStyle w:val="EnlacedeInternet"/>
            <w:rFonts w:cs="Arial" w:ascii="Arial" w:hAnsi="Arial"/>
            <w:spacing w:val="2"/>
            <w:sz w:val="20"/>
            <w:szCs w:val="20"/>
          </w:rPr>
          <w:t>www.jiloca.es</w:t>
        </w:r>
      </w:hyperlink>
      <w:r>
        <w:rPr>
          <w:rFonts w:cs="Arial" w:ascii="Arial" w:hAnsi="Arial"/>
          <w:color w:val="0000FF"/>
          <w:spacing w:val="2"/>
          <w:sz w:val="20"/>
          <w:szCs w:val="20"/>
          <w:u w:val="single"/>
        </w:rPr>
        <w:t>,</w:t>
      </w:r>
      <w:r>
        <w:rPr>
          <w:rFonts w:cs="Arial" w:ascii="Arial" w:hAnsi="Arial"/>
          <w:spacing w:val="2"/>
          <w:sz w:val="20"/>
          <w:szCs w:val="20"/>
        </w:rPr>
        <w:t xml:space="preserve"> en el apartado de convocatorias. </w:t>
      </w:r>
    </w:p>
    <w:p>
      <w:pPr>
        <w:pStyle w:val="Normal"/>
        <w:spacing w:lineRule="exact" w:line="231" w:before="10" w:after="200"/>
        <w:rPr>
          <w:rFonts w:ascii="Arial" w:hAnsi="Arial" w:cs="Arial"/>
          <w:sz w:val="20"/>
          <w:szCs w:val="20"/>
        </w:rPr>
      </w:pPr>
      <w:r>
        <w:rPr>
          <w:rFonts w:cs="Arial" w:ascii="Arial" w:hAnsi="Arial"/>
          <w:sz w:val="20"/>
          <w:szCs w:val="20"/>
        </w:rPr>
        <w:t>Estos anexos se presentan en dos formatos alternativos:</w:t>
      </w:r>
    </w:p>
    <w:p>
      <w:pPr>
        <w:pStyle w:val="Normal"/>
        <w:widowControl w:val="false"/>
        <w:numPr>
          <w:ilvl w:val="0"/>
          <w:numId w:val="3"/>
        </w:numPr>
        <w:suppressAutoHyphens w:val="true"/>
        <w:spacing w:lineRule="exact" w:line="231" w:before="230" w:after="0"/>
        <w:rPr>
          <w:rFonts w:ascii="Arial" w:hAnsi="Arial" w:cs="Arial"/>
          <w:sz w:val="20"/>
          <w:szCs w:val="20"/>
        </w:rPr>
      </w:pPr>
      <w:r>
        <w:rPr>
          <w:rFonts w:cs="Arial" w:ascii="Arial" w:hAnsi="Arial"/>
          <w:sz w:val="20"/>
          <w:szCs w:val="20"/>
        </w:rPr>
        <w:t>Formato PDF para su cumplimentación manual en papel.</w:t>
      </w:r>
    </w:p>
    <w:p>
      <w:pPr>
        <w:pStyle w:val="Normal"/>
        <w:widowControl w:val="false"/>
        <w:numPr>
          <w:ilvl w:val="0"/>
          <w:numId w:val="3"/>
        </w:numPr>
        <w:suppressAutoHyphens w:val="true"/>
        <w:spacing w:lineRule="exact" w:line="231" w:before="239" w:after="0"/>
        <w:rPr>
          <w:rFonts w:ascii="Arial" w:hAnsi="Arial" w:cs="Arial"/>
          <w:sz w:val="20"/>
          <w:szCs w:val="20"/>
        </w:rPr>
      </w:pPr>
      <w:r>
        <w:rPr>
          <w:rFonts w:cs="Arial" w:ascii="Arial" w:hAnsi="Arial"/>
          <w:sz w:val="20"/>
          <w:szCs w:val="20"/>
        </w:rPr>
        <w:t>Formato MS Word autorrellenable.</w:t>
      </w:r>
    </w:p>
    <w:p>
      <w:pPr>
        <w:pStyle w:val="Normal"/>
        <w:spacing w:lineRule="exact" w:line="229" w:before="232" w:after="200"/>
        <w:jc w:val="both"/>
        <w:rPr>
          <w:rFonts w:ascii="Arial" w:hAnsi="Arial" w:cs="Arial"/>
          <w:b/>
          <w:b/>
          <w:bCs/>
          <w:sz w:val="20"/>
          <w:szCs w:val="20"/>
        </w:rPr>
      </w:pPr>
      <w:r>
        <w:rPr>
          <w:rFonts w:cs="Arial" w:ascii="Arial" w:hAnsi="Arial"/>
          <w:sz w:val="20"/>
          <w:szCs w:val="20"/>
        </w:rPr>
        <w:t>Si la solicitud no reúne todos los requisitos establecidos en esta Convocatoria, el órgano competente requerirá al interesado para que la subsane en el plazo máximo e improrrogable de diez días. Transcurrido dicho plazo se le tendrá por desistido de su solicitud y se procederá al archivo de su expediente, previa resolución que deberá ser dictada en los términos previstos en la Ley 39/2015.</w:t>
      </w:r>
    </w:p>
    <w:p>
      <w:pPr>
        <w:pStyle w:val="Normal"/>
        <w:widowControl w:val="false"/>
        <w:suppressAutoHyphens w:val="true"/>
        <w:spacing w:lineRule="exact" w:line="231" w:before="230" w:after="0"/>
        <w:rPr>
          <w:rFonts w:ascii="Arial" w:hAnsi="Arial" w:cs="Arial"/>
          <w:b/>
          <w:b/>
          <w:bCs/>
          <w:sz w:val="20"/>
          <w:szCs w:val="20"/>
        </w:rPr>
      </w:pPr>
      <w:r>
        <w:rPr>
          <w:rFonts w:cs="Arial" w:ascii="Arial" w:hAnsi="Arial"/>
          <w:b/>
          <w:bCs/>
          <w:sz w:val="20"/>
          <w:szCs w:val="20"/>
        </w:rPr>
        <w:t xml:space="preserve">Cuarta. Actividades subvencionables. </w:t>
      </w:r>
    </w:p>
    <w:p>
      <w:pPr>
        <w:pStyle w:val="Normal"/>
        <w:widowControl w:val="false"/>
        <w:suppressAutoHyphens w:val="true"/>
        <w:spacing w:lineRule="exact" w:line="231" w:before="230" w:after="0"/>
        <w:ind w:firstLine="708"/>
        <w:jc w:val="both"/>
        <w:rPr>
          <w:rFonts w:ascii="Arial" w:hAnsi="Arial" w:cs="Arial"/>
          <w:sz w:val="20"/>
          <w:szCs w:val="20"/>
        </w:rPr>
      </w:pPr>
      <w:r>
        <w:rPr>
          <w:rFonts w:cs="Arial" w:ascii="Arial" w:hAnsi="Arial"/>
          <w:sz w:val="20"/>
          <w:szCs w:val="20"/>
        </w:rPr>
        <w:t xml:space="preserve">Solo podrán ser objeto de subvención la participación en competiciones deportivas organizadas, de ámbito provincial, autonómico o nacional, de equipos pertenecientes a asociaciones domiciliadas en localidades de la Comarca del Jiloca, de categorías benjamín, alevín, infantil, cadete y juvenil. </w:t>
      </w:r>
    </w:p>
    <w:p>
      <w:pPr>
        <w:pStyle w:val="Normal"/>
        <w:widowControl w:val="false"/>
        <w:suppressAutoHyphens w:val="true"/>
        <w:spacing w:lineRule="exact" w:line="231" w:before="230" w:after="0"/>
        <w:rPr>
          <w:rFonts w:ascii="Arial" w:hAnsi="Arial" w:cs="Arial"/>
          <w:b/>
          <w:b/>
          <w:bCs/>
          <w:sz w:val="20"/>
          <w:szCs w:val="20"/>
        </w:rPr>
      </w:pPr>
      <w:r>
        <w:rPr>
          <w:rFonts w:cs="Arial" w:ascii="Arial" w:hAnsi="Arial"/>
          <w:b/>
          <w:bCs/>
          <w:sz w:val="20"/>
          <w:szCs w:val="20"/>
        </w:rPr>
        <w:t>Quinta. Órganos competentes para la instrucción, evaluación y resolución del procedimiento.</w:t>
      </w:r>
    </w:p>
    <w:p>
      <w:pPr>
        <w:pStyle w:val="Normal"/>
        <w:spacing w:lineRule="exact" w:line="230" w:before="232" w:after="200"/>
        <w:jc w:val="both"/>
        <w:rPr>
          <w:rFonts w:ascii="Arial" w:hAnsi="Arial" w:cs="Arial"/>
          <w:sz w:val="20"/>
          <w:szCs w:val="20"/>
        </w:rPr>
      </w:pPr>
      <w:r>
        <w:rPr>
          <w:rFonts w:cs="Arial" w:ascii="Arial" w:hAnsi="Arial"/>
          <w:sz w:val="20"/>
          <w:szCs w:val="20"/>
        </w:rPr>
        <w:t>5.1 El órgano instructor será el técnico de deportes de la comarca.</w:t>
      </w:r>
    </w:p>
    <w:p>
      <w:pPr>
        <w:pStyle w:val="Normal"/>
        <w:spacing w:lineRule="exact" w:line="229" w:before="239" w:after="200"/>
        <w:rPr>
          <w:rFonts w:ascii="Arial" w:hAnsi="Arial" w:cs="Arial"/>
          <w:sz w:val="20"/>
          <w:szCs w:val="20"/>
        </w:rPr>
      </w:pPr>
      <w:r>
        <w:rPr>
          <w:rFonts w:cs="Arial" w:ascii="Arial" w:hAnsi="Arial"/>
          <w:sz w:val="20"/>
          <w:szCs w:val="20"/>
        </w:rPr>
        <w:t xml:space="preserve">5.2 La evaluación de las solicitudes corresponderá a una comisión de valoración formada por la coordinadora de deportes, la coordinadora de juventud y el animador sociocomunitario que realizara el examen de las solicitudes y elaborara un informe en el que figurara la explicación de los criterios de valoración y el orden preferente resultante. Constituyendo dicho informe base de la propuesta de resolución  del órgano instructor. </w:t>
      </w:r>
    </w:p>
    <w:p>
      <w:pPr>
        <w:pStyle w:val="Normal"/>
        <w:spacing w:lineRule="exact" w:line="231" w:before="225" w:after="200"/>
        <w:jc w:val="both"/>
        <w:rPr>
          <w:rFonts w:ascii="Arial" w:hAnsi="Arial" w:cs="Arial"/>
          <w:sz w:val="20"/>
          <w:szCs w:val="20"/>
        </w:rPr>
      </w:pPr>
      <w:r>
        <w:rPr>
          <w:rFonts w:cs="Arial" w:ascii="Arial" w:hAnsi="Arial"/>
          <w:sz w:val="20"/>
          <w:szCs w:val="20"/>
        </w:rPr>
        <w:t>5.3.- El órgano instructor a la vista del contenido del expediente y del informe de la comisión de valoración formulara la propuesta de resolución provisional. Que en el supuesto de diferir del informe técnico de valoración deberá motivarse debidamente.</w:t>
      </w:r>
    </w:p>
    <w:p>
      <w:pPr>
        <w:pStyle w:val="Normal"/>
        <w:spacing w:lineRule="exact" w:line="231" w:before="225" w:after="200"/>
        <w:jc w:val="both"/>
        <w:rPr>
          <w:rFonts w:ascii="Arial" w:hAnsi="Arial" w:cs="Arial"/>
          <w:sz w:val="20"/>
          <w:szCs w:val="20"/>
        </w:rPr>
      </w:pPr>
      <w:r>
        <w:rPr>
          <w:rFonts w:cs="Arial" w:ascii="Arial" w:hAnsi="Arial"/>
          <w:sz w:val="20"/>
          <w:szCs w:val="20"/>
        </w:rPr>
        <w:t>5.4 La propuesta de resolución  deberá expresar la relación de solicitantes para los que se propone la concesión de la subvención y su cuantía especificando la puntuación obtenida y los criterios de valoración seguidos para efectuarla, así como la propuesta de desestimación fundamentada del resto de solicitudes.</w:t>
      </w:r>
    </w:p>
    <w:p>
      <w:pPr>
        <w:pStyle w:val="Normal"/>
        <w:spacing w:lineRule="exact" w:line="230" w:before="231" w:after="200"/>
        <w:jc w:val="both"/>
        <w:rPr/>
      </w:pPr>
      <w:r>
        <w:rPr>
          <w:rFonts w:cs="Arial" w:ascii="Arial" w:hAnsi="Arial"/>
          <w:sz w:val="20"/>
          <w:szCs w:val="20"/>
        </w:rPr>
        <w:t>Aprobada la resolución definitiva por dicho órgano, ésta se notificará a los interesados por resolución de Presidencia en un plazo máximo de dos meses desde a la finalización del plazo otorgado para la presentación de solicitudes.</w:t>
      </w:r>
    </w:p>
    <w:p>
      <w:pPr>
        <w:pStyle w:val="Normal"/>
        <w:spacing w:lineRule="exact" w:line="232" w:before="10" w:after="200"/>
        <w:rPr>
          <w:rFonts w:ascii="Arial" w:hAnsi="Arial" w:cs="Arial"/>
          <w:sz w:val="20"/>
          <w:szCs w:val="20"/>
        </w:rPr>
      </w:pPr>
      <w:r>
        <w:rPr>
          <w:rFonts w:cs="Arial" w:ascii="Arial" w:hAnsi="Arial"/>
          <w:sz w:val="20"/>
          <w:szCs w:val="20"/>
        </w:rPr>
      </w:r>
    </w:p>
    <w:p>
      <w:pPr>
        <w:pStyle w:val="Normal"/>
        <w:spacing w:lineRule="exact" w:line="232" w:before="10" w:after="200"/>
        <w:rPr>
          <w:rFonts w:ascii="Arial" w:hAnsi="Arial" w:cs="Arial"/>
          <w:sz w:val="20"/>
          <w:szCs w:val="20"/>
        </w:rPr>
      </w:pPr>
      <w:r>
        <w:rPr>
          <w:rFonts w:cs="Arial" w:ascii="Arial" w:hAnsi="Arial"/>
          <w:sz w:val="20"/>
          <w:szCs w:val="20"/>
        </w:rPr>
        <w:t>La resolución de la concesión de la subvención pondrá fin a la vía administrativa.</w:t>
      </w:r>
    </w:p>
    <w:p>
      <w:pPr>
        <w:pStyle w:val="Normal"/>
        <w:spacing w:lineRule="exact" w:line="230" w:before="1" w:after="200"/>
        <w:jc w:val="both"/>
        <w:rPr>
          <w:rFonts w:ascii="Arial" w:hAnsi="Arial" w:cs="Arial"/>
          <w:sz w:val="20"/>
          <w:szCs w:val="20"/>
        </w:rPr>
      </w:pPr>
      <w:r>
        <w:rPr>
          <w:rFonts w:cs="Arial" w:ascii="Arial" w:hAnsi="Arial"/>
          <w:sz w:val="20"/>
          <w:szCs w:val="20"/>
        </w:rPr>
      </w:r>
    </w:p>
    <w:p>
      <w:pPr>
        <w:pStyle w:val="Normal"/>
        <w:spacing w:lineRule="exact" w:line="230" w:before="1" w:after="200"/>
        <w:jc w:val="both"/>
        <w:rPr>
          <w:rFonts w:ascii="Arial" w:hAnsi="Arial" w:cs="Arial"/>
          <w:b/>
          <w:b/>
          <w:bCs/>
          <w:sz w:val="20"/>
          <w:szCs w:val="20"/>
        </w:rPr>
      </w:pPr>
      <w:r>
        <w:rPr>
          <w:rFonts w:cs="Arial" w:ascii="Arial" w:hAnsi="Arial"/>
          <w:sz w:val="20"/>
          <w:szCs w:val="20"/>
        </w:rPr>
        <w:t>El vencimiento del plazo máximo sin haberse notificado la resolución legitima a los interesados para entender desestimada la solicitud de la concesión por silencio administrativo.</w:t>
      </w:r>
    </w:p>
    <w:p>
      <w:pPr>
        <w:pStyle w:val="Normal"/>
        <w:spacing w:lineRule="exact" w:line="235" w:before="454" w:after="200"/>
        <w:rPr>
          <w:rFonts w:ascii="Arial" w:hAnsi="Arial" w:cs="Arial"/>
          <w:sz w:val="20"/>
          <w:szCs w:val="20"/>
        </w:rPr>
      </w:pPr>
      <w:r>
        <w:rPr>
          <w:rFonts w:cs="Arial" w:ascii="Arial" w:hAnsi="Arial"/>
          <w:b/>
          <w:bCs/>
          <w:sz w:val="20"/>
          <w:szCs w:val="20"/>
        </w:rPr>
        <w:t>Sexta. Otorgamiento de las subvenciones.</w:t>
      </w:r>
    </w:p>
    <w:p>
      <w:pPr>
        <w:pStyle w:val="Normal"/>
        <w:spacing w:lineRule="exact" w:line="230" w:before="243" w:after="200"/>
        <w:jc w:val="both"/>
        <w:rPr>
          <w:rFonts w:ascii="Arial" w:hAnsi="Arial" w:cs="Arial"/>
          <w:sz w:val="20"/>
          <w:szCs w:val="20"/>
        </w:rPr>
      </w:pPr>
      <w:r>
        <w:rPr>
          <w:rFonts w:cs="Arial" w:ascii="Arial" w:hAnsi="Arial"/>
          <w:sz w:val="20"/>
          <w:szCs w:val="20"/>
        </w:rPr>
        <w:t>La concesión se efectuará en régimen de concurrencia competitiva mediante convocatoria y procedimiento selectivo únicos.</w:t>
      </w:r>
    </w:p>
    <w:p>
      <w:pPr>
        <w:pStyle w:val="Normal"/>
        <w:spacing w:lineRule="exact" w:line="230" w:before="237" w:after="200"/>
        <w:jc w:val="both"/>
        <w:rPr>
          <w:rFonts w:ascii="Arial" w:hAnsi="Arial" w:cs="Arial"/>
          <w:sz w:val="20"/>
          <w:szCs w:val="20"/>
        </w:rPr>
      </w:pPr>
      <w:r>
        <w:rPr>
          <w:rFonts w:cs="Arial" w:ascii="Arial" w:hAnsi="Arial"/>
          <w:sz w:val="20"/>
          <w:szCs w:val="20"/>
        </w:rPr>
        <w:t>En ningún caso la cuantía de la subvención concedida podrá superar el 60% del presupuesto aceptado.</w:t>
      </w:r>
    </w:p>
    <w:p>
      <w:pPr>
        <w:pStyle w:val="Normal"/>
        <w:spacing w:lineRule="exact" w:line="231" w:before="239" w:after="200"/>
        <w:jc w:val="both"/>
        <w:rPr>
          <w:rFonts w:ascii="Arial" w:hAnsi="Arial" w:cs="Arial"/>
          <w:sz w:val="20"/>
          <w:szCs w:val="20"/>
        </w:rPr>
      </w:pPr>
      <w:r>
        <w:rPr>
          <w:rFonts w:cs="Arial" w:ascii="Arial" w:hAnsi="Arial"/>
          <w:sz w:val="20"/>
          <w:szCs w:val="20"/>
        </w:rPr>
        <w:t>En el caso de que la actividad subvencionada no se realice finalmente, no se subvencionarán posibles gastos preparatorios de la misma.</w:t>
      </w:r>
    </w:p>
    <w:p>
      <w:pPr>
        <w:pStyle w:val="Normal"/>
        <w:spacing w:lineRule="exact" w:line="230" w:before="231" w:after="200"/>
        <w:jc w:val="both"/>
        <w:rPr>
          <w:rFonts w:ascii="Arial" w:hAnsi="Arial" w:cs="Arial"/>
          <w:spacing w:val="1"/>
          <w:sz w:val="20"/>
          <w:szCs w:val="20"/>
        </w:rPr>
      </w:pPr>
      <w:r>
        <w:rPr>
          <w:rFonts w:cs="Arial" w:ascii="Arial" w:hAnsi="Arial"/>
          <w:sz w:val="20"/>
          <w:szCs w:val="20"/>
        </w:rPr>
        <w:t>Las solicitudes de subvención se evaluarán y seleccionarán atendiendo a los criterios de valoración descritos a continuación. No se puntuarán aquellos ítems que no se puedan valorar por falta de información o ausencia de datos.</w:t>
      </w:r>
    </w:p>
    <w:p>
      <w:pPr>
        <w:pStyle w:val="Normal"/>
        <w:spacing w:lineRule="exact" w:line="230" w:before="231" w:after="200"/>
        <w:ind w:left="792" w:hanging="0"/>
        <w:rPr>
          <w:rFonts w:ascii="Arial" w:hAnsi="Arial" w:cs="Arial"/>
          <w:spacing w:val="-2"/>
          <w:sz w:val="20"/>
          <w:szCs w:val="20"/>
        </w:rPr>
      </w:pPr>
      <w:r>
        <w:rPr>
          <w:rFonts w:cs="Arial" w:ascii="Arial" w:hAnsi="Arial"/>
          <w:spacing w:val="-2"/>
          <w:sz w:val="20"/>
          <w:szCs w:val="20"/>
        </w:rPr>
      </w:r>
    </w:p>
    <w:p>
      <w:pPr>
        <w:pStyle w:val="Normal"/>
        <w:spacing w:lineRule="exact" w:line="230" w:before="224" w:after="200"/>
        <w:ind w:left="432" w:hanging="432"/>
        <w:jc w:val="both"/>
        <w:rPr>
          <w:rFonts w:ascii="Arial" w:hAnsi="Arial" w:cs="Arial"/>
          <w:spacing w:val="-1"/>
          <w:sz w:val="20"/>
          <w:szCs w:val="20"/>
        </w:rPr>
      </w:pPr>
      <w:r>
        <w:rPr>
          <w:rFonts w:cs="Arial" w:ascii="Arial" w:hAnsi="Arial"/>
          <w:sz w:val="20"/>
          <w:szCs w:val="20"/>
          <w:u w:val="single"/>
        </w:rPr>
        <w:t>Participación en competiciones deportivas organizadas, de ámbito provincial, autonómico o nacional, de equipos pertenecientes a asociaciones domiciliadas en localidades de la Comarca del Jiloca de categorías benjamín, alevín, infantil, cadete y/o juvenil.</w:t>
      </w:r>
      <w:r>
        <w:rPr>
          <w:rFonts w:cs="Arial" w:ascii="Arial" w:hAnsi="Arial"/>
          <w:sz w:val="20"/>
          <w:szCs w:val="20"/>
        </w:rPr>
        <w:t xml:space="preserve"> </w:t>
      </w:r>
    </w:p>
    <w:p>
      <w:pPr>
        <w:pStyle w:val="Normal"/>
        <w:spacing w:lineRule="exact" w:line="230" w:before="238" w:after="200"/>
        <w:ind w:left="792" w:hanging="0"/>
        <w:rPr>
          <w:rFonts w:ascii="Arial" w:hAnsi="Arial" w:cs="Arial"/>
          <w:spacing w:val="3"/>
          <w:sz w:val="20"/>
          <w:szCs w:val="20"/>
        </w:rPr>
      </w:pPr>
      <w:r>
        <w:rPr>
          <w:rFonts w:cs="Arial" w:ascii="Arial" w:hAnsi="Arial"/>
          <w:spacing w:val="-1"/>
          <w:sz w:val="20"/>
          <w:szCs w:val="20"/>
        </w:rPr>
        <w:t>2.1.- Número de deportistas con ficha federativa:</w:t>
      </w:r>
    </w:p>
    <w:p>
      <w:pPr>
        <w:pStyle w:val="Normal"/>
        <w:widowControl w:val="false"/>
        <w:numPr>
          <w:ilvl w:val="0"/>
          <w:numId w:val="4"/>
        </w:numPr>
        <w:suppressAutoHyphens w:val="true"/>
        <w:spacing w:lineRule="exact" w:line="230" w:before="15" w:after="0"/>
        <w:rPr>
          <w:rFonts w:ascii="Arial" w:hAnsi="Arial" w:cs="Arial"/>
          <w:spacing w:val="3"/>
          <w:sz w:val="20"/>
          <w:szCs w:val="20"/>
        </w:rPr>
      </w:pPr>
      <w:r>
        <w:rPr>
          <w:rFonts w:cs="Arial" w:ascii="Arial" w:hAnsi="Arial"/>
          <w:spacing w:val="3"/>
          <w:sz w:val="20"/>
          <w:szCs w:val="20"/>
        </w:rPr>
        <w:t>Por cada bloque de 10 participantes un punto hasta un máximo de 15 puntos</w:t>
      </w:r>
    </w:p>
    <w:p>
      <w:pPr>
        <w:pStyle w:val="Normal"/>
        <w:spacing w:lineRule="exact" w:line="230" w:before="226" w:after="200"/>
        <w:ind w:left="792" w:hanging="0"/>
        <w:rPr>
          <w:rFonts w:ascii="Arial" w:hAnsi="Arial" w:cs="Arial"/>
          <w:spacing w:val="3"/>
          <w:sz w:val="20"/>
          <w:szCs w:val="20"/>
        </w:rPr>
      </w:pPr>
      <w:r>
        <w:rPr>
          <w:rFonts w:cs="Arial" w:ascii="Arial" w:hAnsi="Arial"/>
          <w:spacing w:val="-1"/>
          <w:sz w:val="20"/>
          <w:szCs w:val="20"/>
        </w:rPr>
        <w:t>2.2.- Carácter de la competición:</w:t>
      </w:r>
    </w:p>
    <w:p>
      <w:pPr>
        <w:pStyle w:val="Normal"/>
        <w:widowControl w:val="false"/>
        <w:numPr>
          <w:ilvl w:val="0"/>
          <w:numId w:val="4"/>
        </w:numPr>
        <w:suppressAutoHyphens w:val="true"/>
        <w:spacing w:lineRule="exact" w:line="230" w:before="15" w:after="0"/>
        <w:rPr>
          <w:rFonts w:ascii="Arial" w:hAnsi="Arial" w:cs="Arial"/>
          <w:spacing w:val="3"/>
          <w:sz w:val="20"/>
          <w:szCs w:val="20"/>
        </w:rPr>
      </w:pPr>
      <w:r>
        <w:rPr>
          <w:rFonts w:cs="Arial" w:ascii="Arial" w:hAnsi="Arial"/>
          <w:spacing w:val="3"/>
          <w:sz w:val="20"/>
          <w:szCs w:val="20"/>
        </w:rPr>
        <w:t>Competición nacional: 10 puntos</w:t>
      </w:r>
    </w:p>
    <w:p>
      <w:pPr>
        <w:pStyle w:val="Normal"/>
        <w:widowControl w:val="false"/>
        <w:numPr>
          <w:ilvl w:val="0"/>
          <w:numId w:val="4"/>
        </w:numPr>
        <w:suppressAutoHyphens w:val="true"/>
        <w:spacing w:lineRule="exact" w:line="230" w:before="15" w:after="0"/>
        <w:rPr>
          <w:rFonts w:ascii="Arial" w:hAnsi="Arial" w:cs="Arial"/>
          <w:spacing w:val="3"/>
          <w:sz w:val="20"/>
          <w:szCs w:val="20"/>
        </w:rPr>
      </w:pPr>
      <w:r>
        <w:rPr>
          <w:rFonts w:cs="Arial" w:ascii="Arial" w:hAnsi="Arial"/>
          <w:spacing w:val="3"/>
          <w:sz w:val="20"/>
          <w:szCs w:val="20"/>
        </w:rPr>
        <w:t>Competición autonómica: 5 puntos</w:t>
      </w:r>
    </w:p>
    <w:p>
      <w:pPr>
        <w:pStyle w:val="Normal"/>
        <w:widowControl w:val="false"/>
        <w:numPr>
          <w:ilvl w:val="0"/>
          <w:numId w:val="4"/>
        </w:numPr>
        <w:suppressAutoHyphens w:val="true"/>
        <w:spacing w:lineRule="exact" w:line="230" w:before="15" w:after="0"/>
        <w:rPr>
          <w:rFonts w:ascii="Arial" w:hAnsi="Arial" w:cs="Arial"/>
          <w:b/>
          <w:b/>
          <w:bCs/>
          <w:sz w:val="20"/>
          <w:szCs w:val="20"/>
        </w:rPr>
      </w:pPr>
      <w:r>
        <w:rPr>
          <w:rFonts w:cs="Arial" w:ascii="Arial" w:hAnsi="Arial"/>
          <w:spacing w:val="3"/>
          <w:sz w:val="20"/>
          <w:szCs w:val="20"/>
        </w:rPr>
        <w:t>Competición provincial: 3 puntos</w:t>
      </w:r>
    </w:p>
    <w:p>
      <w:pPr>
        <w:pStyle w:val="Normal"/>
        <w:spacing w:lineRule="exact" w:line="230" w:before="226" w:after="200"/>
        <w:ind w:left="792" w:hanging="0"/>
        <w:rPr>
          <w:rFonts w:ascii="Arial" w:hAnsi="Arial" w:cs="Arial"/>
          <w:spacing w:val="3"/>
          <w:sz w:val="20"/>
          <w:szCs w:val="20"/>
        </w:rPr>
      </w:pPr>
      <w:r>
        <w:rPr>
          <w:rFonts w:cs="Arial" w:ascii="Arial" w:hAnsi="Arial"/>
          <w:spacing w:val="3"/>
          <w:sz w:val="20"/>
          <w:szCs w:val="20"/>
        </w:rPr>
        <w:t>2.3.- Numero de equipos (deportes colectivos):</w:t>
      </w:r>
      <w:r>
        <w:rPr>
          <w:rFonts w:cs="Arial" w:ascii="Arial" w:hAnsi="Arial"/>
          <w:spacing w:val="-1"/>
          <w:sz w:val="20"/>
          <w:szCs w:val="20"/>
        </w:rPr>
        <w:t xml:space="preserve"> </w:t>
      </w:r>
    </w:p>
    <w:p>
      <w:pPr>
        <w:pStyle w:val="Normal"/>
        <w:widowControl w:val="false"/>
        <w:numPr>
          <w:ilvl w:val="0"/>
          <w:numId w:val="4"/>
        </w:numPr>
        <w:suppressAutoHyphens w:val="true"/>
        <w:spacing w:lineRule="exact" w:line="230" w:before="15" w:after="0"/>
        <w:rPr>
          <w:rFonts w:ascii="Arial" w:hAnsi="Arial" w:cs="Arial"/>
          <w:b/>
          <w:b/>
          <w:bCs/>
          <w:sz w:val="20"/>
          <w:szCs w:val="20"/>
        </w:rPr>
      </w:pPr>
      <w:r>
        <w:rPr>
          <w:rFonts w:cs="Arial" w:ascii="Arial" w:hAnsi="Arial"/>
          <w:spacing w:val="3"/>
          <w:sz w:val="20"/>
          <w:szCs w:val="20"/>
        </w:rPr>
        <w:t>Por cada equipo 2 puntos hasta un máximo de 12 puntos</w:t>
      </w:r>
    </w:p>
    <w:p>
      <w:pPr>
        <w:pStyle w:val="Normal"/>
        <w:spacing w:lineRule="exact" w:line="230" w:before="226" w:after="200"/>
        <w:ind w:left="792" w:hanging="0"/>
        <w:rPr>
          <w:rFonts w:ascii="Arial" w:hAnsi="Arial" w:cs="Arial"/>
          <w:spacing w:val="3"/>
          <w:sz w:val="20"/>
          <w:szCs w:val="20"/>
        </w:rPr>
      </w:pPr>
      <w:r>
        <w:rPr>
          <w:rFonts w:cs="Arial" w:ascii="Arial" w:hAnsi="Arial"/>
          <w:spacing w:val="3"/>
          <w:sz w:val="20"/>
          <w:szCs w:val="20"/>
        </w:rPr>
        <w:t>2.4.- Duración de la competición:</w:t>
      </w:r>
      <w:r>
        <w:rPr>
          <w:rFonts w:cs="Arial" w:ascii="Arial" w:hAnsi="Arial"/>
          <w:spacing w:val="-1"/>
          <w:sz w:val="20"/>
          <w:szCs w:val="20"/>
        </w:rPr>
        <w:t xml:space="preserve"> </w:t>
      </w:r>
    </w:p>
    <w:p>
      <w:pPr>
        <w:pStyle w:val="Normal"/>
        <w:widowControl w:val="false"/>
        <w:numPr>
          <w:ilvl w:val="0"/>
          <w:numId w:val="4"/>
        </w:numPr>
        <w:suppressAutoHyphens w:val="true"/>
        <w:spacing w:lineRule="exact" w:line="230" w:before="15" w:after="0"/>
        <w:rPr>
          <w:rFonts w:ascii="Arial" w:hAnsi="Arial" w:cs="Arial"/>
          <w:b/>
          <w:b/>
          <w:bCs/>
          <w:sz w:val="20"/>
          <w:szCs w:val="20"/>
        </w:rPr>
      </w:pPr>
      <w:r>
        <w:rPr>
          <w:rFonts w:cs="Arial" w:ascii="Arial" w:hAnsi="Arial"/>
          <w:spacing w:val="3"/>
          <w:sz w:val="20"/>
          <w:szCs w:val="20"/>
        </w:rPr>
        <w:t>Por cada jornada  que dispute cada equipo o pruebas de que se componga la competición en el caso de competiciones individuales, un punto hasta un máximo de 90 puntos</w:t>
      </w:r>
    </w:p>
    <w:p>
      <w:pPr>
        <w:pStyle w:val="Normal"/>
        <w:tabs>
          <w:tab w:val="clear" w:pos="708"/>
          <w:tab w:val="left" w:pos="709" w:leader="none"/>
        </w:tabs>
        <w:spacing w:lineRule="exact" w:line="230" w:before="15" w:after="200"/>
        <w:ind w:left="216" w:firstLine="635"/>
        <w:rPr>
          <w:rFonts w:ascii="Arial" w:hAnsi="Arial" w:cs="Arial"/>
          <w:spacing w:val="3"/>
          <w:sz w:val="20"/>
          <w:szCs w:val="20"/>
        </w:rPr>
      </w:pPr>
      <w:r>
        <w:rPr>
          <w:rFonts w:cs="Arial" w:ascii="Arial" w:hAnsi="Arial"/>
          <w:spacing w:val="3"/>
          <w:sz w:val="20"/>
          <w:szCs w:val="20"/>
        </w:rPr>
      </w:r>
    </w:p>
    <w:p>
      <w:pPr>
        <w:pStyle w:val="Normal"/>
        <w:tabs>
          <w:tab w:val="clear" w:pos="708"/>
          <w:tab w:val="left" w:pos="709" w:leader="none"/>
        </w:tabs>
        <w:spacing w:lineRule="exact" w:line="230" w:before="15" w:after="200"/>
        <w:ind w:left="216" w:firstLine="635"/>
        <w:rPr>
          <w:rFonts w:ascii="Arial" w:hAnsi="Arial" w:cs="Arial"/>
          <w:spacing w:val="3"/>
          <w:sz w:val="20"/>
          <w:szCs w:val="20"/>
        </w:rPr>
      </w:pPr>
      <w:r>
        <w:rPr>
          <w:rFonts w:cs="Arial" w:ascii="Arial" w:hAnsi="Arial"/>
          <w:spacing w:val="3"/>
          <w:sz w:val="20"/>
          <w:szCs w:val="20"/>
        </w:rPr>
        <w:t>2.5.- Trayectoria de la entidad</w:t>
      </w:r>
    </w:p>
    <w:p>
      <w:pPr>
        <w:pStyle w:val="Normal"/>
        <w:tabs>
          <w:tab w:val="clear" w:pos="708"/>
          <w:tab w:val="left" w:pos="709" w:leader="none"/>
        </w:tabs>
        <w:spacing w:lineRule="exact" w:line="230" w:before="15" w:after="200"/>
        <w:ind w:left="216" w:firstLine="635"/>
        <w:rPr>
          <w:rFonts w:ascii="Arial" w:hAnsi="Arial" w:cs="Arial"/>
          <w:spacing w:val="3"/>
          <w:sz w:val="20"/>
          <w:szCs w:val="20"/>
        </w:rPr>
      </w:pPr>
      <w:r>
        <w:rPr>
          <w:rFonts w:cs="Arial" w:ascii="Arial" w:hAnsi="Arial"/>
          <w:spacing w:val="3"/>
          <w:sz w:val="20"/>
          <w:szCs w:val="20"/>
        </w:rPr>
        <w:t xml:space="preserve"> </w:t>
      </w:r>
      <w:r>
        <w:rPr>
          <w:rFonts w:cs="Arial" w:ascii="Arial" w:hAnsi="Arial"/>
          <w:spacing w:val="3"/>
          <w:sz w:val="20"/>
          <w:szCs w:val="20"/>
        </w:rPr>
        <w:t>Por cada año que la entidad haya participado en competiciones deportivas de manera continuada hasta la actualidad</w:t>
      </w:r>
    </w:p>
    <w:p>
      <w:pPr>
        <w:pStyle w:val="Normal"/>
        <w:tabs>
          <w:tab w:val="clear" w:pos="708"/>
          <w:tab w:val="left" w:pos="709" w:leader="none"/>
        </w:tabs>
        <w:spacing w:lineRule="exact" w:line="230" w:before="15" w:after="200"/>
        <w:ind w:left="216" w:firstLine="635"/>
        <w:rPr>
          <w:rFonts w:ascii="Arial" w:hAnsi="Arial" w:cs="Arial"/>
          <w:spacing w:val="3"/>
          <w:sz w:val="20"/>
          <w:szCs w:val="20"/>
        </w:rPr>
      </w:pPr>
      <w:r>
        <w:rPr>
          <w:rFonts w:cs="Arial" w:ascii="Arial" w:hAnsi="Arial"/>
          <w:spacing w:val="3"/>
          <w:sz w:val="20"/>
          <w:szCs w:val="20"/>
        </w:rPr>
        <w:tab/>
        <w:t>De 1 a 3 años: 1 punto</w:t>
      </w:r>
    </w:p>
    <w:p>
      <w:pPr>
        <w:pStyle w:val="Normal"/>
        <w:tabs>
          <w:tab w:val="clear" w:pos="708"/>
          <w:tab w:val="left" w:pos="709" w:leader="none"/>
        </w:tabs>
        <w:spacing w:lineRule="exact" w:line="230" w:before="15" w:after="200"/>
        <w:ind w:left="216" w:firstLine="635"/>
        <w:rPr>
          <w:rFonts w:ascii="Arial" w:hAnsi="Arial" w:cs="Arial"/>
          <w:spacing w:val="3"/>
          <w:sz w:val="20"/>
          <w:szCs w:val="20"/>
        </w:rPr>
      </w:pPr>
      <w:r>
        <w:rPr>
          <w:rFonts w:cs="Arial" w:ascii="Arial" w:hAnsi="Arial"/>
          <w:spacing w:val="3"/>
          <w:sz w:val="20"/>
          <w:szCs w:val="20"/>
        </w:rPr>
        <w:tab/>
        <w:t>De 4 a 10 años: 5 puntos</w:t>
      </w:r>
    </w:p>
    <w:p>
      <w:pPr>
        <w:pStyle w:val="Normal"/>
        <w:tabs>
          <w:tab w:val="clear" w:pos="708"/>
          <w:tab w:val="left" w:pos="709" w:leader="none"/>
        </w:tabs>
        <w:spacing w:lineRule="exact" w:line="230" w:before="15" w:after="200"/>
        <w:ind w:left="216" w:firstLine="635"/>
        <w:rPr>
          <w:rFonts w:ascii="Arial" w:hAnsi="Arial" w:cs="Arial"/>
          <w:spacing w:val="3"/>
          <w:sz w:val="20"/>
          <w:szCs w:val="20"/>
        </w:rPr>
      </w:pPr>
      <w:r>
        <w:rPr>
          <w:rFonts w:cs="Arial" w:ascii="Arial" w:hAnsi="Arial"/>
          <w:spacing w:val="3"/>
          <w:sz w:val="20"/>
          <w:szCs w:val="20"/>
        </w:rPr>
        <w:tab/>
        <w:t>Mas de 10 años: 10 puntos</w:t>
      </w:r>
    </w:p>
    <w:p>
      <w:pPr>
        <w:pStyle w:val="Normal"/>
        <w:spacing w:lineRule="exact" w:line="230" w:before="457" w:after="200"/>
        <w:jc w:val="both"/>
        <w:rPr>
          <w:rFonts w:ascii="Arial" w:hAnsi="Arial" w:cs="Arial"/>
          <w:sz w:val="20"/>
          <w:szCs w:val="20"/>
        </w:rPr>
      </w:pPr>
      <w:r>
        <w:rPr>
          <w:rFonts w:cs="Arial" w:ascii="Arial" w:hAnsi="Arial"/>
          <w:b/>
          <w:bCs/>
          <w:sz w:val="20"/>
          <w:szCs w:val="20"/>
        </w:rPr>
        <w:t xml:space="preserve">Séptima: Cuantía de la subvención. </w:t>
      </w:r>
      <w:r>
        <w:rPr>
          <w:rFonts w:cs="Arial" w:ascii="Arial" w:hAnsi="Arial"/>
          <w:sz w:val="20"/>
          <w:szCs w:val="20"/>
        </w:rPr>
        <w:t xml:space="preserve">La cuantía total estimada para esta convocatoria es de 5.000 € con cargo a la aplicación presupuestaria 34.3410.48900, del presupuesto comarcal. </w:t>
      </w:r>
      <w:r>
        <w:rPr>
          <w:rFonts w:cs="Arial" w:ascii="Arial" w:hAnsi="Arial"/>
          <w:color w:val="000000"/>
          <w:sz w:val="20"/>
          <w:szCs w:val="20"/>
          <w:shd w:fill="FFFFFF" w:val="clear"/>
        </w:rPr>
        <w:t>En el supuesto de que quede sobrante económico en alguna de las líneas de actuación, dicho sobrante podrá incrementar las otras líneas, de estas bases, siempre y cuando existan solicitudes que cumplan los requisitos.</w:t>
      </w:r>
    </w:p>
    <w:p>
      <w:pPr>
        <w:pStyle w:val="Normal"/>
        <w:spacing w:lineRule="exact" w:line="230" w:before="231" w:after="200"/>
        <w:jc w:val="both"/>
        <w:rPr>
          <w:rFonts w:ascii="Arial" w:hAnsi="Arial" w:cs="Arial"/>
          <w:sz w:val="20"/>
          <w:szCs w:val="20"/>
        </w:rPr>
      </w:pPr>
      <w:r>
        <w:rPr>
          <w:rFonts w:cs="Arial" w:ascii="Arial" w:hAnsi="Arial"/>
          <w:sz w:val="20"/>
          <w:szCs w:val="20"/>
        </w:rPr>
        <w:t>La cuantía máxima individualizada de la subvención será del 60 % del presupuesto aceptado, si la puntuación no supera la puntuación de 35 puntos la cantidad máxima a recibir estará limitada a un máximo de  350 €  y si se supera esa puntuación la cuantía máxima que se puede recibir será de  4.500 € en el apartado. Para que una actuación pueda recibir una subvención deberá tener un mínimo de 20 puntos.</w:t>
      </w:r>
    </w:p>
    <w:p>
      <w:pPr>
        <w:pStyle w:val="Normal"/>
        <w:spacing w:lineRule="exact" w:line="230" w:before="231" w:after="200"/>
        <w:jc w:val="both"/>
        <w:rPr>
          <w:rFonts w:ascii="Arial" w:hAnsi="Arial" w:cs="Arial"/>
          <w:sz w:val="20"/>
          <w:szCs w:val="20"/>
        </w:rPr>
      </w:pPr>
      <w:r>
        <w:rPr>
          <w:rFonts w:cs="Arial" w:ascii="Arial" w:hAnsi="Arial"/>
          <w:sz w:val="20"/>
          <w:szCs w:val="20"/>
        </w:rPr>
      </w:r>
    </w:p>
    <w:p>
      <w:pPr>
        <w:pStyle w:val="Normal"/>
        <w:spacing w:lineRule="exact" w:line="230" w:before="457" w:after="200"/>
        <w:rPr>
          <w:rFonts w:ascii="Arial" w:hAnsi="Arial" w:cs="Arial"/>
          <w:sz w:val="20"/>
          <w:szCs w:val="20"/>
        </w:rPr>
      </w:pPr>
      <w:r>
        <w:rPr>
          <w:rFonts w:cs="Arial" w:ascii="Arial" w:hAnsi="Arial"/>
          <w:b/>
          <w:bCs/>
          <w:sz w:val="20"/>
          <w:szCs w:val="20"/>
        </w:rPr>
        <w:t>Octava. Obligaciones del beneficiario</w:t>
      </w:r>
      <w:r>
        <w:rPr>
          <w:rFonts w:cs="Arial" w:ascii="Arial" w:hAnsi="Arial"/>
          <w:sz w:val="20"/>
          <w:szCs w:val="20"/>
        </w:rPr>
        <w:t>. Las obligaciones de los beneficiarios son las siguientes:</w:t>
      </w:r>
    </w:p>
    <w:p>
      <w:pPr>
        <w:pStyle w:val="Normal"/>
        <w:widowControl w:val="false"/>
        <w:numPr>
          <w:ilvl w:val="0"/>
          <w:numId w:val="5"/>
        </w:numPr>
        <w:suppressAutoHyphens w:val="true"/>
        <w:spacing w:lineRule="exact" w:line="230" w:before="231" w:after="0"/>
        <w:jc w:val="both"/>
        <w:rPr>
          <w:rFonts w:ascii="Arial" w:hAnsi="Arial" w:cs="Arial"/>
          <w:sz w:val="20"/>
          <w:szCs w:val="20"/>
        </w:rPr>
      </w:pPr>
      <w:r>
        <w:rPr>
          <w:rFonts w:cs="Arial" w:ascii="Arial" w:hAnsi="Arial"/>
          <w:sz w:val="20"/>
          <w:szCs w:val="20"/>
        </w:rPr>
        <w:t>La aceptación de la subvención otorgada y de las condiciones derivadas de su otorgamiento entendiéndose por aceptada si en el plazo máximo de quince días contados desde el día siguiente de su notificación, el beneficiario no ha renunciado por escrito a la misma.</w:t>
      </w:r>
    </w:p>
    <w:p>
      <w:pPr>
        <w:pStyle w:val="Normal"/>
        <w:widowControl w:val="false"/>
        <w:numPr>
          <w:ilvl w:val="0"/>
          <w:numId w:val="5"/>
        </w:numPr>
        <w:suppressAutoHyphens w:val="true"/>
        <w:spacing w:lineRule="exact" w:line="230" w:before="1" w:after="0"/>
        <w:jc w:val="both"/>
        <w:rPr>
          <w:rFonts w:ascii="Arial" w:hAnsi="Arial" w:cs="Arial"/>
          <w:sz w:val="20"/>
          <w:szCs w:val="20"/>
        </w:rPr>
      </w:pPr>
      <w:r>
        <w:rPr>
          <w:rFonts w:cs="Arial" w:ascii="Arial" w:hAnsi="Arial"/>
          <w:sz w:val="20"/>
          <w:szCs w:val="20"/>
        </w:rPr>
        <w:t>Realizar la actividad que fundamenta la concesión de la subvención y acreditarla debidamente ante la Comarca así como el cumplimiento de los requisitos y condiciones que determinen la concesión o disfrute de la misma.</w:t>
      </w:r>
    </w:p>
    <w:p>
      <w:pPr>
        <w:pStyle w:val="Normal"/>
        <w:widowControl w:val="false"/>
        <w:numPr>
          <w:ilvl w:val="0"/>
          <w:numId w:val="5"/>
        </w:numPr>
        <w:suppressAutoHyphens w:val="true"/>
        <w:spacing w:lineRule="exact" w:line="229" w:before="1" w:after="0"/>
        <w:jc w:val="both"/>
        <w:rPr>
          <w:rFonts w:ascii="Arial" w:hAnsi="Arial" w:cs="Arial"/>
          <w:sz w:val="20"/>
          <w:szCs w:val="20"/>
        </w:rPr>
      </w:pPr>
      <w:r>
        <w:rPr>
          <w:rFonts w:cs="Arial" w:ascii="Arial" w:hAnsi="Arial"/>
          <w:sz w:val="20"/>
          <w:szCs w:val="20"/>
        </w:rPr>
        <w:t>Comunicar a la comarca la obtención de otras subvenciones o ayudas para la misma finalidad procedentes de cualquier administración o entes públicos.</w:t>
      </w:r>
    </w:p>
    <w:p>
      <w:pPr>
        <w:pStyle w:val="Normal"/>
        <w:widowControl w:val="false"/>
        <w:numPr>
          <w:ilvl w:val="0"/>
          <w:numId w:val="5"/>
        </w:numPr>
        <w:suppressAutoHyphens w:val="true"/>
        <w:spacing w:lineRule="exact" w:line="229" w:before="0" w:after="0"/>
        <w:jc w:val="both"/>
        <w:rPr>
          <w:rFonts w:ascii="Arial" w:hAnsi="Arial" w:cs="Arial"/>
          <w:sz w:val="20"/>
          <w:szCs w:val="20"/>
        </w:rPr>
      </w:pPr>
      <w:r>
        <w:rPr>
          <w:rFonts w:cs="Arial" w:ascii="Arial" w:hAnsi="Arial"/>
          <w:sz w:val="20"/>
          <w:szCs w:val="20"/>
        </w:rPr>
        <w:t>Facilitar cuanta documentación le sea requerida por la Comarca, referente a cualquier circunstancia o extremo relativo a las actividades subvencionadas y someterse a cuantas visitas y comprobaciones se consideren convenientes para cotejar la necesidad, desarrollo y realización de las actuaciones para las que se ha solicitado subvención.</w:t>
      </w:r>
    </w:p>
    <w:p>
      <w:pPr>
        <w:pStyle w:val="Normal"/>
        <w:widowControl w:val="false"/>
        <w:numPr>
          <w:ilvl w:val="0"/>
          <w:numId w:val="5"/>
        </w:numPr>
        <w:suppressAutoHyphens w:val="true"/>
        <w:spacing w:lineRule="exact" w:line="230" w:before="0" w:after="0"/>
        <w:jc w:val="both"/>
        <w:rPr>
          <w:rFonts w:ascii="Arial" w:hAnsi="Arial" w:cs="Arial"/>
          <w:sz w:val="20"/>
          <w:szCs w:val="20"/>
        </w:rPr>
      </w:pPr>
      <w:r>
        <w:rPr>
          <w:rFonts w:cs="Arial" w:ascii="Arial" w:hAnsi="Arial"/>
          <w:sz w:val="20"/>
          <w:szCs w:val="20"/>
        </w:rPr>
        <w:t>Dar la adecuada publicidad de carácter público de la financiación de la actividad objeto de subvención.</w:t>
      </w:r>
    </w:p>
    <w:p>
      <w:pPr>
        <w:pStyle w:val="Normal"/>
        <w:widowControl w:val="false"/>
        <w:numPr>
          <w:ilvl w:val="0"/>
          <w:numId w:val="5"/>
        </w:numPr>
        <w:suppressAutoHyphens w:val="true"/>
        <w:spacing w:lineRule="exact" w:line="230" w:before="1" w:after="0"/>
        <w:jc w:val="both"/>
        <w:rPr>
          <w:rFonts w:ascii="Arial" w:hAnsi="Arial" w:cs="Arial"/>
          <w:sz w:val="20"/>
          <w:szCs w:val="20"/>
        </w:rPr>
      </w:pPr>
      <w:r>
        <w:rPr>
          <w:rFonts w:cs="Arial" w:ascii="Arial" w:hAnsi="Arial"/>
          <w:sz w:val="20"/>
          <w:szCs w:val="20"/>
        </w:rPr>
        <w:t>En todo material gráfico o publicitario que se derive de la actividad subvencionada deberá de constar el anagrama y la participación de la Comarca del Jiloca.</w:t>
      </w:r>
    </w:p>
    <w:p>
      <w:pPr>
        <w:pStyle w:val="Normal"/>
        <w:widowControl w:val="false"/>
        <w:numPr>
          <w:ilvl w:val="0"/>
          <w:numId w:val="5"/>
        </w:numPr>
        <w:suppressAutoHyphens w:val="true"/>
        <w:spacing w:lineRule="exact" w:line="230" w:before="1" w:after="0"/>
        <w:jc w:val="both"/>
        <w:rPr>
          <w:rFonts w:ascii="Arial" w:hAnsi="Arial" w:cs="Arial"/>
          <w:b/>
          <w:b/>
          <w:bCs/>
          <w:sz w:val="20"/>
          <w:szCs w:val="20"/>
        </w:rPr>
      </w:pPr>
      <w:r>
        <w:rPr>
          <w:rFonts w:cs="Arial" w:ascii="Arial" w:hAnsi="Arial"/>
          <w:sz w:val="20"/>
          <w:szCs w:val="20"/>
        </w:rPr>
        <w:t>Comunicar a la Comarca con suficiente antelación las fechas de celebración de los actos de presentación o clausura de las actuaciones subvencionadas.</w:t>
      </w:r>
    </w:p>
    <w:p>
      <w:pPr>
        <w:pStyle w:val="Normal"/>
        <w:spacing w:lineRule="exact" w:line="230" w:before="11" w:after="200"/>
        <w:jc w:val="both"/>
        <w:rPr>
          <w:rFonts w:ascii="Arial" w:hAnsi="Arial" w:cs="Arial"/>
          <w:b/>
          <w:b/>
          <w:bCs/>
          <w:sz w:val="20"/>
          <w:szCs w:val="20"/>
        </w:rPr>
      </w:pPr>
      <w:r>
        <w:rPr>
          <w:rFonts w:cs="Arial" w:ascii="Arial" w:hAnsi="Arial"/>
          <w:b/>
          <w:bCs/>
          <w:sz w:val="20"/>
          <w:szCs w:val="20"/>
        </w:rPr>
      </w:r>
    </w:p>
    <w:p>
      <w:pPr>
        <w:pStyle w:val="Normal"/>
        <w:spacing w:lineRule="exact" w:line="230" w:before="11" w:after="200"/>
        <w:jc w:val="both"/>
        <w:rPr>
          <w:rFonts w:ascii="Arial" w:hAnsi="Arial" w:cs="Arial"/>
          <w:sz w:val="20"/>
          <w:szCs w:val="20"/>
        </w:rPr>
      </w:pPr>
      <w:r>
        <w:rPr>
          <w:rFonts w:cs="Arial" w:ascii="Arial" w:hAnsi="Arial"/>
          <w:b/>
          <w:bCs/>
          <w:sz w:val="20"/>
          <w:szCs w:val="20"/>
        </w:rPr>
        <w:t>Novena. Logotipo de la Comarca del Jiloca</w:t>
      </w:r>
      <w:r>
        <w:rPr>
          <w:rFonts w:cs="Arial" w:ascii="Arial" w:hAnsi="Arial"/>
          <w:sz w:val="20"/>
          <w:szCs w:val="20"/>
        </w:rPr>
        <w:t>. El logotipo de la Comarca deberá constar obligatoriamente en todo material gráfico o publicitario que se derive de la actividad subvencionada. Sus dimensiones y ubicación deberán estar en un lugar preferente y acorde con la cantidad económica concedida en relación a otros posibles patrocinadores. El logotipo se puede descargar en formato PDF en la web de la Comarca del Jiloca, junto al resto de la documentación de esta convocatoria.</w:t>
      </w:r>
    </w:p>
    <w:p>
      <w:pPr>
        <w:pStyle w:val="Normal"/>
        <w:spacing w:lineRule="exact" w:line="230" w:before="231" w:after="200"/>
        <w:jc w:val="both"/>
        <w:rPr>
          <w:rFonts w:ascii="Arial" w:hAnsi="Arial" w:cs="Arial"/>
          <w:sz w:val="20"/>
          <w:szCs w:val="20"/>
        </w:rPr>
      </w:pPr>
      <w:r>
        <w:rPr>
          <w:rFonts w:cs="Arial" w:ascii="Arial" w:hAnsi="Arial"/>
          <w:sz w:val="20"/>
          <w:szCs w:val="20"/>
        </w:rPr>
        <w:t>Igualmente en cualquier acto de presentación y publicidad de la actuación subvencionada, se deberá hacer constar que se trata de programas subvencionados por la Comarca.</w:t>
      </w:r>
    </w:p>
    <w:p>
      <w:pPr>
        <w:pStyle w:val="Normal"/>
        <w:spacing w:lineRule="exact" w:line="231" w:before="230" w:after="200"/>
        <w:jc w:val="both"/>
        <w:rPr>
          <w:rFonts w:ascii="Arial" w:hAnsi="Arial" w:cs="Arial"/>
          <w:b/>
          <w:b/>
          <w:bCs/>
          <w:sz w:val="20"/>
          <w:szCs w:val="20"/>
        </w:rPr>
      </w:pPr>
      <w:r>
        <w:rPr>
          <w:rFonts w:cs="Arial" w:ascii="Arial" w:hAnsi="Arial"/>
          <w:sz w:val="20"/>
          <w:szCs w:val="20"/>
        </w:rPr>
        <w:t>La no inclusión del logotipo de la Comarca en todo material gráfico o publicitario derivado de la actividad en cuestión será causa de la revocación total de la cuantía subvencionada.</w:t>
      </w:r>
    </w:p>
    <w:p>
      <w:pPr>
        <w:pStyle w:val="Normal"/>
        <w:spacing w:lineRule="exact" w:line="230" w:before="457" w:after="200"/>
        <w:jc w:val="both"/>
        <w:rPr>
          <w:rFonts w:ascii="Arial" w:hAnsi="Arial" w:cs="Arial"/>
          <w:spacing w:val="2"/>
          <w:sz w:val="20"/>
          <w:szCs w:val="20"/>
        </w:rPr>
      </w:pPr>
      <w:r>
        <w:rPr>
          <w:rFonts w:cs="Arial" w:ascii="Arial" w:hAnsi="Arial"/>
          <w:b/>
          <w:bCs/>
          <w:sz w:val="20"/>
          <w:szCs w:val="20"/>
        </w:rPr>
        <w:t>Décima. Justificación de subvenciones</w:t>
      </w:r>
      <w:r>
        <w:rPr>
          <w:rFonts w:cs="Arial" w:ascii="Arial" w:hAnsi="Arial"/>
          <w:sz w:val="20"/>
          <w:szCs w:val="20"/>
        </w:rPr>
        <w:t>. Para poder optar al pago de la subvención establecida, se deberá presentar, con carácter posterior a la realización de la actividad subvencionada, el Anexo III (Declaración justificativa de actividad subvencionada).</w:t>
      </w:r>
    </w:p>
    <w:p>
      <w:pPr>
        <w:pStyle w:val="Normal"/>
        <w:spacing w:lineRule="exact" w:line="230" w:before="232" w:after="200"/>
        <w:jc w:val="both"/>
        <w:rPr>
          <w:rFonts w:ascii="Arial" w:hAnsi="Arial" w:cs="Arial"/>
          <w:spacing w:val="1"/>
          <w:sz w:val="20"/>
          <w:szCs w:val="20"/>
        </w:rPr>
      </w:pPr>
      <w:r>
        <w:rPr>
          <w:rFonts w:cs="Arial" w:ascii="Arial" w:hAnsi="Arial"/>
          <w:spacing w:val="2"/>
          <w:sz w:val="20"/>
          <w:szCs w:val="20"/>
        </w:rPr>
        <w:t xml:space="preserve">El plazo para presentar la documentación justificativa finalizará el 10 de diciembre de 2021 pudiendo presentarse los documentos tan pronto como se realicen las actuaciones referidas y se disponga de la documentación requerida. </w:t>
      </w:r>
    </w:p>
    <w:p>
      <w:pPr>
        <w:pStyle w:val="Normal"/>
        <w:spacing w:lineRule="exact" w:line="229" w:before="237" w:after="200"/>
        <w:jc w:val="both"/>
        <w:rPr>
          <w:rFonts w:ascii="Arial" w:hAnsi="Arial" w:cs="Arial"/>
          <w:sz w:val="20"/>
          <w:szCs w:val="20"/>
        </w:rPr>
      </w:pPr>
      <w:r>
        <w:rPr>
          <w:rFonts w:cs="Arial" w:ascii="Arial" w:hAnsi="Arial"/>
          <w:spacing w:val="1"/>
          <w:sz w:val="20"/>
          <w:szCs w:val="20"/>
        </w:rPr>
        <w:t>Los justificantes de gasto deberán adecuarse a la normativa en vigor (Real Decreto 1619/12, de 30 de noviembre, Reglamento por el que se regulan las obligaciones de facturación</w:t>
      </w:r>
    </w:p>
    <w:p>
      <w:pPr>
        <w:pStyle w:val="Normal"/>
        <w:spacing w:lineRule="exact" w:line="231" w:before="230" w:after="200"/>
        <w:jc w:val="both"/>
        <w:rPr>
          <w:rFonts w:ascii="Arial" w:hAnsi="Arial" w:cs="Arial"/>
          <w:sz w:val="20"/>
          <w:szCs w:val="20"/>
        </w:rPr>
      </w:pPr>
      <w:r>
        <w:rPr>
          <w:rFonts w:cs="Arial" w:ascii="Arial" w:hAnsi="Arial"/>
          <w:sz w:val="20"/>
          <w:szCs w:val="20"/>
        </w:rPr>
        <w:t>Las facturas o documentos probatorios de gasto deberán estar fechados en el año 2021.</w:t>
      </w:r>
    </w:p>
    <w:p>
      <w:pPr>
        <w:pStyle w:val="Normal"/>
        <w:spacing w:lineRule="exact" w:line="231" w:before="230" w:after="200"/>
        <w:jc w:val="both"/>
        <w:rPr>
          <w:rFonts w:ascii="Arial" w:hAnsi="Arial" w:cs="Arial"/>
          <w:sz w:val="20"/>
          <w:szCs w:val="20"/>
        </w:rPr>
      </w:pPr>
      <w:r>
        <w:rPr>
          <w:rFonts w:cs="Arial" w:ascii="Arial" w:hAnsi="Arial"/>
          <w:sz w:val="20"/>
          <w:szCs w:val="20"/>
        </w:rPr>
        <w:t xml:space="preserve">La justificación de la subvención contendrá la siguiente documentación: Una memoria técnica relativa a la ejecución de la actuación con indicación de las actividades realizadas y de los resultados obtenidos. </w:t>
      </w:r>
    </w:p>
    <w:p>
      <w:pPr>
        <w:pStyle w:val="Normal"/>
        <w:spacing w:lineRule="exact" w:line="231" w:before="230" w:after="200"/>
        <w:jc w:val="both"/>
        <w:rPr>
          <w:rFonts w:ascii="Arial" w:hAnsi="Arial" w:cs="Arial"/>
          <w:sz w:val="20"/>
          <w:szCs w:val="20"/>
        </w:rPr>
      </w:pPr>
      <w:r>
        <w:rPr>
          <w:rFonts w:cs="Arial" w:ascii="Arial" w:hAnsi="Arial"/>
          <w:sz w:val="20"/>
          <w:szCs w:val="20"/>
        </w:rPr>
        <w:t>Una memoria económica justificativa del coste de las actividades realizadas, que contendrá: Relación clasificada y numerada de los gastos de la actividad, con identificador del acreedor, del número y fecha de documento, concepto del gasto, importe y fecha de pago.</w:t>
      </w:r>
    </w:p>
    <w:p>
      <w:pPr>
        <w:pStyle w:val="Normal"/>
        <w:spacing w:lineRule="exact" w:line="231" w:before="230" w:after="200"/>
        <w:jc w:val="both"/>
        <w:rPr>
          <w:rFonts w:ascii="Arial" w:hAnsi="Arial" w:cs="Arial"/>
          <w:sz w:val="20"/>
          <w:szCs w:val="20"/>
        </w:rPr>
      </w:pPr>
      <w:r>
        <w:rPr>
          <w:rFonts w:cs="Arial" w:ascii="Arial" w:hAnsi="Arial"/>
          <w:sz w:val="20"/>
          <w:szCs w:val="20"/>
        </w:rPr>
        <w:t xml:space="preserve">Facturas imputables al gasto financiado por la Comarca del Jiloca y documentación acreditativa del pago. </w:t>
      </w:r>
    </w:p>
    <w:p>
      <w:pPr>
        <w:pStyle w:val="Normal"/>
        <w:spacing w:lineRule="exact" w:line="231" w:before="230" w:after="200"/>
        <w:jc w:val="both"/>
        <w:rPr>
          <w:rFonts w:ascii="Arial" w:hAnsi="Arial" w:cs="Arial"/>
          <w:sz w:val="20"/>
          <w:szCs w:val="20"/>
        </w:rPr>
      </w:pPr>
      <w:r>
        <w:rPr>
          <w:rFonts w:cs="Arial" w:ascii="Arial" w:hAnsi="Arial"/>
          <w:sz w:val="20"/>
          <w:szCs w:val="20"/>
        </w:rPr>
        <w:t>Una relación detallada de otros ingresos o subvenciones que hayan financiado la actividad subvencionada con indicación del importe y su procedencia. En el caso de que no se justifique la totalidad del presupuesto objeto de la subvención y/o no se ejecute la totalidad de las actuaciones subvencionadas, si se considerase que se ha cumplido la finalidad, se considerará la parte proporcional de la subvención.</w:t>
      </w:r>
    </w:p>
    <w:p>
      <w:pPr>
        <w:pStyle w:val="Normal"/>
        <w:spacing w:lineRule="exact" w:line="230" w:before="231" w:after="200"/>
        <w:jc w:val="both"/>
        <w:rPr>
          <w:rFonts w:ascii="Arial" w:hAnsi="Arial" w:cs="Arial"/>
          <w:sz w:val="20"/>
          <w:szCs w:val="20"/>
        </w:rPr>
      </w:pPr>
      <w:r>
        <w:rPr>
          <w:rFonts w:cs="Arial" w:ascii="Arial" w:hAnsi="Arial"/>
          <w:sz w:val="20"/>
          <w:szCs w:val="20"/>
        </w:rPr>
        <w:t>El importe a justificar será el 100% del presupuesto aceptado, en el caso de aportar justificantes cuyo importe no permita cumplir con el porcentaje señalado, el importe a abonar por la Comarca se reducirá en la misma proporción.</w:t>
      </w:r>
    </w:p>
    <w:p>
      <w:pPr>
        <w:pStyle w:val="Normal"/>
        <w:spacing w:lineRule="exact" w:line="225" w:before="236" w:after="200"/>
        <w:jc w:val="both"/>
        <w:rPr>
          <w:rFonts w:ascii="Arial" w:hAnsi="Arial" w:cs="Arial"/>
          <w:spacing w:val="1"/>
          <w:sz w:val="20"/>
          <w:szCs w:val="20"/>
        </w:rPr>
      </w:pPr>
      <w:r>
        <w:rPr>
          <w:rFonts w:cs="Arial" w:ascii="Arial" w:hAnsi="Arial"/>
          <w:sz w:val="20"/>
          <w:szCs w:val="20"/>
        </w:rPr>
        <w:t>Solo se admitirán los justificantes directamente relacionados con el ejercicio de las actividades que respondan a los siguientes gastos:</w:t>
      </w:r>
    </w:p>
    <w:p>
      <w:pPr>
        <w:pStyle w:val="Normal"/>
        <w:widowControl w:val="false"/>
        <w:numPr>
          <w:ilvl w:val="0"/>
          <w:numId w:val="6"/>
        </w:numPr>
        <w:suppressAutoHyphens w:val="true"/>
        <w:spacing w:lineRule="exact" w:line="231" w:before="232" w:after="0"/>
        <w:rPr>
          <w:rFonts w:ascii="Arial" w:hAnsi="Arial" w:cs="Arial"/>
          <w:sz w:val="20"/>
          <w:szCs w:val="20"/>
        </w:rPr>
      </w:pPr>
      <w:r>
        <w:rPr>
          <w:rFonts w:cs="Arial" w:ascii="Arial" w:hAnsi="Arial"/>
          <w:sz w:val="20"/>
          <w:szCs w:val="20"/>
        </w:rPr>
        <w:t>Gastos federativos: licencias federativas.</w:t>
      </w:r>
    </w:p>
    <w:p>
      <w:pPr>
        <w:pStyle w:val="Normal"/>
        <w:widowControl w:val="false"/>
        <w:numPr>
          <w:ilvl w:val="0"/>
          <w:numId w:val="6"/>
        </w:numPr>
        <w:suppressAutoHyphens w:val="true"/>
        <w:spacing w:lineRule="exact" w:line="230" w:before="0" w:after="0"/>
        <w:rPr>
          <w:rFonts w:ascii="Arial" w:hAnsi="Arial" w:cs="Arial"/>
          <w:sz w:val="20"/>
          <w:szCs w:val="20"/>
        </w:rPr>
      </w:pPr>
      <w:r>
        <w:rPr>
          <w:rFonts w:cs="Arial" w:ascii="Arial" w:hAnsi="Arial"/>
          <w:sz w:val="20"/>
          <w:szCs w:val="20"/>
        </w:rPr>
        <w:t>Gastos por cuotas de inscripción.</w:t>
      </w:r>
    </w:p>
    <w:p>
      <w:pPr>
        <w:pStyle w:val="Normal"/>
        <w:widowControl w:val="false"/>
        <w:numPr>
          <w:ilvl w:val="0"/>
          <w:numId w:val="6"/>
        </w:numPr>
        <w:suppressAutoHyphens w:val="true"/>
        <w:spacing w:lineRule="exact" w:line="228" w:before="0" w:after="0"/>
        <w:rPr>
          <w:rFonts w:ascii="Arial" w:hAnsi="Arial" w:cs="Arial"/>
          <w:sz w:val="20"/>
          <w:szCs w:val="20"/>
        </w:rPr>
      </w:pPr>
      <w:r>
        <w:rPr>
          <w:rFonts w:cs="Arial" w:ascii="Arial" w:hAnsi="Arial"/>
          <w:sz w:val="20"/>
          <w:szCs w:val="20"/>
        </w:rPr>
        <w:t>Gastos de desplazamiento por transporte público.</w:t>
      </w:r>
    </w:p>
    <w:p>
      <w:pPr>
        <w:pStyle w:val="Normal"/>
        <w:widowControl w:val="false"/>
        <w:numPr>
          <w:ilvl w:val="0"/>
          <w:numId w:val="6"/>
        </w:numPr>
        <w:suppressAutoHyphens w:val="true"/>
        <w:spacing w:lineRule="exact" w:line="228" w:before="0" w:after="0"/>
        <w:rPr>
          <w:rFonts w:ascii="Arial" w:hAnsi="Arial" w:cs="Arial"/>
          <w:sz w:val="20"/>
          <w:szCs w:val="20"/>
        </w:rPr>
      </w:pPr>
      <w:r>
        <w:rPr>
          <w:rFonts w:cs="Arial" w:ascii="Arial" w:hAnsi="Arial"/>
          <w:sz w:val="20"/>
          <w:szCs w:val="20"/>
        </w:rPr>
        <w:t>Gastos de alquiler de vehículos sin conductor.</w:t>
      </w:r>
    </w:p>
    <w:p>
      <w:pPr>
        <w:pStyle w:val="Normal"/>
        <w:widowControl w:val="false"/>
        <w:numPr>
          <w:ilvl w:val="0"/>
          <w:numId w:val="6"/>
        </w:numPr>
        <w:suppressAutoHyphens w:val="true"/>
        <w:spacing w:lineRule="exact" w:line="231" w:before="0" w:after="0"/>
        <w:rPr>
          <w:rFonts w:ascii="Arial" w:hAnsi="Arial" w:cs="Arial"/>
          <w:b/>
          <w:b/>
          <w:bCs/>
          <w:sz w:val="20"/>
          <w:szCs w:val="20"/>
        </w:rPr>
      </w:pPr>
      <w:r>
        <w:rPr>
          <w:rFonts w:cs="Arial" w:ascii="Arial" w:hAnsi="Arial"/>
          <w:sz w:val="20"/>
          <w:szCs w:val="20"/>
        </w:rPr>
        <w:t>Gastos de alojamiento y manutención de los participantes</w:t>
      </w:r>
    </w:p>
    <w:p>
      <w:pPr>
        <w:pStyle w:val="Normal"/>
        <w:widowControl w:val="false"/>
        <w:numPr>
          <w:ilvl w:val="0"/>
          <w:numId w:val="6"/>
        </w:numPr>
        <w:suppressAutoHyphens w:val="true"/>
        <w:spacing w:lineRule="exact" w:line="231" w:before="0" w:after="0"/>
        <w:rPr>
          <w:rFonts w:ascii="Arial" w:hAnsi="Arial" w:cs="Arial"/>
          <w:b/>
          <w:b/>
          <w:bCs/>
          <w:sz w:val="20"/>
          <w:szCs w:val="20"/>
        </w:rPr>
      </w:pPr>
      <w:r>
        <w:rPr>
          <w:rFonts w:cs="Arial" w:ascii="Arial" w:hAnsi="Arial"/>
          <w:sz w:val="20"/>
          <w:szCs w:val="20"/>
        </w:rPr>
        <w:t>Gastos de desplazamiento derivados de la contratación del servicio de trasporte</w:t>
      </w:r>
    </w:p>
    <w:p>
      <w:pPr>
        <w:pStyle w:val="Normal"/>
        <w:spacing w:lineRule="exact" w:line="231"/>
        <w:ind w:left="432" w:hanging="0"/>
        <w:rPr>
          <w:rFonts w:ascii="Arial" w:hAnsi="Arial" w:cs="Arial"/>
          <w:sz w:val="20"/>
          <w:szCs w:val="20"/>
        </w:rPr>
      </w:pPr>
      <w:r>
        <w:rPr>
          <w:rFonts w:cs="Arial" w:ascii="Arial" w:hAnsi="Arial"/>
          <w:sz w:val="20"/>
          <w:szCs w:val="20"/>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ahoma" w:hAnsi="Tahoma" w:cs="Tahoma"/>
          <w:b/>
          <w:b/>
          <w:spacing w:val="3"/>
          <w:sz w:val="20"/>
          <w:szCs w:val="20"/>
          <w:u w:val="single"/>
          <w:lang w:eastAsia="es-ES"/>
        </w:rPr>
      </w:pPr>
      <w:r>
        <w:rPr>
          <w:rFonts w:cs="Tahoma" w:ascii="Tahoma" w:hAnsi="Tahoma"/>
          <w:b/>
          <w:spacing w:val="3"/>
          <w:sz w:val="20"/>
          <w:szCs w:val="20"/>
          <w:u w:val="single"/>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ahoma" w:hAnsi="Tahoma" w:cs="Tahoma"/>
          <w:spacing w:val="3"/>
          <w:sz w:val="20"/>
          <w:szCs w:val="20"/>
          <w:lang w:eastAsia="es-ES"/>
        </w:rPr>
      </w:pPr>
      <w:r>
        <w:rPr>
          <w:rFonts w:cs="Tahoma" w:ascii="Tahoma" w:hAnsi="Tahoma"/>
          <w:spacing w:val="3"/>
          <w:sz w:val="20"/>
          <w:szCs w:val="20"/>
          <w:lang w:eastAsia="es-ES"/>
        </w:rPr>
        <w:tab/>
        <w:t>Serán subvencionables, en procedimiento de concurrencia competitiva, la actividad de los deportistas federados no profesionales residentes en la Comarca del Jiloca que como club participen en competiciones de su especialidad, tanto en la comarca como fuera de ella a lo largo del año 2021, exceptuando los juegos escolares promovidos por el Gobierno de Aragón y que se estén gestionando desde la  Comarca del Jiloca.</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ahoma" w:hAnsi="Tahoma" w:cs="Tahoma"/>
          <w:spacing w:val="3"/>
          <w:sz w:val="20"/>
          <w:szCs w:val="20"/>
          <w:lang w:eastAsia="es-ES"/>
        </w:rPr>
      </w:pPr>
      <w:r>
        <w:rPr>
          <w:rFonts w:cs="Tahoma" w:ascii="Tahoma" w:hAnsi="Tahoma"/>
          <w:spacing w:val="3"/>
          <w:sz w:val="20"/>
          <w:szCs w:val="20"/>
          <w:lang w:eastAsia="es-ES"/>
        </w:rPr>
        <w:tab/>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lang w:eastAsia="es-ES"/>
        </w:rPr>
      </w:pPr>
      <w:r>
        <w:rPr>
          <w:lang w:eastAsia="es-ES"/>
        </w:rPr>
        <w:tab/>
      </w:r>
    </w:p>
    <w:p>
      <w:pPr>
        <w:pStyle w:val="Normal"/>
        <w:spacing w:before="0" w:after="200"/>
        <w:jc w:val="center"/>
        <w:rPr/>
      </w:pPr>
      <w:r>
        <w:rPr/>
        <w:t xml:space="preserve">En Calamocha, documento firmado electrónicamente por </w:t>
      </w:r>
      <w:r>
        <w:rPr>
          <w:b/>
          <w:bCs/>
        </w:rPr>
        <w:t>Dª Yolanda Domingo Alegre, Presidenta de la Comarca del Jiloca.</w:t>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1008"/>
        </w:tabs>
        <w:ind w:left="1008" w:hanging="504"/>
      </w:pPr>
      <w:rPr>
        <w:sz w:val="20"/>
        <w:szCs w:val="20"/>
        <w:rFonts w:eastAsia="Times New Roman"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lvl w:ilvl="0">
      <w:start w:val="1"/>
      <w:numFmt w:val="lowerLetter"/>
      <w:lvlText w:val="%1)"/>
      <w:lvlJc w:val="left"/>
      <w:pPr>
        <w:tabs>
          <w:tab w:val="num" w:pos="1008"/>
        </w:tabs>
        <w:ind w:left="1008" w:hanging="504"/>
      </w:pPr>
      <w:rPr>
        <w:sz w:val="20"/>
        <w:szCs w:val="20"/>
        <w:rFonts w:cs="Aria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lvl w:ilvl="0">
      <w:start w:val="1"/>
      <w:numFmt w:val="lowerLetter"/>
      <w:lvlText w:val="%1)"/>
      <w:lvlJc w:val="left"/>
      <w:pPr>
        <w:tabs>
          <w:tab w:val="num" w:pos="1080"/>
        </w:tabs>
        <w:ind w:left="576" w:hanging="360"/>
      </w:pPr>
      <w:rPr>
        <w:sz w:val="20"/>
        <w:szCs w:val="20"/>
        <w:rFonts w:cs="Aria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lvl w:ilvl="0">
      <w:start w:val="1"/>
      <w:numFmt w:val="bullet"/>
      <w:lvlText w:val="·"/>
      <w:lvlJc w:val="left"/>
      <w:pPr>
        <w:tabs>
          <w:tab w:val="num" w:pos="1080"/>
        </w:tabs>
        <w:ind w:left="576" w:hanging="360"/>
      </w:pPr>
      <w:rPr>
        <w:rFonts w:ascii="Symbol" w:hAnsi="Symbol" w:cs="Symbol"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lvl w:ilvl="0">
      <w:start w:val="1"/>
      <w:numFmt w:val="lowerLetter"/>
      <w:lvlText w:val="%1)"/>
      <w:lvlJc w:val="left"/>
      <w:pPr>
        <w:tabs>
          <w:tab w:val="num" w:pos="792"/>
        </w:tabs>
        <w:ind w:left="792" w:hanging="360"/>
      </w:pPr>
      <w:rPr>
        <w:sz w:val="20"/>
        <w:b w:val="false"/>
        <w:szCs w:val="20"/>
        <w:rFonts w:cs="Aria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lvl w:ilvl="0">
      <w:start w:val="1"/>
      <w:numFmt w:val="lowerLetter"/>
      <w:lvlText w:val="%1)"/>
      <w:lvlJc w:val="left"/>
      <w:pPr>
        <w:tabs>
          <w:tab w:val="num" w:pos="720"/>
        </w:tabs>
        <w:ind w:left="720" w:hanging="288"/>
      </w:pPr>
      <w:rPr>
        <w:sz w:val="20"/>
        <w:szCs w:val="20"/>
        <w:rFonts w:cs="Aria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es-ES" w:eastAsia="es-E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semiHidden="0" w:unhideWhenUsed="0"/>
    <w:lsdException w:name="toc 2" w:uiPriority="0" w:semiHidden="0" w:unhideWhenUsed="0"/>
    <w:lsdException w:name="toc 3" w:uiPriority="0" w:semiHidden="0" w:unhideWhenUsed="0"/>
    <w:lsdException w:name="toc 4" w:uiPriority="0" w:semiHidden="0" w:unhideWhenUsed="0"/>
    <w:lsdException w:name="toc 5" w:uiPriority="0" w:semiHidden="0" w:unhideWhenUsed="0"/>
    <w:lsdException w:name="toc 6" w:uiPriority="0" w:semiHidden="0" w:unhideWhenUsed="0"/>
    <w:lsdException w:name="toc 7" w:uiPriority="0" w:semiHidden="0" w:unhideWhenUsed="0"/>
    <w:lsdException w:name="toc 8" w:uiPriority="0" w:semiHidden="0" w:unhideWhenUsed="0"/>
    <w:lsdException w:name="toc 9" w:uiPriority="0" w:semiHidden="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uiPriority="0" w:semiHidden="0" w:unhideWhenUsed="0" w:qFormat="1"/>
    <w:lsdException w:name="Closing" w:locked="1"/>
    <w:lsdException w:name="Signature" w:locked="1"/>
    <w:lsdException w:name="Default Paragraph Font" w:uiPriority="0" w:semiHidden="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uiPriority="0"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uiPriority="0" w:semiHidden="0" w:unhideWhenUsed="0" w:qFormat="1"/>
    <w:lsdException w:name="Emphasis" w:uiPriority="0" w:semiHidden="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uiPriority="0" w:semiHidden="0" w:unhideWhenUsed="0"/>
    <w:lsdException w:name="Table Theme" w:locked="1"/>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d4a5e"/>
    <w:pPr>
      <w:widowControl/>
      <w:bidi w:val="0"/>
      <w:spacing w:lineRule="auto" w:line="276" w:before="0" w:after="200"/>
      <w:jc w:val="left"/>
    </w:pPr>
    <w:rPr>
      <w:rFonts w:ascii="Calibri" w:hAnsi="Calibri" w:eastAsia="Times New Roman" w:cs="Times New Roman"/>
      <w:color w:val="auto"/>
      <w:kern w:val="0"/>
      <w:sz w:val="22"/>
      <w:szCs w:val="22"/>
      <w:lang w:val="es-ES" w:eastAsia="en-US" w:bidi="ar-SA"/>
    </w:rPr>
  </w:style>
  <w:style w:type="character" w:styleId="DefaultParagraphFont" w:default="1">
    <w:name w:val="Default Paragraph Font"/>
    <w:uiPriority w:val="99"/>
    <w:semiHidden/>
    <w:qFormat/>
    <w:rPr/>
  </w:style>
  <w:style w:type="character" w:styleId="EnlacedeInternet">
    <w:name w:val="Enlace de Internet"/>
    <w:basedOn w:val="DefaultParagraphFont"/>
    <w:uiPriority w:val="99"/>
    <w:locked/>
    <w:rsid w:val="004e413c"/>
    <w:rPr>
      <w:rFonts w:cs="Times New Roman"/>
      <w:color w:val="0000FF"/>
      <w:u w:val="single"/>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iloca.es/"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1084</TotalTime>
  <Application>LibreOffice/7.0.4.2$Windows_X86_64 LibreOffice_project/dcf040e67528d9187c66b2379df5ea4407429775</Application>
  <AppVersion>15.0000</AppVersion>
  <DocSecurity>0</DocSecurity>
  <Pages>5</Pages>
  <Words>2122</Words>
  <Characters>11833</Characters>
  <CharactersWithSpaces>13873</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2021-10-19T13:09:00Z</dcterms:created>
  <dc:creator>ADMINISTRACION COMARCA DEL JILOCA</dc:creator>
  <dc:description/>
  <dc:language>es-ES</dc:language>
  <cp:lastModifiedBy/>
  <cp:lastPrinted>2020-10-30T09:42:00Z</cp:lastPrinted>
  <dcterms:modified xsi:type="dcterms:W3CDTF">2021-11-15T13:34:56Z</dcterms:modified>
  <cp:revision>9</cp:revision>
  <dc:subject/>
  <dc:title>Convocatoria de subvenciones a deportistas de la Comarca el Jiloca para la participación en competiciones deportivas nacionales e internacionales para el año 2020</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