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header1.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Cuerpodetexto"/>
        <w:jc w:val="both"/>
        <w:rPr/>
      </w:pPr>
      <w:r>
        <w:rPr>
          <w:rFonts w:cs="Times New Roman" w:ascii="Times New Roman" w:hAnsi="Times New Roman"/>
          <w:sz w:val="24"/>
        </w:rPr>
        <w:t> </w:t>
      </w:r>
      <w:r>
        <w:rPr>
          <w:rFonts w:cs="Times New Roman" w:ascii="Times New Roman" w:hAnsi="Times New Roman"/>
          <w:b/>
          <w:sz w:val="24"/>
          <w:lang w:val="ca-ES"/>
        </w:rPr>
        <w:t xml:space="preserve">BASES GENERALES PARA LA CONCESIÓN DE SUBVENCIÓN PARA MATERIAL ESCOLAR PARA El ALUMNADO DE PRIMARIA Y De EDUCACIÓN INFANTIL SEGUNDO CICLO, DEL AULARIO DE SUMACÀRCER DEL *CRA ESCUELAS DEL JÚCAR. </w:t>
      </w:r>
    </w:p>
    <w:p>
      <w:pPr>
        <w:pStyle w:val="Cuerpodetexto"/>
        <w:jc w:val="both"/>
        <w:rPr>
          <w:rFonts w:ascii="Times New Roman" w:hAnsi="Times New Roman" w:cs="Times New Roman"/>
          <w:sz w:val="24"/>
        </w:rPr>
      </w:pPr>
      <w:r>
        <w:rPr>
          <w:rFonts w:cs="Times New Roman" w:ascii="Times New Roman" w:hAnsi="Times New Roman"/>
          <w:sz w:val="24"/>
        </w:rPr>
        <w:t> </w:t>
      </w:r>
    </w:p>
    <w:p>
      <w:pPr>
        <w:pStyle w:val="Cuerpodetexto"/>
        <w:jc w:val="both"/>
        <w:rPr/>
      </w:pPr>
      <w:r>
        <w:rPr>
          <w:rFonts w:cs="Times New Roman" w:ascii="Times New Roman" w:hAnsi="Times New Roman"/>
          <w:sz w:val="24"/>
        </w:rPr>
        <w:t>            </w:t>
      </w:r>
      <w:r>
        <w:rPr>
          <w:rFonts w:cs="Times New Roman" w:ascii="Times New Roman" w:hAnsi="Times New Roman"/>
          <w:b/>
          <w:sz w:val="24"/>
          <w:lang w:val="ca-ES-valencia"/>
        </w:rPr>
        <w:t xml:space="preserve">1. </w:t>
      </w:r>
      <w:r>
        <w:rPr>
          <w:rFonts w:cs="Times New Roman" w:ascii="Times New Roman" w:hAnsi="Times New Roman"/>
          <w:b/>
          <w:sz w:val="24"/>
          <w:u w:val="single"/>
          <w:lang w:val="ca-ES-valencia"/>
        </w:rPr>
        <w:t>Bases Reguladoras</w:t>
      </w:r>
    </w:p>
    <w:p>
      <w:pPr>
        <w:pStyle w:val="Cuerpodetexto"/>
        <w:jc w:val="both"/>
        <w:rPr>
          <w:rFonts w:ascii="Times New Roman" w:hAnsi="Times New Roman" w:cs="Times New Roman"/>
          <w:sz w:val="24"/>
          <w:lang w:val="ca-ES-valencia"/>
        </w:rPr>
      </w:pPr>
      <w:r>
        <w:rPr>
          <w:rFonts w:cs="Times New Roman" w:ascii="Times New Roman" w:hAnsi="Times New Roman"/>
          <w:sz w:val="24"/>
          <w:lang w:val="ca-ES-valencia"/>
        </w:rPr>
        <w:t>El procedimiento para la concesión de estas subvenciones será en régimen de concurrencia competitiva, mediante la comparación de las solicitudes presentadas, a fin de establecer una prelación entre estas de acuerdo con los criterios de valoración establecidos en esta convocatoria, adjudicando, con el límite fijado en el punto siguiente, aquellas que hayan obtenido mayor valoración en aplicación de los citados criterios.</w:t>
      </w:r>
    </w:p>
    <w:p>
      <w:pPr>
        <w:pStyle w:val="Cuerpodetexto"/>
        <w:jc w:val="both"/>
        <w:rPr>
          <w:rFonts w:ascii="Times New Roman" w:hAnsi="Times New Roman" w:cs="Times New Roman"/>
          <w:b/>
          <w:b/>
          <w:sz w:val="24"/>
          <w:lang w:val="ca-ES-valencia"/>
        </w:rPr>
      </w:pPr>
      <w:r>
        <w:rPr>
          <w:rFonts w:cs="Times New Roman" w:ascii="Times New Roman" w:hAnsi="Times New Roman"/>
          <w:b/>
          <w:sz w:val="24"/>
          <w:lang w:val="ca-ES-valencia"/>
        </w:rPr>
      </w:r>
    </w:p>
    <w:p>
      <w:pPr>
        <w:pStyle w:val="Cuerpodetexto"/>
        <w:jc w:val="both"/>
        <w:rPr/>
      </w:pPr>
      <w:r>
        <w:rPr>
          <w:rFonts w:cs="Times New Roman" w:ascii="Times New Roman" w:hAnsi="Times New Roman"/>
          <w:b/>
          <w:sz w:val="24"/>
          <w:lang w:val="ca-ES-valencia"/>
        </w:rPr>
        <w:t xml:space="preserve">2. </w:t>
      </w:r>
      <w:r>
        <w:rPr>
          <w:rFonts w:cs="Times New Roman" w:ascii="Times New Roman" w:hAnsi="Times New Roman"/>
          <w:b/>
          <w:sz w:val="24"/>
          <w:u w:val="single"/>
          <w:lang w:val="ca-ES-valencia"/>
        </w:rPr>
        <w:t>Créditos Presupuestarios</w:t>
      </w:r>
    </w:p>
    <w:p>
      <w:pPr>
        <w:pStyle w:val="Cuerpodetexto"/>
        <w:jc w:val="both"/>
        <w:rPr/>
      </w:pPr>
      <w:r>
        <w:rPr>
          <w:rFonts w:cs="Times New Roman" w:ascii="Times New Roman" w:hAnsi="Times New Roman"/>
          <w:sz w:val="24"/>
          <w:lang w:val="ca-ES-valencia"/>
        </w:rPr>
        <w:t xml:space="preserve">El crédito presupuestario al cual se imputa la subvención es el siguiente: </w:t>
      </w:r>
      <w:r>
        <w:rPr>
          <w:rFonts w:cs="Times New Roman" w:ascii="Times New Roman" w:hAnsi="Times New Roman"/>
          <w:b/>
          <w:bCs/>
          <w:sz w:val="24"/>
          <w:lang w:val="ca-ES-valencia"/>
        </w:rPr>
        <w:t>321 48004</w:t>
      </w:r>
      <w:r>
        <w:rPr>
          <w:rFonts w:cs="Times New Roman" w:ascii="Times New Roman" w:hAnsi="Times New Roman"/>
          <w:sz w:val="24"/>
          <w:lang w:val="ca-ES-valencia"/>
        </w:rPr>
        <w:t xml:space="preserve"> y la cuantía total máxima de las subvenciones convocadas es de 1.000,00 </w:t>
      </w:r>
      <w:r>
        <w:rPr>
          <w:rFonts w:cs="Times New Roman" w:ascii="Times New Roman" w:hAnsi="Times New Roman"/>
          <w:b/>
          <w:bCs/>
          <w:sz w:val="24"/>
          <w:lang w:val="ca-ES-valencia"/>
        </w:rPr>
        <w:t>euros</w:t>
      </w:r>
      <w:r>
        <w:rPr>
          <w:rFonts w:cs="Times New Roman" w:ascii="Times New Roman" w:hAnsi="Times New Roman"/>
          <w:sz w:val="24"/>
          <w:lang w:val="ca-ES-valencia"/>
        </w:rPr>
        <w:t xml:space="preserve">. </w:t>
      </w:r>
    </w:p>
    <w:p>
      <w:pPr>
        <w:pStyle w:val="Cuerpodetexto"/>
        <w:jc w:val="both"/>
        <w:rPr>
          <w:rFonts w:ascii="Times New Roman" w:hAnsi="Times New Roman" w:cs="Times New Roman"/>
          <w:sz w:val="24"/>
        </w:rPr>
      </w:pPr>
      <w:r>
        <w:rPr>
          <w:rFonts w:cs="Times New Roman" w:ascii="Times New Roman" w:hAnsi="Times New Roman"/>
          <w:sz w:val="24"/>
        </w:rPr>
        <w:t> </w:t>
      </w:r>
    </w:p>
    <w:p>
      <w:pPr>
        <w:pStyle w:val="Cuerpodetexto"/>
        <w:jc w:val="both"/>
        <w:rPr/>
      </w:pPr>
      <w:r>
        <w:rPr>
          <w:rFonts w:cs="Times New Roman" w:ascii="Times New Roman" w:hAnsi="Times New Roman"/>
          <w:b/>
          <w:sz w:val="24"/>
          <w:lang w:val="ca-ES-valencia"/>
        </w:rPr>
        <w:t xml:space="preserve">3. </w:t>
      </w:r>
      <w:r>
        <w:rPr>
          <w:rFonts w:cs="Times New Roman" w:ascii="Times New Roman" w:hAnsi="Times New Roman"/>
          <w:b/>
          <w:sz w:val="24"/>
          <w:u w:val="single"/>
          <w:lang w:val="ca-ES-valencia"/>
        </w:rPr>
        <w:t>Objeto, Condiciones y Finalidad de la Subvención</w:t>
      </w:r>
    </w:p>
    <w:p>
      <w:pPr>
        <w:pStyle w:val="Cuerpodetexto"/>
        <w:jc w:val="both"/>
        <w:rPr/>
      </w:pPr>
      <w:r>
        <w:rPr>
          <w:rFonts w:cs="Times New Roman" w:ascii="Times New Roman" w:hAnsi="Times New Roman"/>
          <w:sz w:val="24"/>
        </w:rPr>
        <w:t>         </w:t>
      </w:r>
      <w:r>
        <w:rPr>
          <w:rFonts w:eastAsia="Times New Roman" w:cs="Times New Roman" w:ascii="Times New Roman" w:hAnsi="Times New Roman"/>
          <w:sz w:val="24"/>
        </w:rPr>
        <w:t xml:space="preserve"> </w:t>
      </w:r>
      <w:r>
        <w:rPr>
          <w:rFonts w:cs="Times New Roman" w:ascii="Times New Roman" w:hAnsi="Times New Roman"/>
          <w:sz w:val="24"/>
          <w:lang w:val="ca-ES"/>
        </w:rPr>
        <w:t>Desde el Ayuntamiento de Sumacàrcer, a través de la Concejalía de Educación se realizan varias actividades orientadas con el objetivo de garantizar una educación de calidad para todas las niñas y niños del municipio.</w:t>
      </w:r>
    </w:p>
    <w:p>
      <w:pPr>
        <w:pStyle w:val="Cuerpodetexto"/>
        <w:jc w:val="both"/>
        <w:rPr/>
      </w:pPr>
      <w:r>
        <w:rPr>
          <w:rFonts w:cs="Times New Roman" w:ascii="Times New Roman" w:hAnsi="Times New Roman"/>
          <w:sz w:val="24"/>
        </w:rPr>
        <w:t>        </w:t>
      </w:r>
      <w:r>
        <w:rPr>
          <w:rFonts w:eastAsia="Times New Roman" w:cs="Times New Roman" w:ascii="Times New Roman" w:hAnsi="Times New Roman"/>
          <w:sz w:val="24"/>
        </w:rPr>
        <w:t xml:space="preserve"> </w:t>
      </w:r>
      <w:r>
        <w:rPr>
          <w:rFonts w:cs="Times New Roman" w:ascii="Times New Roman" w:hAnsi="Times New Roman"/>
          <w:sz w:val="24"/>
          <w:lang w:val="ca-ES"/>
        </w:rPr>
        <w:t>Desde ejercicios pasados por parte de la Consellería de Educación de la Generalitat Valenciana se ha puesto en marcha lo programa Red Libros de Texto de la Comunidad Valenciana, programa destinado a facilitar la adquisición de Libros de texto y material curricular a las familias con menores escolarizados en centros públicos, privados y concertados de la Comunidad Valenciana en los niveles educativos de primaria, secundaria y educación especial.</w:t>
      </w:r>
    </w:p>
    <w:p>
      <w:pPr>
        <w:pStyle w:val="Cuerpodetexto"/>
        <w:jc w:val="both"/>
        <w:rPr/>
      </w:pPr>
      <w:r>
        <w:rPr>
          <w:rFonts w:cs="Times New Roman" w:ascii="Times New Roman" w:hAnsi="Times New Roman"/>
          <w:b/>
          <w:bCs/>
          <w:i/>
          <w:iCs/>
          <w:sz w:val="24"/>
          <w:szCs w:val="24"/>
          <w:lang w:val="ca-ES"/>
        </w:rPr>
        <w:t>En el caso del alumnado de Educación Primaria la ayuda NO PODRÁ *DESTINARSE A MATERIAL INCLUIDO EN EL PROGRAMA BANCO DE LIBROS de *acor con el Informe emitido por la Consellería de Educación (…)</w:t>
      </w:r>
      <w:r>
        <w:rPr>
          <w:rFonts w:cs="Times New Roman" w:ascii="Times New Roman" w:hAnsi="Times New Roman"/>
          <w:i/>
          <w:iCs/>
          <w:sz w:val="24"/>
          <w:szCs w:val="24"/>
          <w:lang w:val="ca-ES"/>
        </w:rPr>
        <w:t>”</w:t>
      </w:r>
    </w:p>
    <w:p>
      <w:pPr>
        <w:pStyle w:val="Cuerpodetexto"/>
        <w:jc w:val="both"/>
        <w:rPr/>
      </w:pPr>
      <w:r>
        <w:rPr/>
      </w:r>
    </w:p>
    <w:p>
      <w:pPr>
        <w:pStyle w:val="Cuerpodetexto"/>
        <w:jc w:val="both"/>
        <w:rPr/>
      </w:pPr>
      <w:r>
        <w:rPr>
          <w:rFonts w:cs="Times New Roman" w:ascii="Times New Roman" w:hAnsi="Times New Roman"/>
          <w:sz w:val="24"/>
        </w:rPr>
        <w:t>        </w:t>
      </w:r>
      <w:r>
        <w:rPr>
          <w:rFonts w:eastAsia="Times New Roman" w:cs="Times New Roman" w:ascii="Times New Roman" w:hAnsi="Times New Roman"/>
          <w:sz w:val="24"/>
        </w:rPr>
        <w:t xml:space="preserve"> </w:t>
      </w:r>
      <w:r>
        <w:rPr>
          <w:rFonts w:cs="Times New Roman" w:ascii="Times New Roman" w:hAnsi="Times New Roman"/>
          <w:sz w:val="24"/>
          <w:lang w:val="ca-ES"/>
        </w:rPr>
        <w:t>Procede para este ejercicio la realización de una convocatoria pública que permita a cualquier ciudadano del municipio cumpliendo los requisitos fijados en las presentes bases la obtención de las ayudas que a todos los efectos se establecen para el nivel educativo de referencia.</w:t>
      </w:r>
    </w:p>
    <w:p>
      <w:pPr>
        <w:pStyle w:val="Cuerpodetexto"/>
        <w:jc w:val="both"/>
        <w:rPr/>
      </w:pPr>
      <w:r>
        <w:rPr>
          <w:rFonts w:cs="Times New Roman" w:ascii="Times New Roman" w:hAnsi="Times New Roman"/>
          <w:sz w:val="24"/>
        </w:rPr>
        <w:t>        </w:t>
      </w:r>
      <w:r>
        <w:rPr>
          <w:rFonts w:eastAsia="Times New Roman" w:cs="Times New Roman" w:ascii="Times New Roman" w:hAnsi="Times New Roman"/>
          <w:sz w:val="24"/>
        </w:rPr>
        <w:t xml:space="preserve"> </w:t>
      </w:r>
      <w:r>
        <w:rPr>
          <w:rFonts w:cs="Times New Roman" w:ascii="Times New Roman" w:hAnsi="Times New Roman"/>
          <w:sz w:val="24"/>
          <w:lang w:val="ca-ES"/>
        </w:rPr>
        <w:t>La subvención tiene por finalidad proporcionar una ayuda económica para la adquisición de  material escolar, de forma que se facilita a las familias parte de los recursos necesarios y así que los menores puedan disponer de todos los elementos para garantizar una formación adecuada.</w:t>
      </w:r>
    </w:p>
    <w:p>
      <w:pPr>
        <w:pStyle w:val="Cuerpodetexto"/>
        <w:jc w:val="both"/>
        <w:rPr>
          <w:rFonts w:ascii="Times New Roman" w:hAnsi="Times New Roman" w:cs="Times New Roman"/>
          <w:sz w:val="24"/>
          <w:u w:val="single"/>
          <w:lang w:val="ca-ES"/>
        </w:rPr>
      </w:pPr>
      <w:r>
        <w:rPr>
          <w:rFonts w:cs="Times New Roman" w:ascii="Times New Roman" w:hAnsi="Times New Roman"/>
          <w:sz w:val="24"/>
          <w:u w:val="single"/>
          <w:lang w:val="ca-ES"/>
        </w:rPr>
      </w:r>
    </w:p>
    <w:p>
      <w:pPr>
        <w:pStyle w:val="Cuerpodetexto"/>
        <w:jc w:val="both"/>
        <w:rPr>
          <w:rFonts w:ascii="Times New Roman" w:hAnsi="Times New Roman" w:cs="Times New Roman"/>
          <w:b/>
          <w:b/>
          <w:sz w:val="24"/>
          <w:u w:val="single"/>
          <w:lang w:val="ca-ES"/>
        </w:rPr>
      </w:pPr>
      <w:r>
        <w:rPr>
          <w:rFonts w:cs="Times New Roman" w:ascii="Times New Roman" w:hAnsi="Times New Roman"/>
          <w:b/>
          <w:sz w:val="24"/>
          <w:u w:val="single"/>
          <w:lang w:val="ca-ES"/>
        </w:rPr>
        <w:t xml:space="preserve">4.- *Quantía de la subvención </w:t>
      </w:r>
    </w:p>
    <w:p>
      <w:pPr>
        <w:pStyle w:val="Cuerpodetexto"/>
        <w:jc w:val="both"/>
        <w:rPr>
          <w:rFonts w:ascii="Times New Roman" w:hAnsi="Times New Roman" w:cs="Times New Roman"/>
          <w:sz w:val="24"/>
          <w:szCs w:val="22"/>
        </w:rPr>
      </w:pPr>
      <w:r>
        <w:rPr>
          <w:rFonts w:cs="Times New Roman" w:ascii="Times New Roman" w:hAnsi="Times New Roman"/>
          <w:sz w:val="24"/>
          <w:szCs w:val="22"/>
        </w:rPr>
        <w:t xml:space="preserve">Las ayudas *consistirán en el 100% del presupuesto o factura de los materiales adquiridos por las *families. </w:t>
      </w:r>
    </w:p>
    <w:p>
      <w:pPr>
        <w:pStyle w:val="Cuerpodetexto"/>
        <w:jc w:val="both"/>
        <w:rPr>
          <w:rFonts w:ascii="Times New Roman" w:hAnsi="Times New Roman" w:cs="Times New Roman"/>
          <w:sz w:val="24"/>
          <w:szCs w:val="22"/>
          <w:lang w:val="ca-ES"/>
        </w:rPr>
      </w:pPr>
      <w:r>
        <w:rPr>
          <w:rFonts w:cs="Times New Roman" w:ascii="Times New Roman" w:hAnsi="Times New Roman"/>
          <w:sz w:val="24"/>
          <w:szCs w:val="22"/>
          <w:lang w:val="ca-ES"/>
        </w:rPr>
      </w:r>
    </w:p>
    <w:p>
      <w:pPr>
        <w:pStyle w:val="Cuerpodetexto"/>
        <w:jc w:val="both"/>
        <w:rPr/>
      </w:pPr>
      <w:r>
        <w:rPr>
          <w:rFonts w:cs="Times New Roman" w:ascii="Times New Roman" w:hAnsi="Times New Roman"/>
          <w:sz w:val="24"/>
          <w:lang w:val="ca-ES"/>
        </w:rPr>
        <w:t xml:space="preserve">Se establece la cantidad a repartir entre los beneficiarios 1.000 euros, entre todos los solicitantes, </w:t>
      </w:r>
      <w:r>
        <w:rPr>
          <w:rFonts w:cs="Times New Roman" w:ascii="Times New Roman" w:hAnsi="Times New Roman"/>
          <w:b/>
          <w:bCs/>
          <w:sz w:val="24"/>
          <w:lang w:val="ca-ES"/>
        </w:rPr>
        <w:t xml:space="preserve">hasta un máximo de 25  € </w:t>
      </w:r>
      <w:r>
        <w:rPr>
          <w:rFonts w:cs="Times New Roman" w:ascii="Times New Roman" w:hAnsi="Times New Roman"/>
          <w:sz w:val="24"/>
          <w:lang w:val="ca-ES"/>
        </w:rPr>
        <w:t>por alumno, los cuales se harán efectivos mediante transferencia bancaria.</w:t>
      </w:r>
    </w:p>
    <w:p>
      <w:pPr>
        <w:pStyle w:val="Cuerpodetexto"/>
        <w:jc w:val="both"/>
        <w:rPr>
          <w:rFonts w:ascii="Times New Roman" w:hAnsi="Times New Roman" w:cs="Times New Roman"/>
          <w:sz w:val="24"/>
          <w:lang w:val="ca-ES-valencia"/>
        </w:rPr>
      </w:pPr>
      <w:r>
        <w:rPr>
          <w:rFonts w:cs="Times New Roman" w:ascii="Times New Roman" w:hAnsi="Times New Roman"/>
          <w:sz w:val="24"/>
          <w:lang w:val="ca-ES-valencia"/>
        </w:rPr>
        <w:t xml:space="preserve">En el supuesto de que los importes solicitados por las personas seleccionadas superan el crédito disponible para la presente convocatoria, se procederá al prorrateo del importe máximo destinado a las subvenciones entre los beneficiarios seleccionados, conforme a la puntuación obtenida. </w:t>
      </w:r>
    </w:p>
    <w:p>
      <w:pPr>
        <w:pStyle w:val="Cuerpodetexto"/>
        <w:jc w:val="both"/>
        <w:rPr>
          <w:rFonts w:ascii="Times New Roman" w:hAnsi="Times New Roman" w:cs="Times New Roman"/>
          <w:sz w:val="24"/>
        </w:rPr>
      </w:pPr>
      <w:r>
        <w:rPr>
          <w:rFonts w:cs="Times New Roman" w:ascii="Times New Roman" w:hAnsi="Times New Roman"/>
          <w:sz w:val="24"/>
        </w:rPr>
        <w:t> </w:t>
      </w:r>
    </w:p>
    <w:p>
      <w:pPr>
        <w:pStyle w:val="Cuerpodetexto"/>
        <w:jc w:val="both"/>
        <w:rPr/>
      </w:pPr>
      <w:r>
        <w:rPr>
          <w:rFonts w:cs="Times New Roman" w:ascii="Times New Roman" w:hAnsi="Times New Roman"/>
          <w:b/>
          <w:sz w:val="24"/>
          <w:lang w:val="ca-ES-valencia"/>
        </w:rPr>
        <w:t xml:space="preserve">5. </w:t>
      </w:r>
      <w:r>
        <w:rPr>
          <w:rFonts w:cs="Times New Roman" w:ascii="Times New Roman" w:hAnsi="Times New Roman"/>
          <w:b/>
          <w:sz w:val="24"/>
          <w:u w:val="single"/>
          <w:lang w:val="ca-ES-valencia"/>
        </w:rPr>
        <w:t>Requisitos de los Solicitantes. Beneficiarios</w:t>
      </w:r>
    </w:p>
    <w:p>
      <w:pPr>
        <w:pStyle w:val="Cuerpodetexto"/>
        <w:jc w:val="both"/>
        <w:rPr>
          <w:rFonts w:ascii="Times New Roman" w:hAnsi="Times New Roman" w:cs="Times New Roman"/>
          <w:b/>
          <w:b/>
          <w:sz w:val="24"/>
          <w:u w:val="single"/>
          <w:lang w:val="ca-ES-valencia"/>
        </w:rPr>
      </w:pPr>
      <w:r>
        <w:rPr>
          <w:rFonts w:cs="Times New Roman" w:ascii="Times New Roman" w:hAnsi="Times New Roman"/>
          <w:b/>
          <w:sz w:val="24"/>
          <w:u w:val="single"/>
          <w:lang w:val="ca-ES-valencia"/>
        </w:rPr>
      </w:r>
    </w:p>
    <w:p>
      <w:pPr>
        <w:pStyle w:val="Cuerpodetexto"/>
        <w:jc w:val="both"/>
        <w:rPr/>
      </w:pPr>
      <w:r>
        <w:rPr>
          <w:rFonts w:cs="Times New Roman" w:ascii="Times New Roman" w:hAnsi="Times New Roman"/>
          <w:sz w:val="24"/>
        </w:rPr>
        <w:t>        </w:t>
      </w:r>
      <w:r>
        <w:rPr>
          <w:rFonts w:eastAsia="Times New Roman" w:cs="Times New Roman" w:ascii="Times New Roman" w:hAnsi="Times New Roman"/>
          <w:sz w:val="24"/>
        </w:rPr>
        <w:t xml:space="preserve"> </w:t>
      </w:r>
      <w:r>
        <w:rPr>
          <w:rFonts w:cs="Times New Roman" w:ascii="Times New Roman" w:hAnsi="Times New Roman"/>
          <w:sz w:val="24"/>
          <w:lang w:val="ca-ES"/>
        </w:rPr>
        <w:t>Para poder ser beneficiarios de estas ayudas se tendrá que cumplir los siguientes requisitos, a todos los efectos:</w:t>
      </w:r>
    </w:p>
    <w:p>
      <w:pPr>
        <w:pStyle w:val="Cuerpodetexto"/>
        <w:jc w:val="both"/>
        <w:rPr/>
      </w:pPr>
      <w:r>
        <w:rPr>
          <w:rFonts w:cs="Times New Roman" w:ascii="Times New Roman" w:hAnsi="Times New Roman"/>
          <w:sz w:val="24"/>
        </w:rPr>
        <w:t>        </w:t>
      </w:r>
      <w:r>
        <w:rPr>
          <w:rFonts w:eastAsia="Times New Roman" w:cs="Times New Roman" w:ascii="Times New Roman" w:hAnsi="Times New Roman"/>
          <w:sz w:val="24"/>
        </w:rPr>
        <w:t xml:space="preserve"> </w:t>
      </w:r>
      <w:r>
        <w:rPr>
          <w:rFonts w:cs="Times New Roman" w:ascii="Times New Roman" w:hAnsi="Times New Roman"/>
          <w:sz w:val="24"/>
          <w:lang w:val="ca-ES"/>
        </w:rPr>
        <w:t>-Estar empadronados/se en el término municipal de Sumacàrcer al menos el/la sol *·licitant (padre, madre o tutor legal) y el/la menor objeto de la ayuda con anterioridad al 1 de enero de cada ejercicio para el cual se solicita la ayuda. Excepcionalmente podrán solicitar  la ayuda las personas que sean acogedores de hecho de los menores para los cuales se solicita la ayuda, siempre que exista un informe de los Servicios Sociales que acredito esta situación.</w:t>
      </w:r>
    </w:p>
    <w:p>
      <w:pPr>
        <w:pStyle w:val="Cuerpodetexto"/>
        <w:jc w:val="both"/>
        <w:rPr/>
      </w:pPr>
      <w:r>
        <w:rPr>
          <w:rFonts w:cs="Times New Roman" w:ascii="Times New Roman" w:hAnsi="Times New Roman"/>
          <w:sz w:val="24"/>
        </w:rPr>
        <w:t>        </w:t>
      </w:r>
      <w:r>
        <w:rPr>
          <w:rFonts w:eastAsia="Times New Roman" w:cs="Times New Roman" w:ascii="Times New Roman" w:hAnsi="Times New Roman"/>
          <w:sz w:val="24"/>
        </w:rPr>
        <w:t xml:space="preserve"> </w:t>
      </w:r>
      <w:r>
        <w:rPr>
          <w:rFonts w:cs="Times New Roman" w:ascii="Times New Roman" w:hAnsi="Times New Roman"/>
          <w:sz w:val="24"/>
          <w:lang w:val="ca-ES"/>
        </w:rPr>
        <w:t xml:space="preserve">-Estar escolarizados en Educación Primaria y en  Educación Infantil de Segundo Ciclo del aulario de *Sumacarcer *CRA escuelas del Júcar. </w:t>
      </w:r>
    </w:p>
    <w:p>
      <w:pPr>
        <w:pStyle w:val="Cuerpodetexto"/>
        <w:jc w:val="both"/>
        <w:rPr>
          <w:rFonts w:ascii="Times New Roman" w:hAnsi="Times New Roman" w:cs="Times New Roman"/>
          <w:sz w:val="24"/>
        </w:rPr>
      </w:pPr>
      <w:r>
        <w:rPr>
          <w:rFonts w:cs="Times New Roman" w:ascii="Times New Roman" w:hAnsi="Times New Roman"/>
          <w:sz w:val="24"/>
        </w:rPr>
        <w:t> </w:t>
      </w:r>
    </w:p>
    <w:p>
      <w:pPr>
        <w:pStyle w:val="Cuerpodetexto"/>
        <w:jc w:val="both"/>
        <w:rPr/>
      </w:pPr>
      <w:r>
        <w:rPr>
          <w:rFonts w:cs="Times New Roman" w:ascii="Times New Roman" w:hAnsi="Times New Roman"/>
          <w:sz w:val="24"/>
        </w:rPr>
        <w:t> </w:t>
      </w:r>
      <w:r>
        <w:rPr>
          <w:rFonts w:cs="Times New Roman" w:ascii="Times New Roman" w:hAnsi="Times New Roman"/>
          <w:b/>
          <w:sz w:val="24"/>
          <w:lang w:val="ca-ES-valencia"/>
        </w:rPr>
        <w:t xml:space="preserve">6. </w:t>
      </w:r>
      <w:r>
        <w:rPr>
          <w:rFonts w:cs="Times New Roman" w:ascii="Times New Roman" w:hAnsi="Times New Roman"/>
          <w:b/>
          <w:sz w:val="24"/>
          <w:u w:val="single"/>
          <w:lang w:val="ca-ES-valencia"/>
        </w:rPr>
        <w:t>Órgano Competente para la Instrucción y Resolución del Procedimiento</w:t>
      </w:r>
    </w:p>
    <w:p>
      <w:pPr>
        <w:pStyle w:val="Cuerpodetexto"/>
        <w:jc w:val="both"/>
        <w:rPr>
          <w:rFonts w:ascii="Times New Roman" w:hAnsi="Times New Roman" w:cs="Times New Roman"/>
          <w:sz w:val="24"/>
        </w:rPr>
      </w:pPr>
      <w:r>
        <w:rPr>
          <w:rFonts w:cs="Times New Roman" w:ascii="Times New Roman" w:hAnsi="Times New Roman"/>
          <w:sz w:val="24"/>
        </w:rPr>
        <w:t> </w:t>
      </w:r>
    </w:p>
    <w:p>
      <w:pPr>
        <w:pStyle w:val="Cuerpodetexto"/>
        <w:jc w:val="both"/>
        <w:rPr>
          <w:rFonts w:ascii="Times New Roman" w:hAnsi="Times New Roman" w:cs="Times New Roman"/>
          <w:sz w:val="24"/>
          <w:lang w:val="ca-ES-valencia"/>
        </w:rPr>
      </w:pPr>
      <w:r>
        <w:rPr>
          <w:rFonts w:cs="Times New Roman" w:ascii="Times New Roman" w:hAnsi="Times New Roman"/>
          <w:sz w:val="24"/>
          <w:lang w:val="ca-ES-valencia"/>
        </w:rPr>
        <w:t>El órgano competente para resolver será el Alcalde puesto que el artículo 185 del Texto refundido de la Ley Reguladora de las Haciendas Locales, aprobado por Real decreto legislativo 2/2004, de 5 de marzo, al que se remite el artículo 21.1.f) de la Ley 7/1985, de 2 de abril, reguladora de las Bases del Régimen Local, en cuanto a la competencia para la disposición de gastos, establece que dentro del importe de los créditos autorizados en los presupuestos, corresponderá la autorización y disposición de los gastos al presidente o al Pleno de la entidad de acuerdo con la atribución de competencias que establezca la normativa vigente. Al no existir precepto concreto que atribuya la competencia, acudiremos a la regla aplicable en materia de contratación establecida en la Disposición Adicional *2ª del la Ley de Contratos del Sector Público 9/2017.</w:t>
      </w:r>
    </w:p>
    <w:p>
      <w:pPr>
        <w:pStyle w:val="Cuerpodetexto"/>
        <w:jc w:val="both"/>
        <w:rPr>
          <w:rFonts w:ascii="Times New Roman" w:hAnsi="Times New Roman" w:cs="Times New Roman"/>
          <w:sz w:val="24"/>
        </w:rPr>
      </w:pPr>
      <w:r>
        <w:rPr>
          <w:rFonts w:cs="Times New Roman" w:ascii="Times New Roman" w:hAnsi="Times New Roman"/>
          <w:sz w:val="24"/>
        </w:rPr>
        <w:t>          </w:t>
      </w:r>
    </w:p>
    <w:p>
      <w:pPr>
        <w:pStyle w:val="Cuerpodetexto"/>
        <w:jc w:val="both"/>
        <w:rPr/>
      </w:pPr>
      <w:r>
        <w:rPr>
          <w:rFonts w:eastAsia="Times New Roman" w:cs="Times New Roman" w:ascii="Times New Roman" w:hAnsi="Times New Roman"/>
          <w:sz w:val="24"/>
        </w:rPr>
        <w:t xml:space="preserve"> </w:t>
      </w:r>
      <w:r>
        <w:rPr>
          <w:rFonts w:cs="Times New Roman" w:ascii="Times New Roman" w:hAnsi="Times New Roman"/>
          <w:b/>
          <w:sz w:val="24"/>
          <w:lang w:val="ca-ES-valencia"/>
        </w:rPr>
        <w:t xml:space="preserve">7. </w:t>
      </w:r>
      <w:r>
        <w:rPr>
          <w:rFonts w:cs="Times New Roman" w:ascii="Times New Roman" w:hAnsi="Times New Roman"/>
          <w:b/>
          <w:sz w:val="24"/>
          <w:u w:val="single"/>
          <w:lang w:val="ca-ES-valencia"/>
        </w:rPr>
        <w:t>Plazo de Presentación de Solicitudes y Documentación</w:t>
      </w:r>
    </w:p>
    <w:p>
      <w:pPr>
        <w:pStyle w:val="Cuerpodetexto"/>
        <w:jc w:val="both"/>
        <w:rPr/>
      </w:pPr>
      <w:r>
        <w:rPr>
          <w:rFonts w:cs="Times New Roman" w:ascii="Times New Roman" w:hAnsi="Times New Roman"/>
          <w:sz w:val="24"/>
        </w:rPr>
        <w:t> </w:t>
      </w:r>
      <w:r>
        <w:rPr>
          <w:rFonts w:cs="Times New Roman" w:ascii="Times New Roman" w:hAnsi="Times New Roman"/>
          <w:sz w:val="24"/>
        </w:rPr>
        <w:t xml:space="preserve">La Convocatoria de estas Bases se remitirá a la Base Nacional de Subvenciones y se *publicaràn al Boletín Oficial de la *Provincia de València. </w:t>
      </w:r>
    </w:p>
    <w:p>
      <w:pPr>
        <w:pStyle w:val="Cuerpodetexto"/>
        <w:jc w:val="both"/>
        <w:rPr>
          <w:rFonts w:ascii="Times New Roman" w:hAnsi="Times New Roman" w:cs="Times New Roman"/>
          <w:sz w:val="24"/>
        </w:rPr>
      </w:pPr>
      <w:r>
        <w:rPr>
          <w:rFonts w:cs="Times New Roman" w:ascii="Times New Roman" w:hAnsi="Times New Roman"/>
          <w:sz w:val="24"/>
        </w:rPr>
      </w:r>
    </w:p>
    <w:p>
      <w:pPr>
        <w:pStyle w:val="Cuerpodetexto"/>
        <w:jc w:val="both"/>
        <w:rPr>
          <w:rFonts w:ascii="Times New Roman" w:hAnsi="Times New Roman" w:cs="Times New Roman"/>
          <w:sz w:val="24"/>
          <w:u w:val="single"/>
        </w:rPr>
      </w:pPr>
      <w:r>
        <w:rPr>
          <w:rFonts w:cs="Times New Roman" w:ascii="Times New Roman" w:hAnsi="Times New Roman"/>
          <w:sz w:val="24"/>
          <w:u w:val="single"/>
        </w:rPr>
        <w:t>7.1 Presentación de solicitudes</w:t>
      </w:r>
    </w:p>
    <w:p>
      <w:pPr>
        <w:pStyle w:val="Cuerpodetexto"/>
        <w:jc w:val="both"/>
        <w:rPr/>
      </w:pPr>
      <w:r>
        <w:rPr>
          <w:rFonts w:cs="Times New Roman" w:ascii="Times New Roman" w:hAnsi="Times New Roman"/>
          <w:sz w:val="24"/>
          <w:lang w:val="ca-ES-valencia"/>
        </w:rPr>
        <w:t xml:space="preserve">Las solicitudes se formularán en el modelo que figura como Anexo de esta convocatoria. Se dirigirán al Alcalde del Ayuntamiento, y se presentarán en el Registro de entrada del Ayuntamiento o por cualquier de los medios señalados en el artículo 16.4 de la Ley 39/2015, de 1 de octubre, del Procedimiento Administrativo Común de las Administraciones Públicas, </w:t>
      </w:r>
      <w:r>
        <w:rPr>
          <w:rFonts w:cs="Times New Roman" w:ascii="Times New Roman" w:hAnsi="Times New Roman"/>
          <w:b/>
          <w:bCs/>
          <w:sz w:val="24"/>
          <w:lang w:val="ca-ES-valencia"/>
        </w:rPr>
        <w:t xml:space="preserve">en el plazo de 15 días hábiles desde la publicación del extracto de la convocatoria en el Boletín Oficial de la Provincia de València. </w:t>
      </w:r>
    </w:p>
    <w:p>
      <w:pPr>
        <w:pStyle w:val="Cuerpodetexto"/>
        <w:jc w:val="both"/>
        <w:rPr/>
      </w:pPr>
      <w:r>
        <w:rPr>
          <w:rFonts w:cs="Times New Roman" w:ascii="Times New Roman" w:hAnsi="Times New Roman"/>
          <w:b/>
          <w:bCs/>
          <w:sz w:val="24"/>
        </w:rPr>
        <w:t> </w:t>
      </w:r>
      <w:r>
        <w:rPr>
          <w:rFonts w:cs="Times New Roman" w:ascii="Times New Roman" w:hAnsi="Times New Roman"/>
          <w:b/>
          <w:bCs/>
          <w:sz w:val="24"/>
          <w:lang w:val="ca-ES-valencia"/>
        </w:rPr>
        <w:t> </w:t>
      </w:r>
    </w:p>
    <w:p>
      <w:pPr>
        <w:pStyle w:val="Cuerpodetexto"/>
        <w:jc w:val="both"/>
        <w:rPr>
          <w:rFonts w:ascii="Times New Roman" w:hAnsi="Times New Roman" w:cs="Times New Roman"/>
          <w:sz w:val="24"/>
          <w:u w:val="single"/>
          <w:lang w:val="ca-ES-valencia"/>
        </w:rPr>
      </w:pPr>
      <w:r>
        <w:rPr>
          <w:rFonts w:cs="Times New Roman" w:ascii="Times New Roman" w:hAnsi="Times New Roman"/>
          <w:sz w:val="24"/>
          <w:u w:val="single"/>
          <w:lang w:val="ca-ES-valencia"/>
        </w:rPr>
        <w:t>7.2 Documentación a adjuntar a la solicitud</w:t>
      </w:r>
    </w:p>
    <w:p>
      <w:pPr>
        <w:pStyle w:val="Cuerpodetexto"/>
        <w:jc w:val="both"/>
        <w:rPr>
          <w:rFonts w:ascii="Times New Roman" w:hAnsi="Times New Roman" w:cs="Times New Roman"/>
          <w:sz w:val="24"/>
        </w:rPr>
      </w:pPr>
      <w:r>
        <w:rPr>
          <w:rFonts w:cs="Times New Roman" w:ascii="Times New Roman" w:hAnsi="Times New Roman"/>
          <w:sz w:val="24"/>
        </w:rPr>
      </w:r>
    </w:p>
    <w:p>
      <w:pPr>
        <w:pStyle w:val="Cuerpodetexto"/>
        <w:jc w:val="both"/>
        <w:rPr/>
      </w:pPr>
      <w:r>
        <w:rPr>
          <w:rFonts w:cs="Times New Roman" w:ascii="Times New Roman" w:hAnsi="Times New Roman"/>
          <w:sz w:val="24"/>
        </w:rPr>
        <w:t> </w:t>
      </w:r>
      <w:r>
        <w:rPr>
          <w:rFonts w:cs="Times New Roman" w:ascii="Times New Roman" w:hAnsi="Times New Roman"/>
          <w:sz w:val="24"/>
          <w:lang w:val="ca-ES"/>
        </w:rPr>
        <w:t>Los solicitantes de la presente subvención tendrán que presentar:</w:t>
      </w:r>
    </w:p>
    <w:p>
      <w:pPr>
        <w:pStyle w:val="Cuerpodetexto"/>
        <w:jc w:val="both"/>
        <w:rPr>
          <w:rFonts w:ascii="Times New Roman" w:hAnsi="Times New Roman" w:cs="Times New Roman"/>
          <w:sz w:val="24"/>
        </w:rPr>
      </w:pPr>
      <w:r>
        <w:rPr>
          <w:rFonts w:cs="Times New Roman" w:ascii="Times New Roman" w:hAnsi="Times New Roman"/>
          <w:sz w:val="24"/>
        </w:rPr>
        <w:t> </w:t>
      </w:r>
    </w:p>
    <w:p>
      <w:pPr>
        <w:pStyle w:val="Cuerpodetexto"/>
        <w:jc w:val="both"/>
        <w:rPr>
          <w:rFonts w:ascii="Times New Roman" w:hAnsi="Times New Roman" w:cs="Times New Roman"/>
          <w:sz w:val="24"/>
          <w:lang w:val="ca-ES"/>
        </w:rPr>
      </w:pPr>
      <w:r>
        <w:rPr>
          <w:rFonts w:cs="Times New Roman" w:ascii="Times New Roman" w:hAnsi="Times New Roman"/>
          <w:sz w:val="24"/>
          <w:lang w:val="ca-ES"/>
        </w:rPr>
        <w:t>-Solicitud de ayudas conforme al Modelo Y anexo en las bases de la convocatoria.</w:t>
      </w:r>
    </w:p>
    <w:p>
      <w:pPr>
        <w:pStyle w:val="Cuerpodetexto"/>
        <w:jc w:val="both"/>
        <w:rPr>
          <w:rFonts w:ascii="Times New Roman" w:hAnsi="Times New Roman" w:cs="Times New Roman"/>
          <w:sz w:val="24"/>
          <w:lang w:val="ca-ES"/>
        </w:rPr>
      </w:pPr>
      <w:r>
        <w:rPr>
          <w:rFonts w:cs="Times New Roman" w:ascii="Times New Roman" w:hAnsi="Times New Roman"/>
          <w:sz w:val="24"/>
          <w:lang w:val="ca-ES"/>
        </w:rPr>
        <w:t>- Original y fotocopia o fotocopias compulsadas  del D.N.Y del solicitante o Anido de las madres/paras o tutora y tutoras del alumnado, siempre que no consto en poder del Ayuntamiento. Si el ejercicio anterior ya se presentó este documento, no habrá que aportarlo de nuevo siempre y cuando no haya caducado.</w:t>
      </w:r>
    </w:p>
    <w:p>
      <w:pPr>
        <w:pStyle w:val="Cuerpodetexto"/>
        <w:jc w:val="both"/>
        <w:rPr>
          <w:rFonts w:ascii="Times New Roman" w:hAnsi="Times New Roman" w:cs="Times New Roman"/>
          <w:sz w:val="24"/>
          <w:lang w:val="ca-ES"/>
        </w:rPr>
      </w:pPr>
      <w:r>
        <w:rPr>
          <w:rFonts w:cs="Times New Roman" w:ascii="Times New Roman" w:hAnsi="Times New Roman"/>
          <w:sz w:val="24"/>
          <w:lang w:val="ca-ES"/>
        </w:rPr>
        <w:t>- Original y fotocopia o fotocopias compulsadas del libro de familia donde constan todas las personas componentes. En el caso de no tener el libro de familia se aportará las certificados de nacimiento del las/los menores. Si el ejercicio anterior ya se presentó este documento, no habrá que aportarlo de nuevo.</w:t>
      </w:r>
    </w:p>
    <w:p>
      <w:pPr>
        <w:pStyle w:val="Cuerpodetexto"/>
        <w:jc w:val="both"/>
        <w:rPr>
          <w:rFonts w:ascii="Times New Roman" w:hAnsi="Times New Roman" w:cs="Times New Roman"/>
          <w:sz w:val="24"/>
          <w:lang w:val="ca-ES"/>
        </w:rPr>
      </w:pPr>
      <w:r>
        <w:rPr>
          <w:rFonts w:cs="Times New Roman" w:ascii="Times New Roman" w:hAnsi="Times New Roman"/>
          <w:sz w:val="24"/>
          <w:lang w:val="ca-ES"/>
        </w:rPr>
        <w:t>- en el caso de separación o cualquier otra causa legal , se procederá a la presentación de la sentencia judicial  y/o convenio regulador a efectos de saber a qué persona se se procede al pago. Si el ejercicio anterior ya se presentó este documento, no habrá que aportarlo de nuevo, siempre y cuando no haya sido modificado.</w:t>
      </w:r>
    </w:p>
    <w:p>
      <w:pPr>
        <w:pStyle w:val="Cuerpodetexto"/>
        <w:jc w:val="both"/>
        <w:rPr>
          <w:rFonts w:ascii="Times New Roman" w:hAnsi="Times New Roman" w:cs="Times New Roman"/>
          <w:sz w:val="24"/>
          <w:lang w:val="ca-ES"/>
        </w:rPr>
      </w:pPr>
      <w:r>
        <w:rPr>
          <w:rFonts w:cs="Times New Roman" w:ascii="Times New Roman" w:hAnsi="Times New Roman"/>
          <w:sz w:val="24"/>
          <w:lang w:val="ca-ES"/>
        </w:rPr>
        <w:t>- Certificado del centro educativo donde consto la matriculación del o de la solicitante en alguno del cursos de primaria o de educación infantil segundo ciclo.</w:t>
      </w:r>
    </w:p>
    <w:p>
      <w:pPr>
        <w:pStyle w:val="Cuerpodetexto"/>
        <w:jc w:val="both"/>
        <w:rPr>
          <w:rFonts w:ascii="Times New Roman" w:hAnsi="Times New Roman" w:cs="Times New Roman"/>
          <w:sz w:val="24"/>
          <w:lang w:val="ca-ES"/>
        </w:rPr>
      </w:pPr>
      <w:r>
        <w:rPr>
          <w:rFonts w:cs="Times New Roman" w:ascii="Times New Roman" w:hAnsi="Times New Roman"/>
          <w:sz w:val="24"/>
          <w:lang w:val="ca-ES"/>
        </w:rPr>
        <w:t>- Factura justificativa, original o copia compulsada , en la que hay que constar la denominación de la persona proveedora, su NIF, fecha y concepto del gasto, con IVA.</w:t>
      </w:r>
    </w:p>
    <w:p>
      <w:pPr>
        <w:pStyle w:val="Cuerpodetexto"/>
        <w:jc w:val="both"/>
        <w:rPr>
          <w:rFonts w:ascii="Times New Roman" w:hAnsi="Times New Roman" w:cs="Times New Roman"/>
          <w:sz w:val="24"/>
          <w:lang w:val="ca-ES"/>
        </w:rPr>
      </w:pPr>
      <w:r>
        <w:rPr>
          <w:rFonts w:cs="Times New Roman" w:ascii="Times New Roman" w:hAnsi="Times New Roman"/>
          <w:sz w:val="24"/>
          <w:lang w:val="ca-ES"/>
        </w:rPr>
        <w:t>- Documentación acreditativa del pago, mediante transferencia bancaria, cheque nominativo, tarjeta bancaria o en efectivo: se justificará mediante factura o *recibí firmado por la persona *acreedora con identificación de la fecha de abono. Estos documentos se presentarán originales o copias compulsadas de los mismos.</w:t>
      </w:r>
    </w:p>
    <w:p>
      <w:pPr>
        <w:pStyle w:val="Cuerpodetexto"/>
        <w:jc w:val="both"/>
        <w:rPr>
          <w:rFonts w:ascii="Times New Roman" w:hAnsi="Times New Roman" w:cs="Times New Roman"/>
          <w:sz w:val="24"/>
          <w:lang w:val="ca-ES"/>
        </w:rPr>
      </w:pPr>
      <w:r>
        <w:rPr>
          <w:rFonts w:cs="Times New Roman" w:ascii="Times New Roman" w:hAnsi="Times New Roman"/>
          <w:sz w:val="24"/>
          <w:lang w:val="ca-ES"/>
        </w:rPr>
        <w:t>-Declaración responsable firmada por las personas progenitoras o tutores que se adjunta ala solicitud</w:t>
      </w:r>
    </w:p>
    <w:p>
      <w:pPr>
        <w:pStyle w:val="Cuerpodetexto"/>
        <w:jc w:val="both"/>
        <w:rPr/>
      </w:pPr>
      <w:r>
        <w:rPr>
          <w:rFonts w:eastAsia="Times New Roman" w:cs="Times New Roman" w:ascii="Times New Roman" w:hAnsi="Times New Roman"/>
          <w:sz w:val="24"/>
          <w:lang w:val="ca-ES"/>
        </w:rPr>
        <w:t xml:space="preserve"> </w:t>
      </w:r>
      <w:r>
        <w:rPr>
          <w:rFonts w:cs="Times New Roman" w:ascii="Times New Roman" w:hAnsi="Times New Roman"/>
          <w:sz w:val="24"/>
          <w:lang w:val="ca-ES"/>
        </w:rPr>
        <w:t xml:space="preserve">- Declaración de la renta correspondiente en 2020. </w:t>
      </w:r>
    </w:p>
    <w:p>
      <w:pPr>
        <w:pStyle w:val="Normal"/>
        <w:spacing w:before="0" w:after="120"/>
        <w:jc w:val="both"/>
        <w:rPr/>
      </w:pPr>
      <w:r>
        <w:rPr>
          <w:rFonts w:cs="Times New Roman" w:ascii="Times New Roman" w:hAnsi="Times New Roman"/>
          <w:b/>
          <w:sz w:val="24"/>
          <w:lang w:val="ca-ES-valencia" w:eastAsia="es-ES"/>
        </w:rPr>
        <w:t xml:space="preserve">8. </w:t>
      </w:r>
      <w:r>
        <w:rPr>
          <w:rFonts w:cs="Times New Roman" w:ascii="Times New Roman" w:hAnsi="Times New Roman"/>
          <w:b/>
          <w:sz w:val="24"/>
          <w:u w:val="single"/>
          <w:lang w:val="ca-ES-valencia" w:eastAsia="es-ES"/>
        </w:rPr>
        <w:t>Criterios de Valoración de Solicitudes</w:t>
      </w:r>
    </w:p>
    <w:p>
      <w:pPr>
        <w:pStyle w:val="Normal"/>
        <w:spacing w:before="0" w:after="120"/>
        <w:jc w:val="both"/>
        <w:rPr>
          <w:rFonts w:ascii="Times New Roman" w:hAnsi="Times New Roman" w:cs="Times New Roman"/>
          <w:sz w:val="24"/>
          <w:lang w:eastAsia="es-ES"/>
        </w:rPr>
      </w:pPr>
      <w:r>
        <w:rPr>
          <w:rFonts w:cs="Times New Roman" w:ascii="Times New Roman" w:hAnsi="Times New Roman"/>
          <w:sz w:val="24"/>
          <w:lang w:eastAsia="es-ES"/>
        </w:rPr>
        <w:t> </w:t>
      </w:r>
    </w:p>
    <w:p>
      <w:pPr>
        <w:pStyle w:val="Normal"/>
        <w:spacing w:before="0" w:after="120"/>
        <w:jc w:val="both"/>
        <w:rPr>
          <w:rFonts w:ascii="Times New Roman" w:hAnsi="Times New Roman" w:cs="Times New Roman"/>
          <w:sz w:val="24"/>
          <w:lang w:val="ca-ES-valencia" w:eastAsia="es-ES"/>
        </w:rPr>
      </w:pPr>
      <w:r>
        <w:rPr>
          <w:rFonts w:cs="Times New Roman" w:ascii="Times New Roman" w:hAnsi="Times New Roman"/>
          <w:sz w:val="24"/>
          <w:lang w:val="ca-ES-valencia" w:eastAsia="es-ES"/>
        </w:rPr>
        <w:t>La cuantía máxima que recibirá el beneficiario será de 25 euros y se distribuirán de la *segúent manera:</w:t>
      </w:r>
    </w:p>
    <w:p>
      <w:pPr>
        <w:pStyle w:val="Cuerpodetexto"/>
        <w:jc w:val="both"/>
        <w:rPr>
          <w:rFonts w:ascii="Times New Roman" w:hAnsi="Times New Roman" w:cs="Times New Roman"/>
          <w:sz w:val="24"/>
          <w:u w:val="single"/>
          <w:lang w:eastAsia="es-ES"/>
        </w:rPr>
      </w:pPr>
      <w:r>
        <w:rPr>
          <w:rFonts w:cs="Times New Roman" w:ascii="Times New Roman" w:hAnsi="Times New Roman"/>
          <w:sz w:val="24"/>
          <w:u w:val="single"/>
          <w:lang w:eastAsia="es-ES"/>
        </w:rPr>
      </w:r>
    </w:p>
    <w:p>
      <w:pPr>
        <w:pStyle w:val="Cuerpodetexto"/>
        <w:jc w:val="both"/>
        <w:rPr>
          <w:rFonts w:ascii="Times New Roman" w:hAnsi="Times New Roman" w:cs="Times New Roman"/>
          <w:sz w:val="24"/>
          <w:u w:val="single"/>
        </w:rPr>
      </w:pPr>
      <w:r>
        <w:rPr>
          <w:rFonts w:cs="Times New Roman" w:ascii="Times New Roman" w:hAnsi="Times New Roman"/>
          <w:sz w:val="24"/>
          <w:u w:val="single"/>
        </w:rPr>
        <w:t>*Tabla de baremación en atención a lava per capita</w:t>
      </w:r>
    </w:p>
    <w:p>
      <w:pPr>
        <w:pStyle w:val="Cuerpodetexto"/>
        <w:jc w:val="both"/>
        <w:rPr>
          <w:rFonts w:ascii="Times New Roman" w:hAnsi="Times New Roman" w:cs="Times New Roman"/>
          <w:sz w:val="24"/>
          <w:u w:val="single"/>
        </w:rPr>
      </w:pPr>
      <w:r>
        <w:rPr>
          <w:rFonts w:cs="Times New Roman" w:ascii="Times New Roman" w:hAnsi="Times New Roman"/>
          <w:sz w:val="24"/>
          <w:u w:val="single"/>
        </w:rPr>
      </w:r>
    </w:p>
    <w:tbl>
      <w:tblPr>
        <w:tblW w:w="7962" w:type="dxa"/>
        <w:jc w:val="left"/>
        <w:tblInd w:w="-11" w:type="dxa"/>
        <w:tblLayout w:type="fixed"/>
        <w:tblCellMar>
          <w:top w:w="28" w:type="dxa"/>
          <w:left w:w="28" w:type="dxa"/>
          <w:bottom w:w="28" w:type="dxa"/>
          <w:right w:w="28" w:type="dxa"/>
        </w:tblCellMar>
      </w:tblPr>
      <w:tblGrid>
        <w:gridCol w:w="3685"/>
        <w:gridCol w:w="4276"/>
      </w:tblGrid>
      <w:tr>
        <w:trPr/>
        <w:tc>
          <w:tcPr>
            <w:tcW w:w="3685" w:type="dxa"/>
            <w:tcBorders>
              <w:top w:val="single" w:sz="8" w:space="0" w:color="000000"/>
              <w:left w:val="single" w:sz="8" w:space="0" w:color="000000"/>
              <w:bottom w:val="single" w:sz="8" w:space="0" w:color="000000"/>
            </w:tcBorders>
          </w:tcPr>
          <w:p>
            <w:pPr>
              <w:pStyle w:val="Contenidodelatabla"/>
              <w:widowControl w:val="false"/>
              <w:spacing w:before="0" w:after="283"/>
              <w:jc w:val="both"/>
              <w:rPr>
                <w:rFonts w:ascii="Times New Roman" w:hAnsi="Times New Roman" w:cs="Times New Roman"/>
                <w:b/>
                <w:b/>
                <w:sz w:val="24"/>
                <w:lang w:val="ca-ES-valencia"/>
              </w:rPr>
            </w:pPr>
            <w:r>
              <w:rPr>
                <w:rFonts w:cs="Times New Roman" w:ascii="Times New Roman" w:hAnsi="Times New Roman"/>
                <w:b/>
                <w:sz w:val="24"/>
                <w:lang w:val="ca-ES-valencia"/>
              </w:rPr>
              <w:t>Lava per capita en euros</w:t>
            </w:r>
          </w:p>
        </w:tc>
        <w:tc>
          <w:tcPr>
            <w:tcW w:w="4276" w:type="dxa"/>
            <w:tcBorders>
              <w:top w:val="single" w:sz="8" w:space="0" w:color="000000"/>
              <w:left w:val="single" w:sz="8" w:space="0" w:color="000000"/>
              <w:bottom w:val="single" w:sz="8" w:space="0" w:color="000000"/>
              <w:right w:val="single" w:sz="8" w:space="0" w:color="000000"/>
            </w:tcBorders>
          </w:tcPr>
          <w:p>
            <w:pPr>
              <w:pStyle w:val="Contenidodelatabla"/>
              <w:widowControl w:val="false"/>
              <w:spacing w:before="0" w:after="283"/>
              <w:jc w:val="both"/>
              <w:rPr/>
            </w:pPr>
            <w:r>
              <w:rPr>
                <w:rFonts w:cs="Times New Roman" w:ascii="Times New Roman" w:hAnsi="Times New Roman"/>
                <w:sz w:val="24"/>
              </w:rPr>
              <w:t> </w:t>
            </w:r>
            <w:r>
              <w:rPr>
                <w:rFonts w:cs="Times New Roman" w:ascii="Times New Roman" w:hAnsi="Times New Roman"/>
                <w:b/>
                <w:sz w:val="24"/>
                <w:lang w:val="ca-ES-valencia"/>
              </w:rPr>
              <w:t>Puntuación</w:t>
            </w:r>
          </w:p>
        </w:tc>
      </w:tr>
      <w:tr>
        <w:trPr/>
        <w:tc>
          <w:tcPr>
            <w:tcW w:w="3685" w:type="dxa"/>
            <w:tcBorders>
              <w:left w:val="single" w:sz="8" w:space="0" w:color="000000"/>
              <w:bottom w:val="single" w:sz="8" w:space="0" w:color="000000"/>
            </w:tcBorders>
            <w:tcMar>
              <w:top w:w="0" w:type="dxa"/>
            </w:tcMar>
          </w:tcPr>
          <w:p>
            <w:pPr>
              <w:pStyle w:val="Contenidodelatabla"/>
              <w:widowControl w:val="false"/>
              <w:spacing w:before="0" w:after="283"/>
              <w:jc w:val="both"/>
              <w:rPr>
                <w:rFonts w:ascii="Times New Roman" w:hAnsi="Times New Roman" w:cs="Times New Roman"/>
                <w:sz w:val="24"/>
              </w:rPr>
            </w:pPr>
            <w:r>
              <w:rPr>
                <w:rFonts w:cs="Times New Roman" w:ascii="Times New Roman" w:hAnsi="Times New Roman"/>
                <w:sz w:val="24"/>
              </w:rPr>
              <w:t>0 a 3.005,00€</w:t>
            </w:r>
          </w:p>
        </w:tc>
        <w:tc>
          <w:tcPr>
            <w:tcW w:w="4276" w:type="dxa"/>
            <w:tcBorders>
              <w:left w:val="single" w:sz="8" w:space="0" w:color="000000"/>
              <w:bottom w:val="single" w:sz="8" w:space="0" w:color="000000"/>
              <w:right w:val="single" w:sz="8" w:space="0" w:color="000000"/>
            </w:tcBorders>
            <w:tcMar>
              <w:top w:w="0" w:type="dxa"/>
            </w:tcMar>
          </w:tcPr>
          <w:p>
            <w:pPr>
              <w:pStyle w:val="Contenidodelatabla"/>
              <w:widowControl w:val="false"/>
              <w:spacing w:before="0" w:after="283"/>
              <w:jc w:val="both"/>
              <w:rPr>
                <w:rFonts w:ascii="Times New Roman" w:hAnsi="Times New Roman" w:cs="Times New Roman"/>
                <w:sz w:val="24"/>
              </w:rPr>
            </w:pPr>
            <w:r>
              <w:rPr>
                <w:rFonts w:cs="Times New Roman" w:ascii="Times New Roman" w:hAnsi="Times New Roman"/>
                <w:sz w:val="24"/>
              </w:rPr>
              <w:t>4 puntos</w:t>
            </w:r>
          </w:p>
        </w:tc>
      </w:tr>
      <w:tr>
        <w:trPr/>
        <w:tc>
          <w:tcPr>
            <w:tcW w:w="3685" w:type="dxa"/>
            <w:tcBorders>
              <w:left w:val="single" w:sz="8" w:space="0" w:color="000000"/>
              <w:bottom w:val="single" w:sz="8" w:space="0" w:color="000000"/>
            </w:tcBorders>
            <w:tcMar>
              <w:top w:w="0" w:type="dxa"/>
            </w:tcMar>
          </w:tcPr>
          <w:p>
            <w:pPr>
              <w:pStyle w:val="Contenidodelatabla"/>
              <w:widowControl w:val="false"/>
              <w:spacing w:before="0" w:after="283"/>
              <w:jc w:val="both"/>
              <w:rPr>
                <w:rFonts w:ascii="Times New Roman" w:hAnsi="Times New Roman" w:cs="Times New Roman"/>
                <w:sz w:val="24"/>
              </w:rPr>
            </w:pPr>
            <w:r>
              <w:rPr>
                <w:rFonts w:cs="Times New Roman" w:ascii="Times New Roman" w:hAnsi="Times New Roman"/>
                <w:sz w:val="24"/>
              </w:rPr>
              <w:t xml:space="preserve">De 3.006 € a 4.207 € </w:t>
            </w:r>
          </w:p>
        </w:tc>
        <w:tc>
          <w:tcPr>
            <w:tcW w:w="4276" w:type="dxa"/>
            <w:tcBorders>
              <w:left w:val="single" w:sz="8" w:space="0" w:color="000000"/>
              <w:bottom w:val="single" w:sz="8" w:space="0" w:color="000000"/>
              <w:right w:val="single" w:sz="8" w:space="0" w:color="000000"/>
            </w:tcBorders>
            <w:tcMar>
              <w:top w:w="0" w:type="dxa"/>
            </w:tcMar>
          </w:tcPr>
          <w:p>
            <w:pPr>
              <w:pStyle w:val="Contenidodelatabla"/>
              <w:widowControl w:val="false"/>
              <w:spacing w:before="0" w:after="283"/>
              <w:jc w:val="both"/>
              <w:rPr>
                <w:rFonts w:ascii="Times New Roman" w:hAnsi="Times New Roman" w:cs="Times New Roman"/>
                <w:sz w:val="24"/>
              </w:rPr>
            </w:pPr>
            <w:r>
              <w:rPr>
                <w:rFonts w:cs="Times New Roman" w:ascii="Times New Roman" w:hAnsi="Times New Roman"/>
                <w:sz w:val="24"/>
              </w:rPr>
              <w:t>3 puntos</w:t>
            </w:r>
          </w:p>
        </w:tc>
      </w:tr>
      <w:tr>
        <w:trPr/>
        <w:tc>
          <w:tcPr>
            <w:tcW w:w="3685" w:type="dxa"/>
            <w:tcBorders>
              <w:left w:val="single" w:sz="8" w:space="0" w:color="000000"/>
              <w:bottom w:val="single" w:sz="8" w:space="0" w:color="000000"/>
            </w:tcBorders>
            <w:tcMar>
              <w:top w:w="0" w:type="dxa"/>
            </w:tcMar>
          </w:tcPr>
          <w:p>
            <w:pPr>
              <w:pStyle w:val="Contenidodelatabla"/>
              <w:widowControl w:val="false"/>
              <w:spacing w:before="0" w:after="283"/>
              <w:jc w:val="both"/>
              <w:rPr>
                <w:rFonts w:ascii="Times New Roman" w:hAnsi="Times New Roman" w:cs="Times New Roman"/>
                <w:sz w:val="24"/>
              </w:rPr>
            </w:pPr>
            <w:r>
              <w:rPr>
                <w:rFonts w:cs="Times New Roman" w:ascii="Times New Roman" w:hAnsi="Times New Roman"/>
                <w:sz w:val="24"/>
              </w:rPr>
              <w:t>De 4.208 € a 4.808 €</w:t>
            </w:r>
          </w:p>
        </w:tc>
        <w:tc>
          <w:tcPr>
            <w:tcW w:w="4276" w:type="dxa"/>
            <w:tcBorders>
              <w:left w:val="single" w:sz="8" w:space="0" w:color="000000"/>
              <w:bottom w:val="single" w:sz="8" w:space="0" w:color="000000"/>
              <w:right w:val="single" w:sz="8" w:space="0" w:color="000000"/>
            </w:tcBorders>
            <w:tcMar>
              <w:top w:w="0" w:type="dxa"/>
            </w:tcMar>
          </w:tcPr>
          <w:p>
            <w:pPr>
              <w:pStyle w:val="Contenidodelatabla"/>
              <w:widowControl w:val="false"/>
              <w:spacing w:before="0" w:after="283"/>
              <w:jc w:val="both"/>
              <w:rPr>
                <w:rFonts w:ascii="Times New Roman" w:hAnsi="Times New Roman" w:cs="Times New Roman"/>
                <w:sz w:val="24"/>
              </w:rPr>
            </w:pPr>
            <w:r>
              <w:rPr>
                <w:rFonts w:cs="Times New Roman" w:ascii="Times New Roman" w:hAnsi="Times New Roman"/>
                <w:sz w:val="24"/>
              </w:rPr>
              <w:t xml:space="preserve">2 puntos </w:t>
            </w:r>
          </w:p>
        </w:tc>
      </w:tr>
      <w:tr>
        <w:trPr/>
        <w:tc>
          <w:tcPr>
            <w:tcW w:w="3685" w:type="dxa"/>
            <w:tcBorders>
              <w:left w:val="single" w:sz="8" w:space="0" w:color="000000"/>
              <w:bottom w:val="single" w:sz="8" w:space="0" w:color="000000"/>
            </w:tcBorders>
            <w:tcMar>
              <w:top w:w="0" w:type="dxa"/>
            </w:tcMar>
          </w:tcPr>
          <w:p>
            <w:pPr>
              <w:pStyle w:val="Contenidodelatabla"/>
              <w:widowControl w:val="false"/>
              <w:spacing w:before="0" w:after="283"/>
              <w:jc w:val="both"/>
              <w:rPr/>
            </w:pPr>
            <w:r>
              <w:rPr>
                <w:rFonts w:eastAsia="Times New Roman" w:cs="Times New Roman" w:ascii="Times New Roman" w:hAnsi="Times New Roman"/>
                <w:sz w:val="24"/>
              </w:rPr>
              <w:t xml:space="preserve"> </w:t>
            </w:r>
            <w:r>
              <w:rPr>
                <w:rFonts w:cs="Times New Roman" w:ascii="Times New Roman" w:hAnsi="Times New Roman"/>
                <w:sz w:val="24"/>
              </w:rPr>
              <w:t xml:space="preserve">Más de 4.809 € </w:t>
            </w:r>
          </w:p>
        </w:tc>
        <w:tc>
          <w:tcPr>
            <w:tcW w:w="4276" w:type="dxa"/>
            <w:tcBorders>
              <w:left w:val="single" w:sz="8" w:space="0" w:color="000000"/>
              <w:bottom w:val="single" w:sz="8" w:space="0" w:color="000000"/>
              <w:right w:val="single" w:sz="8" w:space="0" w:color="000000"/>
            </w:tcBorders>
            <w:tcMar>
              <w:top w:w="0" w:type="dxa"/>
            </w:tcMar>
          </w:tcPr>
          <w:p>
            <w:pPr>
              <w:pStyle w:val="Contenidodelatabla"/>
              <w:widowControl w:val="false"/>
              <w:spacing w:before="0" w:after="283"/>
              <w:jc w:val="both"/>
              <w:rPr>
                <w:rFonts w:ascii="Times New Roman" w:hAnsi="Times New Roman" w:cs="Times New Roman"/>
                <w:sz w:val="24"/>
              </w:rPr>
            </w:pPr>
            <w:r>
              <w:rPr>
                <w:rFonts w:cs="Times New Roman" w:ascii="Times New Roman" w:hAnsi="Times New Roman"/>
                <w:sz w:val="24"/>
              </w:rPr>
              <w:t>1 punto</w:t>
            </w:r>
          </w:p>
        </w:tc>
      </w:tr>
    </w:tbl>
    <w:p>
      <w:pPr>
        <w:pStyle w:val="Cuerpodetexto"/>
        <w:jc w:val="both"/>
        <w:rPr>
          <w:rFonts w:ascii="Times New Roman" w:hAnsi="Times New Roman" w:cs="Times New Roman"/>
          <w:sz w:val="24"/>
        </w:rPr>
      </w:pPr>
      <w:r>
        <w:rPr>
          <w:rFonts w:cs="Times New Roman" w:ascii="Times New Roman" w:hAnsi="Times New Roman"/>
          <w:sz w:val="24"/>
        </w:rPr>
      </w:r>
    </w:p>
    <w:p>
      <w:pPr>
        <w:pStyle w:val="Cuerpodetexto"/>
        <w:jc w:val="both"/>
        <w:rPr>
          <w:rFonts w:ascii="Times New Roman" w:hAnsi="Times New Roman" w:cs="Times New Roman"/>
          <w:sz w:val="24"/>
        </w:rPr>
      </w:pPr>
      <w:r>
        <w:rPr>
          <w:rFonts w:cs="Times New Roman" w:ascii="Times New Roman" w:hAnsi="Times New Roman"/>
          <w:sz w:val="24"/>
        </w:rPr>
      </w:r>
    </w:p>
    <w:p>
      <w:pPr>
        <w:pStyle w:val="Cuerpodetexto"/>
        <w:jc w:val="both"/>
        <w:rPr>
          <w:rFonts w:ascii="Times New Roman" w:hAnsi="Times New Roman" w:cs="Times New Roman"/>
          <w:b/>
          <w:b/>
          <w:sz w:val="24"/>
          <w:u w:val="single"/>
        </w:rPr>
      </w:pPr>
      <w:r>
        <w:rPr>
          <w:rFonts w:cs="Times New Roman" w:ascii="Times New Roman" w:hAnsi="Times New Roman"/>
          <w:b/>
          <w:sz w:val="24"/>
          <w:u w:val="single"/>
        </w:rPr>
        <w:t xml:space="preserve">Con la obtención de un punto ya se tendrá derecho a la obtención del 100% de la ayuda. </w:t>
      </w:r>
    </w:p>
    <w:p>
      <w:pPr>
        <w:pStyle w:val="Cuerpodetexto"/>
        <w:jc w:val="both"/>
        <w:rPr>
          <w:rFonts w:ascii="Times New Roman" w:hAnsi="Times New Roman" w:cs="Times New Roman"/>
          <w:b/>
          <w:b/>
          <w:sz w:val="24"/>
          <w:u w:val="single"/>
        </w:rPr>
      </w:pPr>
      <w:r>
        <w:rPr>
          <w:rFonts w:cs="Times New Roman" w:ascii="Times New Roman" w:hAnsi="Times New Roman"/>
          <w:b/>
          <w:sz w:val="24"/>
          <w:u w:val="single"/>
        </w:rPr>
      </w:r>
    </w:p>
    <w:p>
      <w:pPr>
        <w:pStyle w:val="Cuerpodetexto"/>
        <w:jc w:val="both"/>
        <w:rPr/>
      </w:pPr>
      <w:r>
        <w:rPr>
          <w:rFonts w:cs="Times New Roman" w:ascii="Times New Roman" w:hAnsi="Times New Roman"/>
          <w:sz w:val="24"/>
        </w:rPr>
        <w:t> </w:t>
      </w:r>
      <w:r>
        <w:rPr>
          <w:rFonts w:cs="Times New Roman" w:ascii="Times New Roman" w:hAnsi="Times New Roman"/>
          <w:b/>
          <w:sz w:val="24"/>
          <w:lang w:val="ca-ES-valencia"/>
        </w:rPr>
        <w:t xml:space="preserve">9. </w:t>
      </w:r>
      <w:r>
        <w:rPr>
          <w:rFonts w:cs="Times New Roman" w:ascii="Times New Roman" w:hAnsi="Times New Roman"/>
          <w:b/>
          <w:sz w:val="24"/>
          <w:u w:val="single"/>
          <w:lang w:val="ca-ES-valencia"/>
        </w:rPr>
        <w:t>Plazo de Resolución y Notificación</w:t>
      </w:r>
    </w:p>
    <w:p>
      <w:pPr>
        <w:pStyle w:val="Cuerpodetexto"/>
        <w:rPr/>
      </w:pPr>
      <w:r>
        <w:rPr>
          <w:rFonts w:cs="Times New Roman" w:ascii="Times New Roman" w:hAnsi="Times New Roman"/>
          <w:sz w:val="32"/>
        </w:rPr>
        <w:t> </w:t>
      </w:r>
      <w:r>
        <w:rPr>
          <w:rFonts w:cs="Times New Roman" w:ascii="Times New Roman" w:hAnsi="Times New Roman"/>
          <w:sz w:val="24"/>
        </w:rPr>
        <w:t>La instrucción del expediente y la propuesta de resolución *será realizada por una comisión *evaluadora formada *epr miembros corporativos y personal del Ayuntamiento. *Estará formada por</w:t>
      </w:r>
    </w:p>
    <w:p>
      <w:pPr>
        <w:pStyle w:val="Normal"/>
        <w:spacing w:before="0" w:after="120"/>
        <w:rPr>
          <w:rFonts w:ascii="Times New Roman" w:hAnsi="Times New Roman" w:cs="Times New Roman"/>
          <w:sz w:val="24"/>
          <w:lang w:val="ca-ES" w:eastAsia="es-ES"/>
        </w:rPr>
      </w:pPr>
      <w:r>
        <w:rPr>
          <w:rFonts w:cs="Times New Roman" w:ascii="Times New Roman" w:hAnsi="Times New Roman"/>
          <w:sz w:val="24"/>
          <w:lang w:val="ca-ES" w:eastAsia="es-ES"/>
        </w:rPr>
        <w:t>-Presidente: El Alcalde o regidor en quien delega.</w:t>
      </w:r>
    </w:p>
    <w:p>
      <w:pPr>
        <w:pStyle w:val="Normal"/>
        <w:spacing w:before="0" w:after="120"/>
        <w:rPr>
          <w:rFonts w:ascii="Times New Roman" w:hAnsi="Times New Roman" w:cs="Times New Roman"/>
          <w:sz w:val="24"/>
          <w:lang w:val="ca-ES" w:eastAsia="es-ES"/>
        </w:rPr>
      </w:pPr>
      <w:r>
        <w:rPr>
          <w:rFonts w:cs="Times New Roman" w:ascii="Times New Roman" w:hAnsi="Times New Roman"/>
          <w:sz w:val="24"/>
          <w:lang w:val="ca-ES" w:eastAsia="es-ES"/>
        </w:rPr>
        <w:t>-Secretaria: La del Ayuntamiento o funcionario en quien delega.</w:t>
      </w:r>
    </w:p>
    <w:p>
      <w:pPr>
        <w:pStyle w:val="Normal"/>
        <w:spacing w:before="0" w:after="120"/>
        <w:rPr>
          <w:rFonts w:ascii="Times New Roman" w:hAnsi="Times New Roman" w:cs="Times New Roman"/>
          <w:sz w:val="24"/>
          <w:lang w:val="ca-ES" w:eastAsia="es-ES"/>
        </w:rPr>
      </w:pPr>
      <w:r>
        <w:rPr>
          <w:rFonts w:cs="Times New Roman" w:ascii="Times New Roman" w:hAnsi="Times New Roman"/>
          <w:sz w:val="24"/>
          <w:lang w:val="ca-ES" w:eastAsia="es-ES"/>
        </w:rPr>
        <w:t>-2 vocales, La Regidora de Educación y el resto de vocales nombrados de entre el personal funcionario del Ayuntamiento.</w:t>
      </w:r>
    </w:p>
    <w:p>
      <w:pPr>
        <w:pStyle w:val="Normal"/>
        <w:spacing w:before="0" w:after="120"/>
        <w:rPr/>
      </w:pPr>
      <w:r>
        <w:rPr>
          <w:rFonts w:cs="Times New Roman" w:ascii="Times New Roman" w:hAnsi="Times New Roman"/>
          <w:sz w:val="24"/>
          <w:lang w:eastAsia="es-ES"/>
        </w:rPr>
        <w:t>        </w:t>
      </w:r>
      <w:r>
        <w:rPr>
          <w:rFonts w:eastAsia="Times New Roman" w:cs="Times New Roman" w:ascii="Times New Roman" w:hAnsi="Times New Roman"/>
          <w:sz w:val="24"/>
          <w:lang w:eastAsia="es-ES"/>
        </w:rPr>
        <w:t xml:space="preserve"> </w:t>
      </w:r>
      <w:r>
        <w:rPr>
          <w:rFonts w:cs="Times New Roman" w:ascii="Times New Roman" w:hAnsi="Times New Roman"/>
          <w:sz w:val="24"/>
          <w:lang w:val="ca-ES" w:eastAsia="es-ES"/>
        </w:rPr>
        <w:t>Una vez aprobadas las listas provisionales de solicitudes, se harán públicas en el tablón de anuncios del Ayuntamiento, así como en la página web municipal.</w:t>
      </w:r>
    </w:p>
    <w:p>
      <w:pPr>
        <w:pStyle w:val="Normal"/>
        <w:spacing w:before="0" w:after="120"/>
        <w:rPr/>
      </w:pPr>
      <w:r>
        <w:rPr>
          <w:rFonts w:cs="Times New Roman" w:ascii="Times New Roman" w:hAnsi="Times New Roman"/>
          <w:sz w:val="24"/>
          <w:lang w:eastAsia="es-ES"/>
        </w:rPr>
        <w:t>        </w:t>
      </w:r>
      <w:r>
        <w:rPr>
          <w:rFonts w:eastAsia="Times New Roman" w:cs="Times New Roman" w:ascii="Times New Roman" w:hAnsi="Times New Roman"/>
          <w:sz w:val="24"/>
          <w:lang w:eastAsia="es-ES"/>
        </w:rPr>
        <w:t xml:space="preserve"> </w:t>
      </w:r>
      <w:r>
        <w:rPr>
          <w:rFonts w:cs="Times New Roman" w:ascii="Times New Roman" w:hAnsi="Times New Roman"/>
          <w:sz w:val="24"/>
          <w:lang w:val="ca-ES" w:eastAsia="es-ES"/>
        </w:rPr>
        <w:t>Publicados estos listados provisionales de solicitudes, los interesados tendrán un plazo de 3 días hábiles, explicados a partir del día siguiente de la exposición pública, para enmendar los defectos observados y presentar las reclamaciones oportunas, mediante registro de entrada del Ayuntamiento.</w:t>
      </w:r>
    </w:p>
    <w:p>
      <w:pPr>
        <w:pStyle w:val="Normal"/>
        <w:spacing w:before="0" w:after="120"/>
        <w:jc w:val="both"/>
        <w:rPr>
          <w:rFonts w:ascii="Times New Roman" w:hAnsi="Times New Roman" w:cs="Times New Roman"/>
          <w:sz w:val="24"/>
          <w:lang w:val="ca-ES" w:eastAsia="es-ES"/>
        </w:rPr>
      </w:pPr>
      <w:r>
        <w:rPr>
          <w:rFonts w:cs="Times New Roman" w:ascii="Times New Roman" w:hAnsi="Times New Roman"/>
          <w:sz w:val="24"/>
          <w:lang w:val="ca-ES" w:eastAsia="es-ES"/>
        </w:rPr>
      </w:r>
    </w:p>
    <w:p>
      <w:pPr>
        <w:pStyle w:val="Normal"/>
        <w:spacing w:before="0" w:after="120"/>
        <w:jc w:val="both"/>
        <w:rPr>
          <w:rFonts w:ascii="Times New Roman" w:hAnsi="Times New Roman" w:cs="Times New Roman"/>
          <w:sz w:val="24"/>
          <w:lang w:val="ca-ES" w:eastAsia="es-ES"/>
        </w:rPr>
      </w:pPr>
      <w:r>
        <w:rPr>
          <w:rFonts w:cs="Times New Roman" w:ascii="Times New Roman" w:hAnsi="Times New Roman"/>
          <w:sz w:val="24"/>
          <w:lang w:val="ca-ES" w:eastAsia="es-ES"/>
        </w:rPr>
      </w:r>
    </w:p>
    <w:p>
      <w:pPr>
        <w:pStyle w:val="Normal"/>
        <w:spacing w:before="0" w:after="120"/>
        <w:jc w:val="both"/>
        <w:rPr/>
      </w:pPr>
      <w:r>
        <w:rPr>
          <w:rFonts w:cs="Times New Roman" w:ascii="Times New Roman" w:hAnsi="Times New Roman"/>
          <w:sz w:val="24"/>
          <w:szCs w:val="22"/>
          <w:lang w:eastAsia="es-ES"/>
        </w:rPr>
        <w:t>        </w:t>
      </w:r>
      <w:r>
        <w:rPr>
          <w:rFonts w:eastAsia="Times New Roman" w:cs="Times New Roman" w:ascii="Times New Roman" w:hAnsi="Times New Roman"/>
          <w:sz w:val="24"/>
          <w:szCs w:val="22"/>
          <w:lang w:eastAsia="es-ES"/>
        </w:rPr>
        <w:t xml:space="preserve"> </w:t>
      </w:r>
      <w:r>
        <w:rPr>
          <w:rFonts w:cs="Times New Roman" w:ascii="Times New Roman" w:hAnsi="Times New Roman"/>
          <w:sz w:val="24"/>
          <w:szCs w:val="22"/>
          <w:lang w:val="ca-ES" w:eastAsia="es-ES"/>
        </w:rPr>
        <w:t>Finalizado el plazo para la enmienda de documentación y reclamaciones, el Órgano *Decisor, previa propuesta elevada por el Órgano Evaluador, procederá a la aprobación definitiva de las solicitudes admitidas.</w:t>
      </w:r>
    </w:p>
    <w:p>
      <w:pPr>
        <w:pStyle w:val="Normal"/>
        <w:spacing w:before="0" w:after="120"/>
        <w:jc w:val="both"/>
        <w:rPr>
          <w:rFonts w:ascii="Times New Roman" w:hAnsi="Times New Roman" w:cs="Times New Roman"/>
          <w:sz w:val="24"/>
          <w:szCs w:val="22"/>
          <w:lang w:val="ca-ES" w:eastAsia="es-ES"/>
        </w:rPr>
      </w:pPr>
      <w:r>
        <w:rPr>
          <w:rFonts w:cs="Times New Roman" w:ascii="Times New Roman" w:hAnsi="Times New Roman"/>
          <w:sz w:val="24"/>
          <w:szCs w:val="22"/>
          <w:lang w:val="ca-ES" w:eastAsia="es-ES"/>
        </w:rPr>
      </w:r>
    </w:p>
    <w:p>
      <w:pPr>
        <w:pStyle w:val="Cuerpodetexto"/>
        <w:jc w:val="both"/>
        <w:rPr>
          <w:rFonts w:ascii="Times New Roman" w:hAnsi="Times New Roman" w:cs="Times New Roman"/>
          <w:sz w:val="24"/>
          <w:lang w:val="ca-ES-valencia"/>
        </w:rPr>
      </w:pPr>
      <w:r>
        <w:rPr>
          <w:rFonts w:cs="Times New Roman" w:ascii="Times New Roman" w:hAnsi="Times New Roman"/>
          <w:sz w:val="24"/>
          <w:lang w:val="ca-ES-valencia"/>
        </w:rPr>
        <w:t>El plazo de resolución y notificación será de seis meses.</w:t>
      </w:r>
    </w:p>
    <w:p>
      <w:pPr>
        <w:pStyle w:val="Cuerpodetexto"/>
        <w:jc w:val="both"/>
        <w:rPr>
          <w:rFonts w:ascii="Times New Roman" w:hAnsi="Times New Roman" w:cs="Times New Roman"/>
          <w:sz w:val="24"/>
        </w:rPr>
      </w:pPr>
      <w:r>
        <w:rPr>
          <w:rFonts w:cs="Times New Roman" w:ascii="Times New Roman" w:hAnsi="Times New Roman"/>
          <w:sz w:val="24"/>
        </w:rPr>
        <w:t> </w:t>
      </w:r>
    </w:p>
    <w:p>
      <w:pPr>
        <w:pStyle w:val="Cuerpodetexto"/>
        <w:jc w:val="both"/>
        <w:rPr>
          <w:rFonts w:ascii="Times New Roman" w:hAnsi="Times New Roman" w:cs="Times New Roman"/>
          <w:sz w:val="24"/>
          <w:lang w:val="ca-ES-valencia"/>
        </w:rPr>
      </w:pPr>
      <w:r>
        <w:rPr>
          <w:rFonts w:cs="Times New Roman" w:ascii="Times New Roman" w:hAnsi="Times New Roman"/>
          <w:sz w:val="24"/>
          <w:lang w:val="ca-ES-valencia"/>
        </w:rPr>
        <w:t>El vencimiento del plazo máximo sin haberse notificado la resolución legitima a los interesados para entender desestimada por silencio administrativo la solicitud de concesión de la subvención.</w:t>
      </w:r>
    </w:p>
    <w:p>
      <w:pPr>
        <w:pStyle w:val="Cuerpodetexto"/>
        <w:jc w:val="both"/>
        <w:rPr>
          <w:rFonts w:ascii="Times New Roman" w:hAnsi="Times New Roman" w:cs="Times New Roman"/>
          <w:sz w:val="24"/>
        </w:rPr>
      </w:pPr>
      <w:r>
        <w:rPr>
          <w:rFonts w:cs="Times New Roman" w:ascii="Times New Roman" w:hAnsi="Times New Roman"/>
          <w:sz w:val="24"/>
        </w:rPr>
        <w:t> </w:t>
      </w:r>
    </w:p>
    <w:p>
      <w:pPr>
        <w:pStyle w:val="Cuerpodetexto"/>
        <w:jc w:val="both"/>
        <w:rPr/>
      </w:pPr>
      <w:r>
        <w:rPr>
          <w:rFonts w:cs="Times New Roman" w:ascii="Times New Roman" w:hAnsi="Times New Roman"/>
          <w:b/>
          <w:sz w:val="24"/>
          <w:lang w:val="ca-ES-valencia"/>
        </w:rPr>
        <w:t xml:space="preserve">10. </w:t>
      </w:r>
      <w:r>
        <w:rPr>
          <w:rFonts w:cs="Times New Roman" w:ascii="Times New Roman" w:hAnsi="Times New Roman"/>
          <w:b/>
          <w:sz w:val="24"/>
          <w:u w:val="single"/>
          <w:lang w:val="ca-ES-valencia"/>
        </w:rPr>
        <w:t>Requerimiento de documentación</w:t>
      </w:r>
    </w:p>
    <w:p>
      <w:pPr>
        <w:pStyle w:val="Cuerpodetexto"/>
        <w:jc w:val="both"/>
        <w:rPr>
          <w:rFonts w:ascii="Times New Roman" w:hAnsi="Times New Roman" w:cs="Times New Roman"/>
          <w:sz w:val="24"/>
        </w:rPr>
      </w:pPr>
      <w:r>
        <w:rPr>
          <w:rFonts w:cs="Times New Roman" w:ascii="Times New Roman" w:hAnsi="Times New Roman"/>
          <w:sz w:val="24"/>
        </w:rPr>
        <w:t> </w:t>
      </w:r>
    </w:p>
    <w:p>
      <w:pPr>
        <w:pStyle w:val="Cuerpodetexto"/>
        <w:jc w:val="both"/>
        <w:rPr>
          <w:rFonts w:ascii="Times New Roman" w:hAnsi="Times New Roman" w:cs="Times New Roman"/>
          <w:sz w:val="24"/>
          <w:lang w:val="ca-ES-valencia"/>
        </w:rPr>
      </w:pPr>
      <w:r>
        <w:rPr>
          <w:rFonts w:cs="Times New Roman" w:ascii="Times New Roman" w:hAnsi="Times New Roman"/>
          <w:sz w:val="24"/>
          <w:lang w:val="ca-ES-valencia"/>
        </w:rPr>
        <w:t>La Administración municipal contrastará la veracidad de los datos y documentos presentados por la persona solicitante, que será requerida de forma telefónica, en el supuesto de que deba de subsanar defectos en la solicitud o aportar documentación, *lo que deberá de hacer en el plazo de 10 días hábiles.</w:t>
      </w:r>
    </w:p>
    <w:p>
      <w:pPr>
        <w:pStyle w:val="Cuerpodetexto"/>
        <w:jc w:val="both"/>
        <w:rPr>
          <w:rFonts w:ascii="Times New Roman" w:hAnsi="Times New Roman" w:cs="Times New Roman"/>
          <w:sz w:val="24"/>
        </w:rPr>
      </w:pPr>
      <w:r>
        <w:rPr>
          <w:rFonts w:cs="Times New Roman" w:ascii="Times New Roman" w:hAnsi="Times New Roman"/>
          <w:sz w:val="24"/>
        </w:rPr>
        <w:t> </w:t>
      </w:r>
    </w:p>
    <w:p>
      <w:pPr>
        <w:pStyle w:val="Cuerpodetexto"/>
        <w:jc w:val="both"/>
        <w:rPr/>
      </w:pPr>
      <w:r>
        <w:rPr>
          <w:rFonts w:cs="Times New Roman" w:ascii="Times New Roman" w:hAnsi="Times New Roman"/>
          <w:b/>
          <w:sz w:val="24"/>
          <w:lang w:val="ca-ES-valencia"/>
        </w:rPr>
        <w:t xml:space="preserve">11. </w:t>
      </w:r>
      <w:r>
        <w:rPr>
          <w:rFonts w:cs="Times New Roman" w:ascii="Times New Roman" w:hAnsi="Times New Roman"/>
          <w:b/>
          <w:sz w:val="24"/>
          <w:u w:val="single"/>
          <w:lang w:val="ca-ES-valencia"/>
        </w:rPr>
        <w:t>Recursos a interponer contra la *resol·lució definitiva</w:t>
      </w:r>
    </w:p>
    <w:p>
      <w:pPr>
        <w:pStyle w:val="Cuerpodetexto"/>
        <w:jc w:val="both"/>
        <w:rPr>
          <w:rFonts w:ascii="Times New Roman" w:hAnsi="Times New Roman" w:cs="Times New Roman"/>
          <w:sz w:val="24"/>
        </w:rPr>
      </w:pPr>
      <w:r>
        <w:rPr>
          <w:rFonts w:cs="Times New Roman" w:ascii="Times New Roman" w:hAnsi="Times New Roman"/>
          <w:sz w:val="24"/>
        </w:rPr>
        <w:t>  </w:t>
      </w:r>
    </w:p>
    <w:p>
      <w:pPr>
        <w:pStyle w:val="Cuerpodetexto"/>
        <w:jc w:val="both"/>
        <w:rPr>
          <w:rFonts w:ascii="Times New Roman" w:hAnsi="Times New Roman" w:cs="Times New Roman"/>
          <w:sz w:val="24"/>
          <w:lang w:val="ca-ES-valencia"/>
        </w:rPr>
      </w:pPr>
      <w:r>
        <w:rPr>
          <w:rFonts w:cs="Times New Roman" w:ascii="Times New Roman" w:hAnsi="Times New Roman"/>
          <w:sz w:val="24"/>
          <w:lang w:val="ca-ES-valencia"/>
        </w:rPr>
        <w:t>De acuerdo con el que disponen los artículos 123 y 124 de la Ley 39/2015, de 1 de octubre, del Procedimiento Administrativo Común de las Administraciones Públicas, contra esta resolución podrá interponerse recurso potestativo de reposición ante el Alcalde de este Ayuntamiento, en el término de un mes a contar desde el día siguiente de la recepción de la notificación, o bien directamente recurso contencioso-administrativo ante el Juzgado del Contencioso-Administrativo de València en el plazo de dos meses, a contar desde el día siguiente al de la recepción de la notificación, en conformidad con el artículo 46 de la Ley 29/1998, de 13 de julio, de la Jurisdicción Contencioso-Administrativa.</w:t>
      </w:r>
    </w:p>
    <w:p>
      <w:pPr>
        <w:pStyle w:val="Cuerpodetexto"/>
        <w:jc w:val="both"/>
        <w:rPr>
          <w:rFonts w:ascii="Times New Roman" w:hAnsi="Times New Roman" w:cs="Times New Roman"/>
          <w:sz w:val="24"/>
        </w:rPr>
      </w:pPr>
      <w:r>
        <w:rPr>
          <w:rFonts w:cs="Times New Roman" w:ascii="Times New Roman" w:hAnsi="Times New Roman"/>
          <w:sz w:val="24"/>
        </w:rPr>
        <w:t>  </w:t>
      </w:r>
    </w:p>
    <w:p>
      <w:pPr>
        <w:pStyle w:val="Cuerpodetexto"/>
        <w:jc w:val="both"/>
        <w:rPr/>
      </w:pPr>
      <w:r>
        <w:rPr>
          <w:rFonts w:cs="Times New Roman" w:ascii="Times New Roman" w:hAnsi="Times New Roman"/>
          <w:b/>
          <w:sz w:val="24"/>
          <w:lang w:val="ca-ES-valencia"/>
        </w:rPr>
        <w:t xml:space="preserve">12. </w:t>
      </w:r>
      <w:r>
        <w:rPr>
          <w:rFonts w:cs="Times New Roman" w:ascii="Times New Roman" w:hAnsi="Times New Roman"/>
          <w:b/>
          <w:sz w:val="24"/>
          <w:u w:val="single"/>
          <w:lang w:val="ca-ES-valencia"/>
        </w:rPr>
        <w:t>Medios de notificación o publicación</w:t>
      </w:r>
    </w:p>
    <w:p>
      <w:pPr>
        <w:pStyle w:val="Cuerpodetexto"/>
        <w:jc w:val="both"/>
        <w:rPr>
          <w:rFonts w:ascii="Times New Roman" w:hAnsi="Times New Roman" w:cs="Times New Roman"/>
          <w:sz w:val="24"/>
        </w:rPr>
      </w:pPr>
      <w:r>
        <w:rPr>
          <w:rFonts w:cs="Times New Roman" w:ascii="Times New Roman" w:hAnsi="Times New Roman"/>
          <w:sz w:val="24"/>
        </w:rPr>
        <w:t> </w:t>
      </w:r>
    </w:p>
    <w:p>
      <w:pPr>
        <w:pStyle w:val="Cuerpodetexto"/>
        <w:jc w:val="both"/>
        <w:rPr>
          <w:rFonts w:ascii="Times New Roman" w:hAnsi="Times New Roman" w:cs="Times New Roman"/>
          <w:sz w:val="24"/>
          <w:lang w:val="ca-ES-valencia"/>
        </w:rPr>
      </w:pPr>
      <w:r>
        <w:rPr>
          <w:rFonts w:cs="Times New Roman" w:ascii="Times New Roman" w:hAnsi="Times New Roman"/>
          <w:sz w:val="24"/>
          <w:lang w:val="ca-ES-valencia"/>
        </w:rPr>
        <w:t>Las notificaciones se practicarán en el lugar y por el medio que el solicitante haga constar a tal efecto en la solicitud, teniendo en cuenta aquello establecido a estos efectos en el artículo 41 de la Ley 39/2015, de 1 de octubre, del Procedimiento Administrativo Común de las Administraciones Públicas.</w:t>
      </w:r>
    </w:p>
    <w:p>
      <w:pPr>
        <w:pStyle w:val="Cuerpodetexto"/>
        <w:jc w:val="both"/>
        <w:rPr>
          <w:rFonts w:ascii="Times New Roman" w:hAnsi="Times New Roman" w:cs="Times New Roman"/>
          <w:sz w:val="24"/>
        </w:rPr>
      </w:pPr>
      <w:r>
        <w:rPr>
          <w:rFonts w:cs="Times New Roman" w:ascii="Times New Roman" w:hAnsi="Times New Roman"/>
          <w:sz w:val="24"/>
        </w:rPr>
      </w:r>
    </w:p>
    <w:p>
      <w:pPr>
        <w:pStyle w:val="Normal"/>
        <w:spacing w:before="0" w:after="120"/>
        <w:rPr>
          <w:rFonts w:ascii="Times New Roman" w:hAnsi="Times New Roman" w:cs="Times New Roman"/>
          <w:b/>
          <w:b/>
          <w:bCs/>
          <w:sz w:val="24"/>
          <w:u w:val="single"/>
          <w:lang w:val="ca-ES-valencia" w:eastAsia="es-ES"/>
        </w:rPr>
      </w:pPr>
      <w:r>
        <w:rPr>
          <w:rFonts w:cs="Times New Roman" w:ascii="Times New Roman" w:hAnsi="Times New Roman"/>
          <w:b/>
          <w:bCs/>
          <w:sz w:val="24"/>
          <w:u w:val="single"/>
          <w:lang w:val="ca-ES-valencia" w:eastAsia="es-ES"/>
        </w:rPr>
        <w:t>13. Información para todos los beneficiarios.</w:t>
      </w:r>
    </w:p>
    <w:p>
      <w:pPr>
        <w:pStyle w:val="Normal"/>
        <w:spacing w:before="0" w:after="120"/>
        <w:rPr>
          <w:rFonts w:ascii="Times New Roman" w:hAnsi="Times New Roman" w:cs="Times New Roman"/>
          <w:sz w:val="24"/>
          <w:lang w:val="ca-ES-valencia" w:eastAsia="es-ES"/>
        </w:rPr>
      </w:pPr>
      <w:r>
        <w:rPr>
          <w:rFonts w:cs="Times New Roman" w:ascii="Times New Roman" w:hAnsi="Times New Roman"/>
          <w:sz w:val="24"/>
          <w:lang w:val="ca-ES-valencia" w:eastAsia="es-ES"/>
        </w:rPr>
      </w:r>
    </w:p>
    <w:p>
      <w:pPr>
        <w:pStyle w:val="Normal"/>
        <w:spacing w:before="0" w:after="120"/>
        <w:jc w:val="both"/>
        <w:rPr>
          <w:rFonts w:ascii="Times New Roman" w:hAnsi="Times New Roman" w:cs="Times New Roman"/>
          <w:sz w:val="24"/>
          <w:lang w:val="ca-ES-valencia" w:eastAsia="es-ES"/>
        </w:rPr>
      </w:pPr>
      <w:r>
        <w:rPr>
          <w:rFonts w:cs="Times New Roman" w:ascii="Times New Roman" w:hAnsi="Times New Roman"/>
          <w:sz w:val="24"/>
          <w:lang w:val="ca-ES-valencia" w:eastAsia="es-ES"/>
        </w:rPr>
        <w:t>Se informa que la convocatoria de estas bases se publicará en la BASE NACIONAL DE SUBVENCIONES y en la página Web del Ayuntamiento, así como la Resolución de estas, dando cuenta de la concesión de cada uno de los beneficiarios en *BNDS.</w:t>
      </w:r>
    </w:p>
    <w:p>
      <w:pPr>
        <w:pStyle w:val="Normal"/>
        <w:spacing w:before="0" w:after="120"/>
        <w:rPr>
          <w:rFonts w:ascii="Times New Roman" w:hAnsi="Times New Roman" w:cs="Times New Roman"/>
          <w:sz w:val="24"/>
          <w:lang w:val="ca-ES-valencia" w:eastAsia="es-ES"/>
        </w:rPr>
      </w:pPr>
      <w:r>
        <w:rPr>
          <w:rFonts w:cs="Times New Roman" w:ascii="Times New Roman" w:hAnsi="Times New Roman"/>
          <w:sz w:val="24"/>
          <w:lang w:val="ca-ES-valencia" w:eastAsia="es-ES"/>
        </w:rPr>
      </w:r>
    </w:p>
    <w:p>
      <w:pPr>
        <w:pStyle w:val="Normal"/>
        <w:spacing w:before="0" w:after="120"/>
        <w:rPr>
          <w:rFonts w:ascii="Times New Roman" w:hAnsi="Times New Roman" w:cs="Times New Roman"/>
          <w:b/>
          <w:b/>
          <w:bCs/>
          <w:sz w:val="24"/>
          <w:u w:val="single"/>
          <w:lang w:val="ca-ES-valencia" w:eastAsia="es-ES"/>
        </w:rPr>
      </w:pPr>
      <w:r>
        <w:rPr>
          <w:rFonts w:cs="Times New Roman" w:ascii="Times New Roman" w:hAnsi="Times New Roman"/>
          <w:b/>
          <w:bCs/>
          <w:sz w:val="24"/>
          <w:u w:val="single"/>
          <w:lang w:val="ca-ES-valencia" w:eastAsia="es-ES"/>
        </w:rPr>
        <w:t>14. Protección de datos.</w:t>
      </w:r>
    </w:p>
    <w:p>
      <w:pPr>
        <w:pStyle w:val="Normal"/>
        <w:spacing w:before="0" w:after="120"/>
        <w:jc w:val="both"/>
        <w:rPr>
          <w:rFonts w:ascii="Times New Roman" w:hAnsi="Times New Roman" w:cs="Times New Roman"/>
          <w:sz w:val="24"/>
          <w:lang w:val="ca-ES-valencia" w:eastAsia="es-ES"/>
        </w:rPr>
      </w:pPr>
      <w:r>
        <w:rPr>
          <w:rFonts w:cs="Times New Roman" w:ascii="Times New Roman" w:hAnsi="Times New Roman"/>
          <w:sz w:val="24"/>
          <w:lang w:val="ca-ES-valencia" w:eastAsia="es-ES"/>
        </w:rPr>
        <w:t>Los datos de carácter personal facilidades por las personas intervinientes en el procedimiento (los solicitantes y /o sus representantes) serán tratados por el Ayuntamiento de Sumacàrcer, en calidad de responsable del tratamiento, respetando íntegramente el reglamento (UE) 2016/679 del Parlamento Europeo y del Consejo, de 27 de abril de 2016, relativo a la protección de las personas físicas en cuanto al tratamiento de datos personales y a la libre circulación de estos datos, así como las disposiciones que en materia de protección de datos se encuentran en vigor durante la vigencia de la convocatoria de ayudas, especialmente la Ley Orgánica 15/1999, de 13 de diciembre, de Protección de Datos de Carácter Personal.</w:t>
      </w:r>
    </w:p>
    <w:p>
      <w:pPr>
        <w:pStyle w:val="Normal"/>
        <w:spacing w:before="0" w:after="120"/>
        <w:jc w:val="both"/>
        <w:rPr/>
      </w:pPr>
      <w:r>
        <w:rPr>
          <w:rFonts w:eastAsia="Times New Roman" w:cs="Times New Roman" w:ascii="Times New Roman" w:hAnsi="Times New Roman"/>
          <w:sz w:val="24"/>
          <w:lang w:val="ca-ES-valencia" w:eastAsia="es-ES"/>
        </w:rPr>
        <w:t xml:space="preserve"> </w:t>
      </w:r>
      <w:r>
        <w:rPr>
          <w:rFonts w:cs="Times New Roman" w:ascii="Times New Roman" w:hAnsi="Times New Roman"/>
          <w:sz w:val="24"/>
          <w:lang w:val="ca-ES-valencia" w:eastAsia="es-ES"/>
        </w:rPr>
        <w:t>Las y los interesados podrán ejercitar sus derechos de acceso, rectificación, supresión, limitación o, en su caso, oposición, presentando un escrito en el registro general de entrada del Ayuntamiento de Sumacàrcer ( Plaza Mayor n.º 1). El deber de secreto sobre la información que se obtenga durante la vigencia de la convocatoria de ayudas, en cuanto al cumplimiento de la normativa en materia de protección de datos de carácter personal, se mantendrá por tiempo indefinido.</w:t>
      </w:r>
    </w:p>
    <w:p>
      <w:pPr>
        <w:pStyle w:val="Normal"/>
        <w:spacing w:before="0" w:after="120"/>
        <w:jc w:val="both"/>
        <w:rPr>
          <w:rFonts w:ascii="Times New Roman" w:hAnsi="Times New Roman" w:cs="Times New Roman"/>
          <w:sz w:val="24"/>
          <w:lang w:val="ca-ES-valencia" w:eastAsia="es-ES"/>
        </w:rPr>
      </w:pPr>
      <w:r>
        <w:rPr>
          <w:rFonts w:cs="Times New Roman" w:ascii="Times New Roman" w:hAnsi="Times New Roman"/>
          <w:sz w:val="24"/>
          <w:lang w:val="ca-ES-valencia" w:eastAsia="es-ES"/>
        </w:rPr>
      </w:r>
    </w:p>
    <w:p>
      <w:pPr>
        <w:pStyle w:val="Normal"/>
        <w:spacing w:before="0" w:after="120"/>
        <w:rPr>
          <w:rFonts w:ascii="Times New Roman" w:hAnsi="Times New Roman" w:cs="Times New Roman"/>
          <w:b/>
          <w:b/>
          <w:bCs/>
          <w:sz w:val="24"/>
          <w:u w:val="single"/>
          <w:lang w:val="ca-ES-valencia" w:eastAsia="es-ES"/>
        </w:rPr>
      </w:pPr>
      <w:r>
        <w:rPr>
          <w:rFonts w:cs="Times New Roman" w:ascii="Times New Roman" w:hAnsi="Times New Roman"/>
          <w:b/>
          <w:bCs/>
          <w:sz w:val="24"/>
          <w:u w:val="single"/>
          <w:lang w:val="ca-ES-valencia" w:eastAsia="es-ES"/>
        </w:rPr>
        <w:t>15. Aceptación de las Bases</w:t>
      </w:r>
    </w:p>
    <w:p>
      <w:pPr>
        <w:pStyle w:val="Normal"/>
        <w:rPr>
          <w:rFonts w:ascii="Times New Roman" w:hAnsi="Times New Roman" w:cs="Times New Roman"/>
          <w:sz w:val="24"/>
          <w:lang w:val="ca-ES-valencia" w:eastAsia="es-ES"/>
        </w:rPr>
      </w:pPr>
      <w:r>
        <w:rPr>
          <w:rFonts w:cs="Times New Roman" w:ascii="Times New Roman" w:hAnsi="Times New Roman"/>
          <w:sz w:val="24"/>
          <w:lang w:val="ca-ES-valencia" w:eastAsia="es-ES"/>
        </w:rPr>
      </w:r>
    </w:p>
    <w:p>
      <w:pPr>
        <w:pStyle w:val="Normal"/>
        <w:rPr>
          <w:rFonts w:ascii="Times New Roman" w:hAnsi="Times New Roman" w:cs="Times New Roman"/>
          <w:b/>
          <w:b/>
          <w:bCs/>
          <w:sz w:val="24"/>
          <w:u w:val="single"/>
          <w:lang w:val="ca-ES-valencia" w:eastAsia="es-ES"/>
        </w:rPr>
      </w:pPr>
      <w:r>
        <w:rPr>
          <w:rFonts w:cs="Times New Roman" w:ascii="Times New Roman" w:hAnsi="Times New Roman"/>
          <w:b/>
          <w:bCs/>
          <w:sz w:val="24"/>
          <w:u w:val="single"/>
          <w:lang w:val="ca-ES-valencia" w:eastAsia="es-ES"/>
        </w:rPr>
      </w:r>
    </w:p>
    <w:p>
      <w:pPr>
        <w:pStyle w:val="Normal"/>
        <w:spacing w:before="0" w:after="120"/>
        <w:jc w:val="both"/>
        <w:rPr>
          <w:rFonts w:ascii="Times New Roman" w:hAnsi="Times New Roman" w:cs="Times New Roman"/>
          <w:sz w:val="24"/>
          <w:lang w:val="ca-ES-valencia" w:eastAsia="es-ES"/>
        </w:rPr>
      </w:pPr>
      <w:r>
        <w:rPr>
          <w:rFonts w:cs="Times New Roman" w:ascii="Times New Roman" w:hAnsi="Times New Roman"/>
          <w:sz w:val="24"/>
          <w:lang w:val="ca-ES-valencia" w:eastAsia="es-ES"/>
        </w:rPr>
        <w:t>La firma de la solicitud para participar en esta convocatoria implica, a todos los efectos, la aceptación íntegra de las presentes bases, así como de las decisiones que con arreglo a las mismas puedan tomar los órganos competentes de la resolución. Esta firma supone también la certeza y veracidad de todos los datos consignados en la solicitud y en la documentación que le acompaño, reservándose el ayuntamiento de Sumacàrcer las facultades y cuántas funciones de inspección y control se consideran pertinentes con arreglo a las disposiciones vigentes, para el relacionado con el regulado en estas bases. La comprobación, por cualquier medio, de la no veracidad de los datos incluidos en la solicitud, así como la omisión u ocultamiento deliberado de aspectos fundamentales en la documentación aportada comportará la pérdida de derecho a ser beneficiario o beneficiaria de la ayuda.</w:t>
      </w:r>
    </w:p>
    <w:p>
      <w:pPr>
        <w:pStyle w:val="Normal"/>
        <w:spacing w:before="0" w:after="120"/>
        <w:rPr>
          <w:rFonts w:ascii="Times New Roman" w:hAnsi="Times New Roman" w:cs="Times New Roman"/>
          <w:sz w:val="24"/>
          <w:lang w:val="ca-ES-valencia" w:eastAsia="es-ES"/>
        </w:rPr>
      </w:pPr>
      <w:r>
        <w:rPr>
          <w:rFonts w:cs="Times New Roman" w:ascii="Times New Roman" w:hAnsi="Times New Roman"/>
          <w:sz w:val="24"/>
          <w:lang w:val="ca-ES-valencia" w:eastAsia="es-ES"/>
        </w:rPr>
      </w:r>
    </w:p>
    <w:p>
      <w:pPr>
        <w:pStyle w:val="Normal"/>
        <w:spacing w:before="0" w:after="120"/>
        <w:rPr>
          <w:rFonts w:ascii="Times New Roman" w:hAnsi="Times New Roman" w:cs="Times New Roman"/>
          <w:sz w:val="24"/>
          <w:lang w:val="ca-ES-valencia" w:eastAsia="es-ES"/>
        </w:rPr>
      </w:pPr>
      <w:r>
        <w:rPr>
          <w:rFonts w:cs="Times New Roman" w:ascii="Times New Roman" w:hAnsi="Times New Roman"/>
          <w:sz w:val="24"/>
          <w:lang w:val="ca-ES-valencia" w:eastAsia="es-ES"/>
        </w:rPr>
        <w:t>Sumacàrcer a la fecha de la firma electrónica</w:t>
      </w:r>
    </w:p>
    <w:p>
      <w:pPr>
        <w:pStyle w:val="Normal"/>
        <w:ind w:left="0" w:right="-2" w:hanging="0"/>
        <w:jc w:val="center"/>
        <w:rPr>
          <w:rFonts w:ascii="Times New Roman" w:hAnsi="Times New Roman" w:cs="Times New Roman"/>
          <w:sz w:val="24"/>
          <w:lang w:eastAsia="es-ES"/>
        </w:rPr>
      </w:pPr>
      <w:r>
        <w:rPr>
          <w:rFonts w:cs="Times New Roman" w:ascii="Times New Roman" w:hAnsi="Times New Roman"/>
          <w:sz w:val="24"/>
          <w:lang w:eastAsia="es-ES"/>
        </w:rPr>
      </w:r>
    </w:p>
    <w:p>
      <w:pPr>
        <w:pStyle w:val="Normal"/>
        <w:ind w:left="0" w:right="-2" w:hanging="0"/>
        <w:jc w:val="center"/>
        <w:rPr>
          <w:rFonts w:ascii="Times New Roman" w:hAnsi="Times New Roman" w:cs="Times New Roman"/>
          <w:sz w:val="24"/>
          <w:lang w:eastAsia="es-ES"/>
        </w:rPr>
      </w:pPr>
      <w:r>
        <w:rPr>
          <w:rFonts w:cs="Times New Roman" w:ascii="Times New Roman" w:hAnsi="Times New Roman"/>
          <w:sz w:val="24"/>
          <w:lang w:eastAsia="es-ES"/>
        </w:rPr>
        <w:t>El Alcalde-Presidente</w:t>
      </w:r>
    </w:p>
    <w:p>
      <w:pPr>
        <w:pStyle w:val="Normal"/>
        <w:ind w:left="0" w:right="-2" w:hanging="0"/>
        <w:jc w:val="center"/>
        <w:rPr>
          <w:rFonts w:ascii="Times New Roman" w:hAnsi="Times New Roman" w:cs="Times New Roman"/>
          <w:sz w:val="24"/>
          <w:lang w:eastAsia="es-ES"/>
        </w:rPr>
      </w:pPr>
      <w:r>
        <w:rPr>
          <w:rFonts w:cs="Times New Roman" w:ascii="Times New Roman" w:hAnsi="Times New Roman"/>
          <w:sz w:val="24"/>
          <w:lang w:eastAsia="es-ES"/>
        </w:rPr>
      </w:r>
    </w:p>
    <w:p>
      <w:pPr>
        <w:pStyle w:val="Normal"/>
        <w:ind w:left="0" w:right="-2" w:hanging="0"/>
        <w:jc w:val="center"/>
        <w:rPr>
          <w:rFonts w:ascii="Times New Roman" w:hAnsi="Times New Roman" w:cs="Times New Roman"/>
          <w:sz w:val="24"/>
          <w:lang w:eastAsia="es-ES"/>
        </w:rPr>
      </w:pPr>
      <w:r>
        <w:rPr>
          <w:rFonts w:cs="Times New Roman" w:ascii="Times New Roman" w:hAnsi="Times New Roman"/>
          <w:sz w:val="24"/>
          <w:lang w:eastAsia="es-ES"/>
        </w:rPr>
      </w:r>
    </w:p>
    <w:p>
      <w:pPr>
        <w:pStyle w:val="Normal"/>
        <w:ind w:left="0" w:right="-2" w:hanging="0"/>
        <w:jc w:val="center"/>
        <w:rPr>
          <w:rFonts w:ascii="Times New Roman" w:hAnsi="Times New Roman" w:cs="Times New Roman"/>
          <w:sz w:val="24"/>
          <w:lang w:eastAsia="es-ES"/>
        </w:rPr>
      </w:pPr>
      <w:r>
        <w:rPr>
          <w:rFonts w:cs="Times New Roman" w:ascii="Times New Roman" w:hAnsi="Times New Roman"/>
          <w:sz w:val="24"/>
          <w:lang w:eastAsia="es-ES"/>
        </w:rPr>
      </w:r>
    </w:p>
    <w:p>
      <w:pPr>
        <w:pStyle w:val="Cuerpodetexto"/>
        <w:spacing w:before="0" w:after="120"/>
        <w:ind w:left="2832" w:right="0" w:hanging="0"/>
        <w:jc w:val="both"/>
        <w:rPr>
          <w:rFonts w:ascii="Times New Roman" w:hAnsi="Times New Roman" w:cs="Times New Roman"/>
          <w:sz w:val="24"/>
          <w:lang w:eastAsia="es-ES"/>
        </w:rPr>
      </w:pPr>
      <w:r>
        <w:rPr>
          <w:rFonts w:cs="Times New Roman" w:ascii="Times New Roman" w:hAnsi="Times New Roman"/>
          <w:sz w:val="24"/>
          <w:lang w:eastAsia="es-ES"/>
        </w:rPr>
        <w:t>*Fdo: David Pons García</w:t>
      </w:r>
    </w:p>
    <w:sectPr>
      <w:headerReference w:type="default" r:id="rId2"/>
      <w:footerReference w:type="default" r:id="rId3"/>
      <w:type w:val="nextPage"/>
      <w:pgSz w:w="11906" w:h="16838"/>
      <w:pgMar w:left="1701" w:right="1701" w:header="709" w:top="2447" w:footer="709" w:bottom="1530"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Verdana">
    <w:charset w:val="00"/>
    <w:family w:val="roman"/>
    <w:pitch w:val="variable"/>
  </w:font>
  <w:font w:name="Liberation Sans">
    <w:altName w:val="Arial"/>
    <w:charset w:val="00"/>
    <w:family w:val="roman"/>
    <w:pitch w:val="variable"/>
  </w:font>
  <w:font w:name="Calibri">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uerpodetexto"/>
      <w:pBdr>
        <w:top w:val="single" w:sz="4" w:space="5" w:color="000000"/>
      </w:pBdr>
      <w:jc w:val="center"/>
      <w:rPr>
        <w:b/>
        <w:b/>
      </w:rPr>
    </w:pPr>
    <w:r>
      <w:rPr>
        <w:b/>
      </w:rPr>
      <w:t>Ayuntamiento de Sumacàrcer</w:t>
    </w:r>
  </w:p>
  <w:p>
    <w:pPr>
      <w:pStyle w:val="Cuerpodetexto"/>
      <w:spacing w:before="0" w:after="120"/>
      <w:jc w:val="center"/>
      <w:rPr>
        <w:sz w:val="16"/>
      </w:rPr>
    </w:pPr>
    <w:r>
      <w:rPr>
        <w:sz w:val="16"/>
      </w:rPr>
      <w:t>Plaza Mayor, 1, Sumacàrcer. 46295 (València). Tel. 962595280. Fax: 962595531</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4"/>
      <w:rPr/>
    </w:pPr>
    <w:r>
      <w:rPr/>
      <w:drawing>
        <wp:inline distT="0" distB="0" distL="0" distR="0">
          <wp:extent cx="697865" cy="69786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
                  <a:srcRect l="-139" t="-139" r="-139" b="-139"/>
                  <a:stretch>
                    <a:fillRect/>
                  </a:stretch>
                </pic:blipFill>
                <pic:spPr bwMode="auto">
                  <a:xfrm>
                    <a:off x="0" y="0"/>
                    <a:ext cx="697865" cy="697865"/>
                  </a:xfrm>
                  <a:prstGeom prst="rect">
                    <a:avLst/>
                  </a:prstGeom>
                </pic:spPr>
              </pic:pic>
            </a:graphicData>
          </a:graphic>
        </wp:inline>
      </w:drawing>
    </w:r>
    <w:r>
      <w:rPr>
        <w:rFonts w:eastAsia="Verdana" w:cs="Verdana"/>
      </w:rPr>
      <w:t xml:space="preserve"> </w:t>
    </w:r>
  </w:p>
  <w:p>
    <w:pPr>
      <w:pStyle w:val="Header2"/>
      <w:pBdr>
        <w:bottom w:val="single" w:sz="4" w:space="5" w:color="000000"/>
      </w:pBdr>
      <w:jc w:val="center"/>
      <w:rPr>
        <w:b/>
        <w:b/>
        <w:bCs/>
        <w:sz w:val="28"/>
        <w:szCs w:val="28"/>
      </w:rPr>
    </w:pPr>
    <w:r>
      <w:rPr>
        <w:b/>
        <w:bCs/>
        <w:sz w:val="28"/>
        <w:szCs w:val="28"/>
      </w:rPr>
      <w:t>Ayuntamiento de Sumacàrcer</w:t>
    </w:r>
  </w:p>
</w:hdr>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erif SC" w:cs="Noto Sans Devanagari"/>
        <w:sz w:val="24"/>
        <w:szCs w:val="24"/>
        <w:lang w:val="en-US" w:eastAsia="zh-CN" w:bidi="hi-IN"/>
      </w:rPr>
    </w:rPrDefault>
    <w:pPrDefault>
      <w:pPr>
        <w:suppressAutoHyphens w:val="true"/>
      </w:pPr>
    </w:pPrDefault>
  </w:docDefaults>
  <w:style w:type="paragraph" w:styleId="Normal">
    <w:name w:val="Normal"/>
    <w:qFormat/>
    <w:pPr>
      <w:widowControl w:val="false"/>
      <w:suppressAutoHyphens w:val="true"/>
      <w:bidi w:val="0"/>
      <w:spacing w:before="0" w:after="0"/>
      <w:jc w:val="left"/>
    </w:pPr>
    <w:rPr>
      <w:rFonts w:ascii="Verdana" w:hAnsi="Verdana" w:eastAsia="Lucida Sans Unicode" w:cs="Verdana"/>
      <w:color w:val="auto"/>
      <w:kern w:val="2"/>
      <w:sz w:val="20"/>
      <w:szCs w:val="24"/>
      <w:lang w:val="es-ES" w:eastAsia="zh-CN" w:bidi="ar-SA"/>
    </w:rPr>
  </w:style>
  <w:style w:type="character" w:styleId="Fuentedeprrafopredeter">
    <w:name w:val="Fuente de párrafo predeter."/>
    <w:qFormat/>
    <w:rPr/>
  </w:style>
  <w:style w:type="character" w:styleId="DefaultParagraphFont">
    <w:name w:val="Default Paragraph Font"/>
    <w:qFormat/>
    <w:rPr/>
  </w:style>
  <w:style w:type="character" w:styleId="TextoindependienteCar">
    <w:name w:val="Texto independiente Car"/>
    <w:qFormat/>
    <w:rPr>
      <w:rFonts w:ascii="Verdana" w:hAnsi="Verdana" w:eastAsia="Lucida Sans Unicode" w:cs="Verdana"/>
      <w:kern w:val="2"/>
      <w:sz w:val="24"/>
      <w:szCs w:val="24"/>
    </w:rPr>
  </w:style>
  <w:style w:type="paragraph" w:styleId="Ttulo">
    <w:name w:val="Título"/>
    <w:basedOn w:val="Normal"/>
    <w:next w:val="Cuerpodetexto"/>
    <w:qFormat/>
    <w:pPr>
      <w:keepNext w:val="true"/>
      <w:spacing w:before="240" w:after="120"/>
    </w:pPr>
    <w:rPr>
      <w:rFonts w:ascii="Liberation Sans;Arial" w:hAnsi="Liberation Sans;Arial" w:eastAsia="Microsoft YaHei" w:cs="Lucida Sans"/>
      <w:sz w:val="28"/>
      <w:szCs w:val="28"/>
    </w:rPr>
  </w:style>
  <w:style w:type="paragraph" w:styleId="Cuerpodetexto">
    <w:name w:val="Body Text"/>
    <w:basedOn w:val="Normal"/>
    <w:pPr>
      <w:spacing w:before="0" w:after="120"/>
    </w:pPr>
    <w:rPr/>
  </w:style>
  <w:style w:type="paragraph" w:styleId="Lista">
    <w:name w:val="List"/>
    <w:basedOn w:val="Cuerpodetexto"/>
    <w:pPr/>
    <w:rPr>
      <w:rFonts w:cs="Tahoma"/>
      <w:sz w:val="22"/>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Ttulo1">
    <w:name w:val="Título1"/>
    <w:basedOn w:val="Normal"/>
    <w:next w:val="Cuerpodetexto"/>
    <w:qFormat/>
    <w:pPr>
      <w:keepNext w:val="true"/>
      <w:spacing w:before="240" w:after="120"/>
    </w:pPr>
    <w:rPr>
      <w:rFonts w:ascii="Liberation Sans;Arial" w:hAnsi="Liberation Sans;Arial" w:eastAsia="Microsoft YaHei" w:cs="Lucida Sans"/>
      <w:sz w:val="28"/>
      <w:szCs w:val="28"/>
    </w:rPr>
  </w:style>
  <w:style w:type="paragraph" w:styleId="Epgrafe">
    <w:name w:val="Epígrafe"/>
    <w:basedOn w:val="Normal"/>
    <w:qFormat/>
    <w:pPr>
      <w:suppressLineNumbers/>
      <w:spacing w:before="120" w:after="120"/>
    </w:pPr>
    <w:rPr>
      <w:rFonts w:cs="Lucida Sans"/>
      <w:i/>
      <w:iCs/>
      <w:sz w:val="24"/>
      <w:szCs w:val="24"/>
    </w:rPr>
  </w:style>
  <w:style w:type="paragraph" w:styleId="Header1">
    <w:name w:val="Header1"/>
    <w:basedOn w:val="Normal"/>
    <w:qFormat/>
    <w:pPr>
      <w:suppressLineNumbers/>
      <w:tabs>
        <w:tab w:val="clear" w:pos="708"/>
        <w:tab w:val="center" w:pos="4818" w:leader="none"/>
        <w:tab w:val="right" w:pos="9637" w:leader="none"/>
      </w:tabs>
    </w:pPr>
    <w:rPr/>
  </w:style>
  <w:style w:type="paragraph" w:styleId="Footer1">
    <w:name w:val="Footer1"/>
    <w:basedOn w:val="Normal"/>
    <w:qFormat/>
    <w:pPr>
      <w:suppressLineNumbers/>
      <w:tabs>
        <w:tab w:val="clear" w:pos="708"/>
        <w:tab w:val="center" w:pos="4818" w:leader="none"/>
        <w:tab w:val="right" w:pos="9637" w:leader="none"/>
      </w:tabs>
      <w:textAlignment w:val="auto"/>
    </w:pPr>
    <w:rPr/>
  </w:style>
  <w:style w:type="paragraph" w:styleId="Header2">
    <w:name w:val="Header2"/>
    <w:basedOn w:val="Normal"/>
    <w:qFormat/>
    <w:pPr>
      <w:suppressLineNumbers/>
      <w:tabs>
        <w:tab w:val="clear" w:pos="708"/>
        <w:tab w:val="right" w:pos="9637" w:leader="none"/>
      </w:tabs>
    </w:pPr>
    <w:rPr/>
  </w:style>
  <w:style w:type="paragraph" w:styleId="Footer2">
    <w:name w:val="Footer2"/>
    <w:basedOn w:val="Normal"/>
    <w:qFormat/>
    <w:pPr>
      <w:suppressLineNumbers/>
      <w:tabs>
        <w:tab w:val="clear" w:pos="708"/>
        <w:tab w:val="right" w:pos="9637" w:leader="none"/>
      </w:tabs>
      <w:textAlignment w:val="auto"/>
    </w:pPr>
    <w:rPr/>
  </w:style>
  <w:style w:type="paragraph" w:styleId="Header3">
    <w:name w:val="Header3"/>
    <w:basedOn w:val="Normal"/>
    <w:qFormat/>
    <w:pPr>
      <w:suppressLineNumbers/>
      <w:tabs>
        <w:tab w:val="clear" w:pos="708"/>
        <w:tab w:val="center" w:pos="4818" w:leader="none"/>
        <w:tab w:val="right" w:pos="9637" w:leader="none"/>
      </w:tabs>
    </w:pPr>
    <w:rPr/>
  </w:style>
  <w:style w:type="paragraph" w:styleId="Header4">
    <w:name w:val="Header4"/>
    <w:basedOn w:val="Normal"/>
    <w:qFormat/>
    <w:pPr>
      <w:suppressLineNumbers/>
      <w:tabs>
        <w:tab w:val="clear" w:pos="708"/>
        <w:tab w:val="center" w:pos="4818" w:leader="none"/>
        <w:tab w:val="right" w:pos="9637" w:leader="none"/>
      </w:tabs>
    </w:pPr>
    <w:rPr/>
  </w:style>
  <w:style w:type="paragraph" w:styleId="Footer3">
    <w:name w:val="Footer3"/>
    <w:basedOn w:val="Normal"/>
    <w:qFormat/>
    <w:pPr>
      <w:suppressLineNumbers/>
      <w:tabs>
        <w:tab w:val="clear" w:pos="708"/>
        <w:tab w:val="center" w:pos="4818" w:leader="none"/>
        <w:tab w:val="right" w:pos="9637" w:leader="none"/>
      </w:tabs>
      <w:textAlignment w:val="auto"/>
    </w:pPr>
    <w:rPr/>
  </w:style>
  <w:style w:type="paragraph" w:styleId="Contenidodelatabla">
    <w:name w:val="Contenido de la tabla"/>
    <w:basedOn w:val="Normal"/>
    <w:qFormat/>
    <w:pPr>
      <w:suppressLineNumbers/>
    </w:pPr>
    <w:rPr/>
  </w:style>
  <w:style w:type="paragraph" w:styleId="Ttulodelatabla">
    <w:name w:val="Título de la tabla"/>
    <w:basedOn w:val="Contenidodelatabla"/>
    <w:qFormat/>
    <w:pPr>
      <w:suppressLineNumbers/>
      <w:jc w:val="center"/>
    </w:pPr>
    <w:rPr>
      <w:b/>
      <w:bCs/>
    </w:rPr>
  </w:style>
  <w:style w:type="paragraph" w:styleId="Cabeceraypie">
    <w:name w:val="Cabecera y pie"/>
    <w:basedOn w:val="Normal"/>
    <w:qFormat/>
    <w:pPr>
      <w:suppressLineNumbers/>
      <w:tabs>
        <w:tab w:val="clear" w:pos="708"/>
        <w:tab w:val="center" w:pos="4986" w:leader="none"/>
        <w:tab w:val="right" w:pos="9972" w:leader="none"/>
      </w:tabs>
    </w:pPr>
    <w:rPr/>
  </w:style>
  <w:style w:type="paragraph" w:styleId="Cabecera">
    <w:name w:val="Header"/>
    <w:basedOn w:val="Normal"/>
    <w:pPr>
      <w:suppressLineNumbers/>
      <w:tabs>
        <w:tab w:val="clear" w:pos="708"/>
        <w:tab w:val="center" w:pos="5386" w:leader="none"/>
        <w:tab w:val="right" w:pos="10772" w:leader="none"/>
      </w:tabs>
    </w:pPr>
    <w:rPr/>
  </w:style>
  <w:style w:type="paragraph" w:styleId="Piedepgina">
    <w:name w:val="Footer"/>
    <w:basedOn w:val="Normal"/>
    <w:pPr>
      <w:suppressLineNumbers/>
      <w:tabs>
        <w:tab w:val="clear" w:pos="708"/>
        <w:tab w:val="center" w:pos="5386" w:leader="none"/>
        <w:tab w:val="right" w:pos="10772" w:leader="none"/>
      </w:tabs>
    </w:pPr>
    <w:rPr/>
  </w:style>
  <w:style w:type="paragraph" w:styleId="DocumentMap">
    <w:name w:val="Document Map"/>
    <w:qFormat/>
    <w:pPr>
      <w:widowControl/>
      <w:suppressAutoHyphens w:val="true"/>
      <w:bidi w:val="0"/>
      <w:spacing w:before="0" w:after="0"/>
      <w:ind w:left="0" w:right="0" w:firstLine="709"/>
      <w:jc w:val="both"/>
    </w:pPr>
    <w:rPr>
      <w:rFonts w:ascii="Calibri" w:hAnsi="Calibri" w:eastAsia="Times New Roman" w:cs="Calibri"/>
      <w:color w:val="auto"/>
      <w:kern w:val="0"/>
      <w:sz w:val="22"/>
      <w:szCs w:val="22"/>
      <w:lang w:val="es-ES" w:eastAsia="zh-CN" w:bidi="ar-SA"/>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docProps/app.xml><?xml version="1.0" encoding="utf-8"?>
<Properties xmlns="http://schemas.openxmlformats.org/officeDocument/2006/extended-properties" xmlns:vt="http://schemas.openxmlformats.org/officeDocument/2006/docPropsVTypes">
  <Template>Normal.dotm</Template>
  <TotalTime>12</TotalTime>
  <Application>LibreOffice/7.0.4.2$Windows_X86_64 LibreOffice_project/dcf040e67528d9187c66b2379df5ea4407429775</Application>
  <AppVersion>15.0000</AppVersion>
  <Pages>5</Pages>
  <Words>2068</Words>
  <Characters>11096</Characters>
  <CharactersWithSpaces>13247</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2021-09-24T10:26:00Z</dcterms:created>
  <dc:creator>carme ferrer tatay</dc:creator>
  <dc:description/>
  <dc:language>en-US</dc:language>
  <cp:lastModifiedBy/>
  <cp:lastPrinted>1995-11-21T17:41:00Z</cp:lastPrinted>
  <dcterms:modified xsi:type="dcterms:W3CDTF">2021-11-10T09:22:21Z</dcterms:modified>
  <cp:revision>4</cp:revision>
  <dc:subject/>
  <dc:title/>
</cp:coreProperties>
</file>

<file path=docProps/custom.xml><?xml version="1.0" encoding="utf-8"?>
<Properties xmlns="http://schemas.openxmlformats.org/officeDocument/2006/custom-properties" xmlns:vt="http://schemas.openxmlformats.org/officeDocument/2006/docPropsVTypes"/>
</file>