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A13F" w14:textId="77777777" w:rsidR="00210782" w:rsidRPr="00B77C71" w:rsidRDefault="00210782" w:rsidP="00BC2752">
      <w:pPr>
        <w:tabs>
          <w:tab w:val="center" w:pos="4393"/>
        </w:tabs>
        <w:jc w:val="both"/>
        <w:rPr>
          <w:rFonts w:ascii="Arial" w:hAnsi="Arial" w:cs="Arial"/>
          <w:b/>
          <w:bCs/>
          <w:sz w:val="24"/>
          <w:szCs w:val="24"/>
        </w:rPr>
      </w:pPr>
    </w:p>
    <w:p w14:paraId="6B3AB79D"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 xml:space="preserve">Extracto del acuerdo de la Junta de Gobierno Local de </w:t>
      </w:r>
      <w:r w:rsidR="00DD4DF6">
        <w:rPr>
          <w:rFonts w:ascii="Arial" w:hAnsi="Arial" w:cs="Arial"/>
          <w:sz w:val="24"/>
          <w:szCs w:val="24"/>
        </w:rPr>
        <w:t>4</w:t>
      </w:r>
      <w:r w:rsidRPr="00BC2752">
        <w:rPr>
          <w:rFonts w:ascii="Arial" w:hAnsi="Arial" w:cs="Arial"/>
          <w:sz w:val="24"/>
          <w:szCs w:val="24"/>
        </w:rPr>
        <w:t xml:space="preserve"> de </w:t>
      </w:r>
      <w:r w:rsidR="00DD4DF6">
        <w:rPr>
          <w:rFonts w:ascii="Arial" w:hAnsi="Arial" w:cs="Arial"/>
          <w:sz w:val="24"/>
          <w:szCs w:val="24"/>
        </w:rPr>
        <w:t>noviembre</w:t>
      </w:r>
      <w:r w:rsidRPr="00BC2752">
        <w:rPr>
          <w:rFonts w:ascii="Arial" w:hAnsi="Arial" w:cs="Arial"/>
          <w:sz w:val="24"/>
          <w:szCs w:val="24"/>
        </w:rPr>
        <w:t xml:space="preserve"> de 202</w:t>
      </w:r>
      <w:r>
        <w:rPr>
          <w:rFonts w:ascii="Arial" w:hAnsi="Arial" w:cs="Arial"/>
          <w:sz w:val="24"/>
          <w:szCs w:val="24"/>
        </w:rPr>
        <w:t>1</w:t>
      </w:r>
      <w:r w:rsidRPr="00BC2752">
        <w:rPr>
          <w:rFonts w:ascii="Arial" w:hAnsi="Arial" w:cs="Arial"/>
          <w:sz w:val="24"/>
          <w:szCs w:val="24"/>
        </w:rPr>
        <w:t xml:space="preserve"> por el que se aprueban las B</w:t>
      </w:r>
      <w:r w:rsidRPr="00BC2752">
        <w:rPr>
          <w:rFonts w:ascii="Arial" w:hAnsi="Arial" w:cs="Arial"/>
          <w:sz w:val="24"/>
          <w:szCs w:val="24"/>
          <w:lang w:eastAsia="en-US"/>
        </w:rPr>
        <w:t>ases del I</w:t>
      </w:r>
      <w:r>
        <w:rPr>
          <w:rFonts w:ascii="Arial" w:hAnsi="Arial" w:cs="Arial"/>
          <w:sz w:val="24"/>
          <w:szCs w:val="24"/>
          <w:lang w:eastAsia="en-US"/>
        </w:rPr>
        <w:t>I</w:t>
      </w:r>
      <w:r w:rsidRPr="00BC2752">
        <w:rPr>
          <w:rFonts w:ascii="Arial" w:hAnsi="Arial" w:cs="Arial"/>
          <w:sz w:val="24"/>
          <w:szCs w:val="24"/>
          <w:lang w:eastAsia="en-US"/>
        </w:rPr>
        <w:t xml:space="preserve"> Concurso de escaparates “Por Navidad: En San Lorenzo LO TIENES”.</w:t>
      </w:r>
    </w:p>
    <w:p w14:paraId="46A2F80C" w14:textId="77777777" w:rsidR="00DD4DF6" w:rsidRDefault="00DD4DF6" w:rsidP="00DD4DF6">
      <w:pPr>
        <w:spacing w:after="120"/>
        <w:jc w:val="both"/>
        <w:rPr>
          <w:rFonts w:ascii="Arial" w:hAnsi="Arial" w:cs="Arial"/>
          <w:sz w:val="24"/>
          <w:szCs w:val="24"/>
        </w:rPr>
      </w:pPr>
    </w:p>
    <w:p w14:paraId="7512C17E"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De conformidad con lo previsto en los artículos 17.3.b) y 20.8.a) de la Ley 38/2003, de 17 de noviembre, General de Subvenciones, se publica el extracto de la convocatoria cuyo texto completo puede consultarse en la Base de Datos Nacional de Subvenciones (</w:t>
      </w:r>
      <w:hyperlink r:id="rId7" w:history="1">
        <w:r w:rsidRPr="00BC2752">
          <w:rPr>
            <w:rStyle w:val="Hipervnculo"/>
            <w:rFonts w:ascii="Arial" w:hAnsi="Arial" w:cs="Arial"/>
            <w:sz w:val="24"/>
            <w:szCs w:val="24"/>
          </w:rPr>
          <w:t>http://www.pap.minhafp.gob.es/bdnstrans/es/index</w:t>
        </w:r>
      </w:hyperlink>
      <w:r w:rsidRPr="00BC2752">
        <w:rPr>
          <w:rFonts w:ascii="Arial" w:hAnsi="Arial" w:cs="Arial"/>
          <w:sz w:val="24"/>
          <w:szCs w:val="24"/>
        </w:rPr>
        <w:t>) y en la página web municipal (</w:t>
      </w:r>
      <w:hyperlink r:id="rId8" w:history="1">
        <w:r w:rsidRPr="00BC2752">
          <w:rPr>
            <w:rStyle w:val="Hipervnculo"/>
            <w:rFonts w:ascii="Arial" w:hAnsi="Arial" w:cs="Arial"/>
            <w:sz w:val="24"/>
            <w:szCs w:val="24"/>
          </w:rPr>
          <w:t>http://www.aytosanlorenzo.es</w:t>
        </w:r>
      </w:hyperlink>
      <w:r w:rsidRPr="00BC2752">
        <w:rPr>
          <w:rFonts w:ascii="Arial" w:hAnsi="Arial" w:cs="Arial"/>
          <w:sz w:val="24"/>
          <w:szCs w:val="24"/>
        </w:rPr>
        <w:t>)</w:t>
      </w:r>
    </w:p>
    <w:p w14:paraId="6B95F682" w14:textId="77777777" w:rsidR="00BC2752" w:rsidRPr="00BC2752" w:rsidRDefault="00BC2752" w:rsidP="00DD4DF6">
      <w:pPr>
        <w:pStyle w:val="Default"/>
        <w:spacing w:before="360" w:after="120"/>
        <w:jc w:val="both"/>
        <w:rPr>
          <w:color w:val="auto"/>
        </w:rPr>
      </w:pPr>
      <w:r w:rsidRPr="00BC2752">
        <w:rPr>
          <w:color w:val="auto"/>
        </w:rPr>
        <w:t xml:space="preserve">PRIMERO.- OBJETO. </w:t>
      </w:r>
    </w:p>
    <w:p w14:paraId="731EBD41"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La Concejalía de Comercio del Ayuntamiento de San Lorenzo de El Escorial, dentro del Programa de Fomento de la actividad comercial convoca el I</w:t>
      </w:r>
      <w:r>
        <w:rPr>
          <w:rFonts w:ascii="Arial" w:hAnsi="Arial" w:cs="Arial"/>
          <w:sz w:val="24"/>
          <w:szCs w:val="24"/>
        </w:rPr>
        <w:t>I</w:t>
      </w:r>
      <w:r w:rsidRPr="00BC2752">
        <w:rPr>
          <w:rFonts w:ascii="Arial" w:hAnsi="Arial" w:cs="Arial"/>
          <w:sz w:val="24"/>
          <w:szCs w:val="24"/>
        </w:rPr>
        <w:t xml:space="preserve"> Concurso de Escaparates “Por Navidad, en San Lorenzo, LO TIENES” para premiar al escaparate comercial más innovador con motivo de las fiestas navideñas.</w:t>
      </w:r>
    </w:p>
    <w:p w14:paraId="7D4F5355" w14:textId="77777777" w:rsidR="00BC2752" w:rsidRDefault="00BC2752" w:rsidP="00DD4DF6">
      <w:pPr>
        <w:spacing w:after="120"/>
        <w:jc w:val="both"/>
        <w:rPr>
          <w:rFonts w:ascii="Arial" w:hAnsi="Arial" w:cs="Arial"/>
          <w:sz w:val="24"/>
          <w:szCs w:val="24"/>
        </w:rPr>
      </w:pPr>
      <w:r w:rsidRPr="00BC2752">
        <w:rPr>
          <w:rFonts w:ascii="Arial" w:hAnsi="Arial" w:cs="Arial"/>
          <w:sz w:val="24"/>
          <w:szCs w:val="24"/>
        </w:rPr>
        <w:t>La finalidad de este concurso es promover el desarrollo de la economía local y el fortalecimiento</w:t>
      </w:r>
      <w:r>
        <w:rPr>
          <w:rFonts w:ascii="Arial" w:hAnsi="Arial" w:cs="Arial"/>
          <w:sz w:val="24"/>
          <w:szCs w:val="24"/>
        </w:rPr>
        <w:t xml:space="preserve"> de las empresas del municipio.</w:t>
      </w:r>
    </w:p>
    <w:p w14:paraId="673CD34C"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SEGUNDO.- BENEFICIARIOS Y REQUISITOS.</w:t>
      </w:r>
    </w:p>
    <w:p w14:paraId="2382E859"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Podrán participar en el concurso todos los establecimientos del municipio de San Lorenzo de El Escorial que dispongan de escaparate que lo soliciten mediante escrito presentado en el registro municipal de conformidad con el Anexo I.</w:t>
      </w:r>
    </w:p>
    <w:p w14:paraId="70185AB9"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En el caso de contarse con menos de 10 establecimientos participantes no se celebrará el concurso.</w:t>
      </w:r>
    </w:p>
    <w:p w14:paraId="715D547B"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TERCERA.- PREMIOS</w:t>
      </w:r>
    </w:p>
    <w:p w14:paraId="247ED478" w14:textId="77777777" w:rsidR="00BC2752" w:rsidRPr="00DD4DF6" w:rsidRDefault="00BC2752" w:rsidP="00DD4DF6">
      <w:pPr>
        <w:spacing w:after="120"/>
        <w:jc w:val="both"/>
        <w:rPr>
          <w:rFonts w:ascii="Arial" w:hAnsi="Arial" w:cs="Arial"/>
          <w:sz w:val="24"/>
          <w:szCs w:val="24"/>
        </w:rPr>
      </w:pPr>
      <w:r w:rsidRPr="00DD4DF6">
        <w:rPr>
          <w:rFonts w:ascii="Arial" w:hAnsi="Arial" w:cs="Arial"/>
          <w:sz w:val="24"/>
          <w:szCs w:val="24"/>
        </w:rPr>
        <w:t>PRIMER PREMIO: dotado con 299 euros, y un regalo institucional. Se otorgará a aquel establecimiento cuyo escaparate sea el más original y novedoso según el voto popular.</w:t>
      </w:r>
    </w:p>
    <w:p w14:paraId="30A9B4B8" w14:textId="77777777" w:rsidR="00BC2752" w:rsidRPr="00DD4DF6" w:rsidRDefault="00BC2752" w:rsidP="00DD4DF6">
      <w:pPr>
        <w:spacing w:after="120"/>
        <w:jc w:val="both"/>
        <w:rPr>
          <w:rFonts w:ascii="Arial" w:hAnsi="Arial" w:cs="Arial"/>
          <w:sz w:val="24"/>
          <w:szCs w:val="24"/>
        </w:rPr>
      </w:pPr>
      <w:r w:rsidRPr="00DD4DF6">
        <w:rPr>
          <w:rFonts w:ascii="Arial" w:hAnsi="Arial" w:cs="Arial"/>
          <w:sz w:val="24"/>
          <w:szCs w:val="24"/>
        </w:rPr>
        <w:t>SEGUNDO PREMIO: dotado con 200 euros y un regalo institucional. Se otorgará a aquel establecimiento cuyo escaparate presente en conjunto el mejor diseño y novedad mayor, según el voto popular.</w:t>
      </w:r>
    </w:p>
    <w:p w14:paraId="7986C85D"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TERCER PREMIO: dotado con 100 euros, y un regalo institucional. Se otorgará a aquel establecimiento cuyo escaparate novedoso que tenga una mayor relación con el producto que se comercialice en el establecimiento.</w:t>
      </w:r>
    </w:p>
    <w:p w14:paraId="42C1899A" w14:textId="77777777" w:rsidR="00BC2752" w:rsidRDefault="00BC2752" w:rsidP="00DD4DF6">
      <w:pPr>
        <w:spacing w:after="120"/>
        <w:jc w:val="both"/>
        <w:rPr>
          <w:rFonts w:ascii="Arial" w:hAnsi="Arial" w:cs="Arial"/>
          <w:sz w:val="24"/>
          <w:szCs w:val="24"/>
        </w:rPr>
      </w:pPr>
      <w:r w:rsidRPr="00DD4DF6">
        <w:rPr>
          <w:rFonts w:ascii="Arial" w:hAnsi="Arial" w:cs="Arial"/>
          <w:color w:val="000000"/>
          <w:sz w:val="23"/>
          <w:szCs w:val="23"/>
          <w:shd w:val="clear" w:color="auto" w:fill="FFFFFF"/>
        </w:rPr>
        <w:t>En caso de empate en el número de votos entre varias candidaturas sólo se concederán tres premios, dirimiéndose el mismo según el orden de presentación de la solicitud de participación en el concurso en el Registro General del Ayuntamiento.</w:t>
      </w:r>
    </w:p>
    <w:p w14:paraId="15C8AF7E"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lastRenderedPageBreak/>
        <w:t>Todos los establecimientos participantes re</w:t>
      </w:r>
      <w:r w:rsidR="00DD4DF6">
        <w:rPr>
          <w:rFonts w:ascii="Arial" w:hAnsi="Arial" w:cs="Arial"/>
          <w:sz w:val="24"/>
          <w:szCs w:val="24"/>
        </w:rPr>
        <w:t xml:space="preserve">cibirán un regalo institucional que </w:t>
      </w:r>
      <w:r w:rsidRPr="00BC2752">
        <w:rPr>
          <w:rFonts w:ascii="Arial" w:hAnsi="Arial" w:cs="Arial"/>
          <w:sz w:val="24"/>
          <w:szCs w:val="24"/>
        </w:rPr>
        <w:t xml:space="preserve"> consistirá en dos pases para adulto para el Centro de Agua y Salud del Ayuntamiento de San Lorenzo de El Escorial.</w:t>
      </w:r>
    </w:p>
    <w:p w14:paraId="4F012062"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CUARTA.- DURACIÓN DE LA CAMPAÑA</w:t>
      </w:r>
    </w:p>
    <w:p w14:paraId="79441E7F"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Los escaparates de los establecimientos participantes deberán estar expuestos desde el lunes 1</w:t>
      </w:r>
      <w:r>
        <w:rPr>
          <w:rFonts w:ascii="Arial" w:hAnsi="Arial" w:cs="Arial"/>
          <w:sz w:val="24"/>
          <w:szCs w:val="24"/>
        </w:rPr>
        <w:t>3</w:t>
      </w:r>
      <w:r w:rsidRPr="00BC2752">
        <w:rPr>
          <w:rFonts w:ascii="Arial" w:hAnsi="Arial" w:cs="Arial"/>
          <w:sz w:val="24"/>
          <w:szCs w:val="24"/>
        </w:rPr>
        <w:t xml:space="preserve"> de diciembre de 202</w:t>
      </w:r>
      <w:r>
        <w:rPr>
          <w:rFonts w:ascii="Arial" w:hAnsi="Arial" w:cs="Arial"/>
          <w:sz w:val="24"/>
          <w:szCs w:val="24"/>
        </w:rPr>
        <w:t>1</w:t>
      </w:r>
      <w:r w:rsidRPr="00BC2752">
        <w:rPr>
          <w:rFonts w:ascii="Arial" w:hAnsi="Arial" w:cs="Arial"/>
          <w:sz w:val="24"/>
          <w:szCs w:val="24"/>
        </w:rPr>
        <w:t xml:space="preserve"> hasta el </w:t>
      </w:r>
      <w:r>
        <w:rPr>
          <w:rFonts w:ascii="Arial" w:hAnsi="Arial" w:cs="Arial"/>
          <w:sz w:val="24"/>
          <w:szCs w:val="24"/>
        </w:rPr>
        <w:t>jueves</w:t>
      </w:r>
      <w:r w:rsidRPr="00BC2752">
        <w:rPr>
          <w:rFonts w:ascii="Arial" w:hAnsi="Arial" w:cs="Arial"/>
          <w:sz w:val="24"/>
          <w:szCs w:val="24"/>
        </w:rPr>
        <w:t xml:space="preserve"> 6 de enero de 202</w:t>
      </w:r>
      <w:r>
        <w:rPr>
          <w:rFonts w:ascii="Arial" w:hAnsi="Arial" w:cs="Arial"/>
          <w:sz w:val="24"/>
          <w:szCs w:val="24"/>
        </w:rPr>
        <w:t>2</w:t>
      </w:r>
      <w:r w:rsidRPr="00BC2752">
        <w:rPr>
          <w:rFonts w:ascii="Arial" w:hAnsi="Arial" w:cs="Arial"/>
          <w:sz w:val="24"/>
          <w:szCs w:val="24"/>
        </w:rPr>
        <w:t>, ambos inclusive.</w:t>
      </w:r>
    </w:p>
    <w:p w14:paraId="4552F89B"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QUINTA.- JURADO</w:t>
      </w:r>
    </w:p>
    <w:p w14:paraId="1B181F90"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 xml:space="preserve">El Jurado del concurso será popular. Para realizar las votaciones se establecerá y anunciará el procedimiento que se considere más oportuno. </w:t>
      </w:r>
    </w:p>
    <w:p w14:paraId="077F9535"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SEXTA.- VOTACIONES</w:t>
      </w:r>
    </w:p>
    <w:p w14:paraId="448BC714"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Las votaciones podrán realizarse desde el día 1</w:t>
      </w:r>
      <w:r>
        <w:rPr>
          <w:rFonts w:ascii="Arial" w:hAnsi="Arial" w:cs="Arial"/>
          <w:sz w:val="24"/>
          <w:szCs w:val="24"/>
        </w:rPr>
        <w:t>7</w:t>
      </w:r>
      <w:r w:rsidRPr="00BC2752">
        <w:rPr>
          <w:rFonts w:ascii="Arial" w:hAnsi="Arial" w:cs="Arial"/>
          <w:sz w:val="24"/>
          <w:szCs w:val="24"/>
        </w:rPr>
        <w:t xml:space="preserve"> de diciembre de 202</w:t>
      </w:r>
      <w:r w:rsidR="00DD4DF6">
        <w:rPr>
          <w:rFonts w:ascii="Arial" w:hAnsi="Arial" w:cs="Arial"/>
          <w:sz w:val="24"/>
          <w:szCs w:val="24"/>
        </w:rPr>
        <w:t>1</w:t>
      </w:r>
      <w:r w:rsidRPr="00BC2752">
        <w:rPr>
          <w:rFonts w:ascii="Arial" w:hAnsi="Arial" w:cs="Arial"/>
          <w:sz w:val="24"/>
          <w:szCs w:val="24"/>
        </w:rPr>
        <w:t xml:space="preserve"> hasta el día 6 de enero de 202</w:t>
      </w:r>
      <w:r w:rsidR="00DD4DF6">
        <w:rPr>
          <w:rFonts w:ascii="Arial" w:hAnsi="Arial" w:cs="Arial"/>
          <w:sz w:val="24"/>
          <w:szCs w:val="24"/>
        </w:rPr>
        <w:t>2</w:t>
      </w:r>
      <w:r w:rsidRPr="00BC2752">
        <w:rPr>
          <w:rFonts w:ascii="Arial" w:hAnsi="Arial" w:cs="Arial"/>
          <w:sz w:val="24"/>
          <w:szCs w:val="24"/>
        </w:rPr>
        <w:t xml:space="preserve"> a través del medio que se habilite para ello y que será anunciado con antelación.</w:t>
      </w:r>
    </w:p>
    <w:p w14:paraId="41612647" w14:textId="77777777" w:rsidR="00BC2752" w:rsidRPr="00BC2752" w:rsidRDefault="00BC2752" w:rsidP="00DD4DF6">
      <w:pPr>
        <w:spacing w:before="360" w:after="120"/>
        <w:jc w:val="both"/>
        <w:rPr>
          <w:rFonts w:ascii="Arial" w:hAnsi="Arial" w:cs="Arial"/>
          <w:sz w:val="24"/>
          <w:szCs w:val="24"/>
        </w:rPr>
      </w:pPr>
      <w:r w:rsidRPr="00BC2752">
        <w:rPr>
          <w:rFonts w:ascii="Arial" w:hAnsi="Arial" w:cs="Arial"/>
          <w:sz w:val="24"/>
          <w:szCs w:val="24"/>
        </w:rPr>
        <w:t>SÉPTIMA.- RECUENTO DE LAS VOTACIONES</w:t>
      </w:r>
    </w:p>
    <w:p w14:paraId="47064DBB"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El recuento de las votaciones será realizado por la Secretaria del Ayuntamiento y el personal técnico que designe la Concejala de Comercio.</w:t>
      </w:r>
    </w:p>
    <w:p w14:paraId="57E0D3E7" w14:textId="77777777" w:rsidR="00BC2752" w:rsidRPr="00BC2752" w:rsidRDefault="00DD4DF6" w:rsidP="00DD4DF6">
      <w:pPr>
        <w:spacing w:before="360" w:after="120"/>
        <w:jc w:val="both"/>
        <w:rPr>
          <w:rFonts w:ascii="Arial" w:hAnsi="Arial" w:cs="Arial"/>
          <w:sz w:val="24"/>
          <w:szCs w:val="24"/>
        </w:rPr>
      </w:pPr>
      <w:r>
        <w:rPr>
          <w:rFonts w:ascii="Arial" w:hAnsi="Arial" w:cs="Arial"/>
          <w:sz w:val="24"/>
          <w:szCs w:val="24"/>
        </w:rPr>
        <w:t>OCTAVA</w:t>
      </w:r>
      <w:r w:rsidR="00BC2752" w:rsidRPr="00BC2752">
        <w:rPr>
          <w:rFonts w:ascii="Arial" w:hAnsi="Arial" w:cs="Arial"/>
          <w:sz w:val="24"/>
          <w:szCs w:val="24"/>
        </w:rPr>
        <w:t>.- ENTREGA DE PREMIOS</w:t>
      </w:r>
    </w:p>
    <w:p w14:paraId="672E1E01" w14:textId="77777777" w:rsidR="00BC2752" w:rsidRPr="00BC2752" w:rsidRDefault="00BC2752" w:rsidP="00DD4DF6">
      <w:pPr>
        <w:spacing w:after="120"/>
        <w:jc w:val="both"/>
        <w:rPr>
          <w:rFonts w:ascii="Arial" w:hAnsi="Arial" w:cs="Arial"/>
          <w:sz w:val="24"/>
          <w:szCs w:val="24"/>
        </w:rPr>
      </w:pPr>
      <w:r w:rsidRPr="00BC2752">
        <w:rPr>
          <w:rFonts w:ascii="Arial" w:hAnsi="Arial" w:cs="Arial"/>
          <w:sz w:val="24"/>
          <w:szCs w:val="24"/>
        </w:rPr>
        <w:t xml:space="preserve">El resultado del concurso se dará a conocer en el acto de entrega de premios, que tendrá lugar en la Casa de Cultura el sábado </w:t>
      </w:r>
      <w:r>
        <w:rPr>
          <w:rFonts w:ascii="Arial" w:hAnsi="Arial" w:cs="Arial"/>
          <w:sz w:val="24"/>
          <w:szCs w:val="24"/>
        </w:rPr>
        <w:t>15</w:t>
      </w:r>
      <w:r w:rsidRPr="00BC2752">
        <w:rPr>
          <w:rFonts w:ascii="Arial" w:hAnsi="Arial" w:cs="Arial"/>
          <w:sz w:val="24"/>
          <w:szCs w:val="24"/>
        </w:rPr>
        <w:t xml:space="preserve"> de enero de 202</w:t>
      </w:r>
      <w:r w:rsidR="00DD4DF6">
        <w:rPr>
          <w:rFonts w:ascii="Arial" w:hAnsi="Arial" w:cs="Arial"/>
          <w:sz w:val="24"/>
          <w:szCs w:val="24"/>
        </w:rPr>
        <w:t>2</w:t>
      </w:r>
      <w:r w:rsidRPr="00BC2752">
        <w:rPr>
          <w:rFonts w:ascii="Arial" w:hAnsi="Arial" w:cs="Arial"/>
          <w:sz w:val="24"/>
          <w:szCs w:val="24"/>
        </w:rPr>
        <w:t>, a las 13:00 horas.</w:t>
      </w:r>
    </w:p>
    <w:p w14:paraId="6F420B70" w14:textId="77777777" w:rsidR="00BC2752" w:rsidRPr="00BC2752" w:rsidRDefault="00BC2752" w:rsidP="00DD4DF6">
      <w:pPr>
        <w:spacing w:after="120"/>
        <w:jc w:val="both"/>
        <w:rPr>
          <w:rFonts w:ascii="Arial" w:hAnsi="Arial" w:cs="Arial"/>
          <w:sz w:val="24"/>
          <w:szCs w:val="24"/>
        </w:rPr>
      </w:pPr>
    </w:p>
    <w:p w14:paraId="53BDCA49" w14:textId="77777777" w:rsidR="00BC2752" w:rsidRPr="00BC2752" w:rsidRDefault="00BC2752" w:rsidP="00DD4DF6">
      <w:pPr>
        <w:spacing w:after="120"/>
        <w:jc w:val="both"/>
        <w:rPr>
          <w:rFonts w:ascii="Arial" w:hAnsi="Arial" w:cs="Arial"/>
          <w:sz w:val="24"/>
          <w:szCs w:val="24"/>
        </w:rPr>
      </w:pPr>
    </w:p>
    <w:p w14:paraId="33064370" w14:textId="77777777" w:rsidR="00210782" w:rsidRPr="00BC2752" w:rsidRDefault="00210782" w:rsidP="00DD4DF6">
      <w:pPr>
        <w:pStyle w:val="Ttulo"/>
        <w:spacing w:after="120"/>
        <w:jc w:val="both"/>
        <w:rPr>
          <w:rFonts w:cs="Arial"/>
          <w:sz w:val="24"/>
          <w:szCs w:val="24"/>
        </w:rPr>
      </w:pPr>
    </w:p>
    <w:sectPr w:rsidR="00210782" w:rsidRPr="00BC2752" w:rsidSect="00161272">
      <w:headerReference w:type="default" r:id="rId9"/>
      <w:footerReference w:type="default" r:id="rId10"/>
      <w:pgSz w:w="11906" w:h="16838" w:code="9"/>
      <w:pgMar w:top="1514" w:right="1134" w:bottom="1701" w:left="1701" w:header="0" w:footer="169" w:gutter="0"/>
      <w:pgNumType w:chapStyle="1" w:chapSep="period"/>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7156F" w14:textId="77777777" w:rsidR="00D85985" w:rsidRDefault="00D85985" w:rsidP="00210782">
      <w:r>
        <w:separator/>
      </w:r>
    </w:p>
  </w:endnote>
  <w:endnote w:type="continuationSeparator" w:id="0">
    <w:p w14:paraId="1844AB29" w14:textId="77777777" w:rsidR="00D85985" w:rsidRDefault="00D85985" w:rsidP="00210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3E686" w14:textId="77777777" w:rsidR="00ED73E8" w:rsidRDefault="00ED73E8"/>
  <w:p w14:paraId="0A2F6153" w14:textId="77777777" w:rsidR="00161272" w:rsidRDefault="00161272" w:rsidP="0044525A">
    <w:pPr>
      <w:pStyle w:val="Piedepgina"/>
      <w:rPr>
        <w:rFonts w:ascii="Arial" w:hAnsi="Arial" w:cs="Arial"/>
        <w:sz w:val="14"/>
        <w:szCs w:val="14"/>
      </w:rPr>
    </w:pPr>
  </w:p>
  <w:p w14:paraId="56B55AEF" w14:textId="77777777" w:rsidR="00161272" w:rsidRDefault="00161272" w:rsidP="0044525A">
    <w:pPr>
      <w:pStyle w:val="Piedepgina"/>
      <w:rPr>
        <w:rFonts w:ascii="Arial" w:hAnsi="Arial" w:cs="Arial"/>
        <w:sz w:val="14"/>
        <w:szCs w:val="14"/>
      </w:rPr>
    </w:pPr>
  </w:p>
  <w:p w14:paraId="066E5BFE" w14:textId="77777777" w:rsidR="00161272" w:rsidRDefault="00161272" w:rsidP="0044525A">
    <w:pPr>
      <w:pStyle w:val="Piedepgina"/>
      <w:rPr>
        <w:rFonts w:ascii="Arial" w:hAnsi="Arial" w:cs="Arial"/>
        <w:sz w:val="14"/>
        <w:szCs w:val="14"/>
      </w:rPr>
    </w:pPr>
  </w:p>
  <w:p w14:paraId="52CBD898" w14:textId="77777777" w:rsidR="00ED73E8" w:rsidRPr="0044525A" w:rsidRDefault="00633479" w:rsidP="00161272">
    <w:pPr>
      <w:pStyle w:val="Piedepgina"/>
      <w:rPr>
        <w:rFonts w:ascii="Arial" w:hAnsi="Arial" w:cs="Arial"/>
        <w:sz w:val="14"/>
        <w:szCs w:val="14"/>
      </w:rPr>
    </w:pPr>
    <w:r>
      <w:rPr>
        <w:rFonts w:ascii="Arial" w:hAnsi="Arial" w:cs="Arial"/>
        <w:sz w:val="14"/>
        <w:szCs w:val="14"/>
      </w:rPr>
      <w:tab/>
    </w:r>
    <w:r>
      <w:rPr>
        <w:rFonts w:ascii="Arial" w:hAnsi="Arial" w:cs="Arial"/>
        <w:sz w:val="14"/>
        <w:szCs w:val="14"/>
      </w:rPr>
      <w:tab/>
    </w:r>
    <w:r w:rsidRPr="0044525A">
      <w:rPr>
        <w:rFonts w:ascii="Arial" w:hAnsi="Arial" w:cs="Arial"/>
        <w:sz w:val="14"/>
        <w:szCs w:val="14"/>
      </w:rPr>
      <w:t xml:space="preserve">Página </w:t>
    </w:r>
    <w:r w:rsidRPr="0044525A">
      <w:rPr>
        <w:rFonts w:ascii="Arial" w:hAnsi="Arial" w:cs="Arial"/>
        <w:sz w:val="14"/>
        <w:szCs w:val="14"/>
      </w:rPr>
      <w:fldChar w:fldCharType="begin"/>
    </w:r>
    <w:r w:rsidRPr="0044525A">
      <w:rPr>
        <w:rFonts w:ascii="Arial" w:hAnsi="Arial" w:cs="Arial"/>
        <w:sz w:val="14"/>
        <w:szCs w:val="14"/>
      </w:rPr>
      <w:instrText xml:space="preserve"> PAGE </w:instrText>
    </w:r>
    <w:r w:rsidRPr="0044525A">
      <w:rPr>
        <w:rFonts w:ascii="Arial" w:hAnsi="Arial" w:cs="Arial"/>
        <w:sz w:val="14"/>
        <w:szCs w:val="14"/>
      </w:rPr>
      <w:fldChar w:fldCharType="separate"/>
    </w:r>
    <w:r w:rsidR="00DD4DF6">
      <w:rPr>
        <w:rFonts w:ascii="Arial" w:hAnsi="Arial" w:cs="Arial"/>
        <w:noProof/>
        <w:sz w:val="14"/>
        <w:szCs w:val="14"/>
      </w:rPr>
      <w:t>2</w:t>
    </w:r>
    <w:r w:rsidRPr="0044525A">
      <w:rPr>
        <w:rFonts w:ascii="Arial" w:hAnsi="Arial" w:cs="Arial"/>
        <w:sz w:val="14"/>
        <w:szCs w:val="14"/>
      </w:rPr>
      <w:fldChar w:fldCharType="end"/>
    </w:r>
    <w:r w:rsidRPr="0044525A">
      <w:rPr>
        <w:rFonts w:ascii="Arial" w:hAnsi="Arial" w:cs="Arial"/>
        <w:sz w:val="14"/>
        <w:szCs w:val="14"/>
      </w:rPr>
      <w:t xml:space="preserve"> de </w:t>
    </w:r>
    <w:r w:rsidRPr="0044525A">
      <w:rPr>
        <w:rFonts w:ascii="Arial" w:hAnsi="Arial" w:cs="Arial"/>
        <w:sz w:val="14"/>
        <w:szCs w:val="14"/>
      </w:rPr>
      <w:fldChar w:fldCharType="begin"/>
    </w:r>
    <w:r w:rsidRPr="0044525A">
      <w:rPr>
        <w:rFonts w:ascii="Arial" w:hAnsi="Arial" w:cs="Arial"/>
        <w:sz w:val="14"/>
        <w:szCs w:val="14"/>
      </w:rPr>
      <w:instrText xml:space="preserve"> NUMPAGES </w:instrText>
    </w:r>
    <w:r w:rsidRPr="0044525A">
      <w:rPr>
        <w:rFonts w:ascii="Arial" w:hAnsi="Arial" w:cs="Arial"/>
        <w:sz w:val="14"/>
        <w:szCs w:val="14"/>
      </w:rPr>
      <w:fldChar w:fldCharType="separate"/>
    </w:r>
    <w:r w:rsidR="00DD4DF6">
      <w:rPr>
        <w:rFonts w:ascii="Arial" w:hAnsi="Arial" w:cs="Arial"/>
        <w:noProof/>
        <w:sz w:val="14"/>
        <w:szCs w:val="14"/>
      </w:rPr>
      <w:t>2</w:t>
    </w:r>
    <w:r w:rsidRPr="0044525A">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5EF44" w14:textId="77777777" w:rsidR="00D85985" w:rsidRDefault="00D85985" w:rsidP="00210782">
      <w:r>
        <w:separator/>
      </w:r>
    </w:p>
  </w:footnote>
  <w:footnote w:type="continuationSeparator" w:id="0">
    <w:p w14:paraId="7F9877D8" w14:textId="77777777" w:rsidR="00D85985" w:rsidRDefault="00D85985" w:rsidP="00210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F7765" w14:textId="77777777" w:rsidR="00ED73E8" w:rsidRPr="00161272" w:rsidRDefault="00D85985" w:rsidP="00161272">
    <w:pPr>
      <w:pStyle w:val="Encabezado"/>
      <w:jc w:val="center"/>
      <w:rPr>
        <w:sz w:val="24"/>
        <w:szCs w:val="24"/>
      </w:rPr>
    </w:pPr>
    <w:r w:rsidRPr="00BF14CD">
      <w:rPr>
        <w:noProof/>
      </w:rPr>
      <w:drawing>
        <wp:inline distT="0" distB="0" distL="0" distR="0" wp14:anchorId="664EC93D" wp14:editId="778B1C19">
          <wp:extent cx="2162175" cy="1485900"/>
          <wp:effectExtent l="0" t="0" r="0" b="0"/>
          <wp:docPr id="2"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485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A13AB"/>
    <w:multiLevelType w:val="hybridMultilevel"/>
    <w:tmpl w:val="EA66C836"/>
    <w:lvl w:ilvl="0" w:tplc="07FCC43C">
      <w:numFmt w:val="bullet"/>
      <w:lvlText w:val=""/>
      <w:lvlJc w:val="left"/>
      <w:pPr>
        <w:ind w:left="1068" w:hanging="360"/>
      </w:pPr>
      <w:rPr>
        <w:rFonts w:ascii="Symbol" w:eastAsia="Times New Roman" w:hAnsi="Symbol"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1"/>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C87974"/>
    <w:rsid w:val="00161272"/>
    <w:rsid w:val="00210782"/>
    <w:rsid w:val="004011FC"/>
    <w:rsid w:val="0044525A"/>
    <w:rsid w:val="004F6620"/>
    <w:rsid w:val="00633479"/>
    <w:rsid w:val="006C5BD9"/>
    <w:rsid w:val="008D0366"/>
    <w:rsid w:val="008F05FE"/>
    <w:rsid w:val="009F7714"/>
    <w:rsid w:val="00A66AEF"/>
    <w:rsid w:val="00A67B59"/>
    <w:rsid w:val="00AB1039"/>
    <w:rsid w:val="00AB2383"/>
    <w:rsid w:val="00B77C71"/>
    <w:rsid w:val="00B83459"/>
    <w:rsid w:val="00BC2752"/>
    <w:rsid w:val="00BF14CD"/>
    <w:rsid w:val="00C87974"/>
    <w:rsid w:val="00D57AA4"/>
    <w:rsid w:val="00D85985"/>
    <w:rsid w:val="00DD4DF6"/>
    <w:rsid w:val="00E04AAC"/>
    <w:rsid w:val="00E85348"/>
    <w:rsid w:val="00E948E7"/>
    <w:rsid w:val="00ED73E8"/>
    <w:rsid w:val="00F26E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557952"/>
  <w14:defaultImageDpi w14:val="0"/>
  <w15:docId w15:val="{A065B552-B839-4A94-9475-7F3D78186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782"/>
    <w:pPr>
      <w:spacing w:after="0" w:line="240" w:lineRule="auto"/>
    </w:pPr>
    <w:rPr>
      <w:rFonts w:ascii="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10782"/>
    <w:pPr>
      <w:tabs>
        <w:tab w:val="center" w:pos="4252"/>
        <w:tab w:val="right" w:pos="8504"/>
      </w:tabs>
    </w:pPr>
  </w:style>
  <w:style w:type="character" w:customStyle="1" w:styleId="EncabezadoCar">
    <w:name w:val="Encabezado Car"/>
    <w:basedOn w:val="Fuentedeprrafopredeter"/>
    <w:link w:val="Encabezado"/>
    <w:uiPriority w:val="99"/>
    <w:locked/>
    <w:rsid w:val="00210782"/>
    <w:rPr>
      <w:rFonts w:ascii="Times New Roman" w:hAnsi="Times New Roman" w:cs="Times New Roman"/>
      <w:sz w:val="20"/>
      <w:szCs w:val="20"/>
      <w:lang w:val="x-none" w:eastAsia="es-ES"/>
    </w:rPr>
  </w:style>
  <w:style w:type="paragraph" w:styleId="Piedepgina">
    <w:name w:val="footer"/>
    <w:basedOn w:val="Normal"/>
    <w:link w:val="PiedepginaCar"/>
    <w:uiPriority w:val="99"/>
    <w:semiHidden/>
    <w:rsid w:val="00210782"/>
    <w:pPr>
      <w:tabs>
        <w:tab w:val="center" w:pos="4252"/>
        <w:tab w:val="right" w:pos="8504"/>
      </w:tabs>
    </w:pPr>
  </w:style>
  <w:style w:type="character" w:customStyle="1" w:styleId="PiedepginaCar">
    <w:name w:val="Pie de página Car"/>
    <w:basedOn w:val="Fuentedeprrafopredeter"/>
    <w:link w:val="Piedepgina"/>
    <w:uiPriority w:val="99"/>
    <w:semiHidden/>
    <w:locked/>
    <w:rsid w:val="00210782"/>
    <w:rPr>
      <w:rFonts w:ascii="Times New Roman" w:hAnsi="Times New Roman" w:cs="Times New Roman"/>
      <w:sz w:val="20"/>
      <w:szCs w:val="20"/>
      <w:lang w:val="x-none" w:eastAsia="es-ES"/>
    </w:rPr>
  </w:style>
  <w:style w:type="paragraph" w:styleId="Ttulo">
    <w:name w:val="Title"/>
    <w:basedOn w:val="Normal"/>
    <w:link w:val="TtuloCar"/>
    <w:uiPriority w:val="10"/>
    <w:qFormat/>
    <w:rsid w:val="00210782"/>
    <w:pPr>
      <w:jc w:val="center"/>
    </w:pPr>
    <w:rPr>
      <w:rFonts w:ascii="Arial" w:hAnsi="Arial"/>
      <w:b/>
      <w:sz w:val="22"/>
    </w:rPr>
  </w:style>
  <w:style w:type="character" w:customStyle="1" w:styleId="TtuloCar">
    <w:name w:val="Título Car"/>
    <w:basedOn w:val="Fuentedeprrafopredeter"/>
    <w:link w:val="Ttulo"/>
    <w:uiPriority w:val="10"/>
    <w:locked/>
    <w:rsid w:val="00210782"/>
    <w:rPr>
      <w:rFonts w:ascii="Arial" w:hAnsi="Arial" w:cs="Times New Roman"/>
      <w:b/>
      <w:sz w:val="20"/>
      <w:szCs w:val="20"/>
      <w:lang w:val="x-none" w:eastAsia="es-ES"/>
    </w:rPr>
  </w:style>
  <w:style w:type="paragraph" w:customStyle="1" w:styleId="Predeterminado">
    <w:name w:val="Predeterminado"/>
    <w:rsid w:val="00210782"/>
    <w:pPr>
      <w:tabs>
        <w:tab w:val="left" w:pos="708"/>
      </w:tabs>
      <w:suppressAutoHyphens/>
    </w:pPr>
    <w:rPr>
      <w:rFonts w:ascii="Times New Roman" w:hAnsi="Times New Roman" w:cs="Times New Roman"/>
      <w:color w:val="00000A"/>
      <w:sz w:val="20"/>
      <w:szCs w:val="20"/>
      <w:lang w:eastAsia="es-ES"/>
    </w:rPr>
  </w:style>
  <w:style w:type="paragraph" w:styleId="Textodeglobo">
    <w:name w:val="Balloon Text"/>
    <w:basedOn w:val="Normal"/>
    <w:link w:val="TextodegloboCar"/>
    <w:uiPriority w:val="99"/>
    <w:semiHidden/>
    <w:unhideWhenUsed/>
    <w:rsid w:val="00210782"/>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10782"/>
    <w:rPr>
      <w:rFonts w:ascii="Tahoma" w:hAnsi="Tahoma" w:cs="Tahoma"/>
      <w:sz w:val="16"/>
      <w:szCs w:val="16"/>
      <w:lang w:val="x-none" w:eastAsia="es-ES"/>
    </w:rPr>
  </w:style>
  <w:style w:type="character" w:styleId="Hipervnculo">
    <w:name w:val="Hyperlink"/>
    <w:basedOn w:val="Fuentedeprrafopredeter"/>
    <w:uiPriority w:val="99"/>
    <w:semiHidden/>
    <w:unhideWhenUsed/>
    <w:rsid w:val="00BC2752"/>
    <w:rPr>
      <w:rFonts w:ascii="Times New Roman" w:hAnsi="Times New Roman" w:cs="Times New Roman"/>
      <w:color w:val="0000FF"/>
      <w:u w:val="single"/>
    </w:rPr>
  </w:style>
  <w:style w:type="paragraph" w:styleId="Prrafodelista">
    <w:name w:val="List Paragraph"/>
    <w:basedOn w:val="Normal"/>
    <w:uiPriority w:val="34"/>
    <w:qFormat/>
    <w:rsid w:val="00BC2752"/>
    <w:pPr>
      <w:autoSpaceDE w:val="0"/>
      <w:autoSpaceDN w:val="0"/>
      <w:adjustRightInd w:val="0"/>
      <w:ind w:left="720"/>
      <w:contextualSpacing/>
      <w:jc w:val="both"/>
    </w:pPr>
    <w:rPr>
      <w:rFonts w:ascii="Arial" w:hAnsi="Arial" w:cs="Arial"/>
      <w:sz w:val="24"/>
    </w:rPr>
  </w:style>
  <w:style w:type="paragraph" w:customStyle="1" w:styleId="Default">
    <w:name w:val="Default"/>
    <w:rsid w:val="00BC2752"/>
    <w:pPr>
      <w:autoSpaceDE w:val="0"/>
      <w:autoSpaceDN w:val="0"/>
      <w:adjustRightInd w:val="0"/>
      <w:spacing w:after="0" w:line="240" w:lineRule="auto"/>
    </w:pPr>
    <w:rPr>
      <w:rFonts w:ascii="Arial"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8520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sanlorenzo.es" TargetMode="External"/><Relationship Id="rId3" Type="http://schemas.openxmlformats.org/officeDocument/2006/relationships/settings" Target="settings.xml"/><Relationship Id="rId7" Type="http://schemas.openxmlformats.org/officeDocument/2006/relationships/hyperlink" Target="http://www.pap.minhafp.gob.es/bdnstrans/es/inde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GESTDOC\exptes\Plantillas\Desarrollo%20Local\Informe%20Tecn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Informe Tecnico.dotx</Template>
  <TotalTime>2</TotalTime>
  <Pages>2</Pages>
  <Words>530</Words>
  <Characters>2916</Characters>
  <Application>Microsoft Office Word</Application>
  <DocSecurity>0</DocSecurity>
  <Lines>24</Lines>
  <Paragraphs>6</Paragraphs>
  <ScaleCrop>false</ScaleCrop>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NJimenez</dc:creator>
  <cp:keywords/>
  <dc:description/>
  <cp:lastModifiedBy>Sergio Alvarez Garcia</cp:lastModifiedBy>
  <cp:revision>2</cp:revision>
  <dcterms:created xsi:type="dcterms:W3CDTF">2021-11-04T13:32:00Z</dcterms:created>
  <dcterms:modified xsi:type="dcterms:W3CDTF">2021-11-04T13:32:00Z</dcterms:modified>
</cp:coreProperties>
</file>