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b/>
          <w:bCs/>
          <w:color w:val="333333"/>
          <w:sz w:val="20"/>
          <w:szCs w:val="20"/>
          <w:lang w:eastAsia="es-ES"/>
        </w:rPr>
        <w:t>ANUNCIO</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b/>
          <w:b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color w:val="000000"/>
          <w:sz w:val="20"/>
          <w:szCs w:val="20"/>
          <w:lang w:eastAsia="es-ES"/>
        </w:rPr>
        <w:t>Mediante Decreto de Alcaldía 0651/2020 de fecha 31 de agosto de 2020 se acordó el que literalmente se transcribe:</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proofErr w:type="gramStart"/>
      <w:r w:rsidRPr="004B0491">
        <w:rPr>
          <w:rFonts w:ascii="Times New Roman" w:eastAsia="Times New Roman" w:hAnsi="Times New Roman" w:cs="Times New Roman"/>
          <w:i/>
          <w:iCs/>
          <w:color w:val="000000"/>
          <w:sz w:val="20"/>
          <w:szCs w:val="20"/>
          <w:lang w:eastAsia="es-ES"/>
        </w:rPr>
        <w:t>" </w:t>
      </w:r>
      <w:r w:rsidRPr="004B0491">
        <w:rPr>
          <w:rFonts w:ascii="Arial" w:eastAsia="Times New Roman" w:hAnsi="Arial" w:cs="Arial"/>
          <w:b/>
          <w:bCs/>
          <w:i/>
          <w:iCs/>
          <w:color w:val="000000"/>
          <w:sz w:val="20"/>
          <w:szCs w:val="20"/>
          <w:u w:val="single"/>
          <w:lang w:eastAsia="es-ES"/>
        </w:rPr>
        <w:t>Expediente</w:t>
      </w:r>
      <w:proofErr w:type="gramEnd"/>
      <w:r w:rsidRPr="004B0491">
        <w:rPr>
          <w:rFonts w:ascii="Arial" w:eastAsia="Times New Roman" w:hAnsi="Arial" w:cs="Arial"/>
          <w:b/>
          <w:bCs/>
          <w:i/>
          <w:iCs/>
          <w:color w:val="000000"/>
          <w:sz w:val="20"/>
          <w:szCs w:val="20"/>
          <w:u w:val="single"/>
          <w:lang w:eastAsia="es-ES"/>
        </w:rPr>
        <w:t xml:space="preserve"> 1667/2020: </w:t>
      </w:r>
      <w:r w:rsidRPr="004B0491">
        <w:rPr>
          <w:rFonts w:ascii="Arial" w:eastAsia="Times New Roman" w:hAnsi="Arial" w:cs="Arial"/>
          <w:i/>
          <w:iCs/>
          <w:color w:val="000000"/>
          <w:sz w:val="20"/>
          <w:szCs w:val="20"/>
          <w:lang w:eastAsia="es-ES"/>
        </w:rPr>
        <w:t xml:space="preserve">Convocatoria para la concesión de subvenciones por concurrencia competitiva a entidades de </w:t>
      </w:r>
      <w:proofErr w:type="spellStart"/>
      <w:r w:rsidRPr="004B0491">
        <w:rPr>
          <w:rFonts w:ascii="Arial" w:eastAsia="Times New Roman" w:hAnsi="Arial" w:cs="Arial"/>
          <w:i/>
          <w:iCs/>
          <w:color w:val="000000"/>
          <w:sz w:val="20"/>
          <w:szCs w:val="20"/>
          <w:lang w:eastAsia="es-ES"/>
        </w:rPr>
        <w:t>Cabrils</w:t>
      </w:r>
      <w:proofErr w:type="spellEnd"/>
      <w:r w:rsidRPr="004B0491">
        <w:rPr>
          <w:rFonts w:ascii="Arial" w:eastAsia="Times New Roman" w:hAnsi="Arial" w:cs="Arial"/>
          <w:i/>
          <w:iCs/>
          <w:color w:val="000000"/>
          <w:sz w:val="20"/>
          <w:szCs w:val="20"/>
          <w:lang w:eastAsia="es-ES"/>
        </w:rPr>
        <w:t xml:space="preserve"> 2020</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xml:space="preserve">El Pleno de la Corporación en sesión ordinaria de fecha 25 de marzo de 2010 aprobó la Ordenanza general de subvenciones del Ayuntamiento de </w:t>
      </w:r>
      <w:proofErr w:type="spellStart"/>
      <w:r w:rsidRPr="004B0491">
        <w:rPr>
          <w:rFonts w:ascii="Arial" w:eastAsia="Times New Roman" w:hAnsi="Arial" w:cs="Arial"/>
          <w:i/>
          <w:iCs/>
          <w:color w:val="000000"/>
          <w:sz w:val="20"/>
          <w:szCs w:val="20"/>
          <w:lang w:eastAsia="es-ES"/>
        </w:rPr>
        <w:t>Cabrils</w:t>
      </w:r>
      <w:proofErr w:type="spellEnd"/>
      <w:r w:rsidRPr="004B0491">
        <w:rPr>
          <w:rFonts w:ascii="Arial" w:eastAsia="Times New Roman" w:hAnsi="Arial" w:cs="Arial"/>
          <w:i/>
          <w:iCs/>
          <w:color w:val="000000"/>
          <w:sz w:val="20"/>
          <w:szCs w:val="20"/>
          <w:lang w:eastAsia="es-ES"/>
        </w:rPr>
        <w:t>.</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xml:space="preserve">Esta ordenanza general tiene por objeto regular y fijar los criterios y el procedimiento a seguir para la solicitud, concesión, justificación y pago de subvenciones por parte del Ayuntamiento de </w:t>
      </w:r>
      <w:proofErr w:type="spellStart"/>
      <w:r w:rsidRPr="004B0491">
        <w:rPr>
          <w:rFonts w:ascii="Arial" w:eastAsia="Times New Roman" w:hAnsi="Arial" w:cs="Arial"/>
          <w:i/>
          <w:iCs/>
          <w:color w:val="000000"/>
          <w:sz w:val="20"/>
          <w:szCs w:val="20"/>
          <w:lang w:eastAsia="es-ES"/>
        </w:rPr>
        <w:t>Cabrils</w:t>
      </w:r>
      <w:proofErr w:type="spellEnd"/>
      <w:r w:rsidRPr="004B0491">
        <w:rPr>
          <w:rFonts w:ascii="Arial" w:eastAsia="Times New Roman" w:hAnsi="Arial" w:cs="Arial"/>
          <w:i/>
          <w:iCs/>
          <w:color w:val="000000"/>
          <w:sz w:val="20"/>
          <w:szCs w:val="20"/>
          <w:lang w:eastAsia="es-ES"/>
        </w:rPr>
        <w:t xml:space="preserve"> y, en su caso, sus organismos autónomos y / o entidades públicas de carácter empresarial.</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xml:space="preserve">Según la misma, las subvenciones se otorgan al amparo de lo que señalan los artículos 22 y 28.1 de la Ley 38/2003, de 17 de noviembre, General de subvenciones y 55 y siguientes del Reglamento de desarrollo, mediante convocatoria de concurso público, por lo que, las áreas del Ayuntamiento de </w:t>
      </w:r>
      <w:proofErr w:type="spellStart"/>
      <w:r w:rsidRPr="004B0491">
        <w:rPr>
          <w:rFonts w:ascii="Arial" w:eastAsia="Times New Roman" w:hAnsi="Arial" w:cs="Arial"/>
          <w:i/>
          <w:iCs/>
          <w:color w:val="000000"/>
          <w:sz w:val="20"/>
          <w:szCs w:val="20"/>
          <w:lang w:eastAsia="es-ES"/>
        </w:rPr>
        <w:t>Cabrils</w:t>
      </w:r>
      <w:proofErr w:type="spellEnd"/>
      <w:r w:rsidRPr="004B0491">
        <w:rPr>
          <w:rFonts w:ascii="Arial" w:eastAsia="Times New Roman" w:hAnsi="Arial" w:cs="Arial"/>
          <w:i/>
          <w:iCs/>
          <w:color w:val="000000"/>
          <w:sz w:val="20"/>
          <w:szCs w:val="20"/>
          <w:lang w:eastAsia="es-ES"/>
        </w:rPr>
        <w:t>, que promuevan programas de subvenciones, confeccionarán por cada uno de ellos unas bases específicas, respetando lo dispuesto en esta ordenanza y el contenido mínimo señalado en la misma.</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xml:space="preserve">Visto que las referidas bases contienen todas las determinaciones que exige la Ley 38/2003, de 17 de noviembre, General de Subvenciones y el artículo 55 y siguientes del Reglamento de desarrollo, así como la Ordenanza general de subvenciones del Ayuntamiento de </w:t>
      </w:r>
      <w:proofErr w:type="spellStart"/>
      <w:r w:rsidRPr="004B0491">
        <w:rPr>
          <w:rFonts w:ascii="Arial" w:eastAsia="Times New Roman" w:hAnsi="Arial" w:cs="Arial"/>
          <w:i/>
          <w:iCs/>
          <w:color w:val="000000"/>
          <w:sz w:val="20"/>
          <w:szCs w:val="20"/>
          <w:lang w:eastAsia="es-ES"/>
        </w:rPr>
        <w:t>Cabrils</w:t>
      </w:r>
      <w:proofErr w:type="spellEnd"/>
      <w:r w:rsidRPr="004B0491">
        <w:rPr>
          <w:rFonts w:ascii="Arial" w:eastAsia="Times New Roman" w:hAnsi="Arial" w:cs="Arial"/>
          <w:i/>
          <w:iCs/>
          <w:color w:val="000000"/>
          <w:sz w:val="20"/>
          <w:szCs w:val="20"/>
          <w:lang w:eastAsia="es-ES"/>
        </w:rPr>
        <w:t xml:space="preserve">, y se procede a su aprobación inicial y sometimiento a información pública por un plazo no inferior a veinte </w:t>
      </w:r>
      <w:proofErr w:type="gramStart"/>
      <w:r w:rsidRPr="004B0491">
        <w:rPr>
          <w:rFonts w:ascii="Arial" w:eastAsia="Times New Roman" w:hAnsi="Arial" w:cs="Arial"/>
          <w:i/>
          <w:iCs/>
          <w:color w:val="000000"/>
          <w:sz w:val="20"/>
          <w:szCs w:val="20"/>
          <w:lang w:eastAsia="es-ES"/>
        </w:rPr>
        <w:t>días </w:t>
      </w:r>
      <w:r w:rsidRPr="004B0491">
        <w:rPr>
          <w:rFonts w:ascii="Arial" w:eastAsia="Times New Roman" w:hAnsi="Arial" w:cs="Arial"/>
          <w:i/>
          <w:iCs/>
          <w:color w:val="FF0000"/>
          <w:sz w:val="20"/>
          <w:szCs w:val="20"/>
          <w:lang w:eastAsia="es-ES"/>
        </w:rPr>
        <w:t>.</w:t>
      </w:r>
      <w:proofErr w:type="gramEnd"/>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FF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xml:space="preserve">Vista la memoria de la concejalía de Participación y Regeneración Institucional, de fecha 6 de julio, en el que, después de recoger las impresiones de los responsables de las diferentes áreas, así como de cuestiones que pudieran haberse manifestado desde las entidades y </w:t>
      </w:r>
      <w:proofErr w:type="gramStart"/>
      <w:r w:rsidRPr="004B0491">
        <w:rPr>
          <w:rFonts w:ascii="Arial" w:eastAsia="Times New Roman" w:hAnsi="Arial" w:cs="Arial"/>
          <w:i/>
          <w:iCs/>
          <w:color w:val="000000"/>
          <w:sz w:val="20"/>
          <w:szCs w:val="20"/>
          <w:lang w:eastAsia="es-ES"/>
        </w:rPr>
        <w:t>asociaciones ,</w:t>
      </w:r>
      <w:proofErr w:type="gramEnd"/>
      <w:r w:rsidRPr="004B0491">
        <w:rPr>
          <w:rFonts w:ascii="Arial" w:eastAsia="Times New Roman" w:hAnsi="Arial" w:cs="Arial"/>
          <w:i/>
          <w:iCs/>
          <w:color w:val="000000"/>
          <w:sz w:val="20"/>
          <w:szCs w:val="20"/>
          <w:lang w:eastAsia="es-ES"/>
        </w:rPr>
        <w:t xml:space="preserve"> se modifican, con el objetivo de facilitar su resolución, diferentes criterios y finalidades respecto de las bases particulares reguladoras de la convocatoria para la concesión de subvenciones del año 2019.</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FF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Visto que las presentes subvenciones se financian con cargo a las aplicaciones presupuestarias del vigente presupuesto municipal 2020:</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tbl>
      <w:tblPr>
        <w:tblW w:w="8138" w:type="dxa"/>
        <w:tblInd w:w="312"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2569"/>
        <w:gridCol w:w="2707"/>
        <w:gridCol w:w="299"/>
        <w:gridCol w:w="2563"/>
      </w:tblGrid>
      <w:tr w:rsidR="004B0491" w:rsidRPr="004B0491" w:rsidTr="004B0491">
        <w:trPr>
          <w:trHeight w:val="516"/>
        </w:trPr>
        <w:tc>
          <w:tcPr>
            <w:tcW w:w="2358" w:type="dxa"/>
            <w:tcBorders>
              <w:bottom w:val="single" w:sz="8" w:space="0" w:color="auto"/>
              <w:right w:val="single" w:sz="8" w:space="0" w:color="auto"/>
            </w:tcBorders>
            <w:shd w:val="clear" w:color="auto" w:fill="D9D9D9"/>
            <w:tcMar>
              <w:top w:w="0" w:type="dxa"/>
              <w:left w:w="98" w:type="dxa"/>
              <w:bottom w:w="0" w:type="dxa"/>
              <w:right w:w="98" w:type="dxa"/>
            </w:tcMar>
            <w:vAlign w:val="center"/>
            <w:hideMark/>
          </w:tcPr>
          <w:p w:rsidR="004B0491" w:rsidRPr="004B0491" w:rsidRDefault="004B0491" w:rsidP="004B0491">
            <w:pPr>
              <w:spacing w:after="0" w:line="248" w:lineRule="atLeast"/>
              <w:ind w:left="567" w:hanging="567"/>
              <w:jc w:val="center"/>
              <w:rPr>
                <w:rFonts w:ascii="Arial" w:eastAsia="Times New Roman" w:hAnsi="Arial" w:cs="Arial"/>
                <w:sz w:val="24"/>
                <w:szCs w:val="24"/>
                <w:lang w:eastAsia="es-ES"/>
              </w:rPr>
            </w:pPr>
            <w:r w:rsidRPr="004B0491">
              <w:rPr>
                <w:rFonts w:ascii="Arial" w:eastAsia="Times New Roman" w:hAnsi="Arial" w:cs="Arial"/>
                <w:b/>
                <w:bCs/>
                <w:i/>
                <w:iCs/>
                <w:sz w:val="20"/>
                <w:szCs w:val="20"/>
                <w:lang w:eastAsia="es-ES"/>
              </w:rPr>
              <w:t>Concejalía</w:t>
            </w:r>
          </w:p>
        </w:tc>
        <w:tc>
          <w:tcPr>
            <w:tcW w:w="2759" w:type="dxa"/>
            <w:gridSpan w:val="2"/>
            <w:tcBorders>
              <w:left w:val="single" w:sz="8" w:space="0" w:color="auto"/>
              <w:bottom w:val="single" w:sz="8" w:space="0" w:color="auto"/>
              <w:right w:val="single" w:sz="8" w:space="0" w:color="auto"/>
            </w:tcBorders>
            <w:shd w:val="clear" w:color="auto" w:fill="D9D9D9"/>
            <w:tcMar>
              <w:top w:w="0" w:type="dxa"/>
              <w:left w:w="98" w:type="dxa"/>
              <w:bottom w:w="0" w:type="dxa"/>
              <w:right w:w="98" w:type="dxa"/>
            </w:tcMar>
            <w:vAlign w:val="center"/>
            <w:hideMark/>
          </w:tcPr>
          <w:p w:rsidR="004B0491" w:rsidRPr="004B0491" w:rsidRDefault="004B0491" w:rsidP="004B0491">
            <w:pPr>
              <w:spacing w:after="0" w:line="248" w:lineRule="atLeast"/>
              <w:ind w:left="567" w:right="258" w:hanging="567"/>
              <w:jc w:val="center"/>
              <w:rPr>
                <w:rFonts w:ascii="Arial" w:eastAsia="Times New Roman" w:hAnsi="Arial" w:cs="Arial"/>
                <w:sz w:val="24"/>
                <w:szCs w:val="24"/>
                <w:lang w:eastAsia="es-ES"/>
              </w:rPr>
            </w:pPr>
            <w:r w:rsidRPr="004B0491">
              <w:rPr>
                <w:rFonts w:ascii="Arial" w:eastAsia="Times New Roman" w:hAnsi="Arial" w:cs="Arial"/>
                <w:b/>
                <w:bCs/>
                <w:i/>
                <w:iCs/>
                <w:sz w:val="20"/>
                <w:szCs w:val="20"/>
                <w:lang w:eastAsia="es-ES"/>
              </w:rPr>
              <w:t>importe</w:t>
            </w:r>
          </w:p>
        </w:tc>
        <w:tc>
          <w:tcPr>
            <w:tcW w:w="2353" w:type="dxa"/>
            <w:tcBorders>
              <w:left w:val="single" w:sz="8" w:space="0" w:color="auto"/>
            </w:tcBorders>
            <w:shd w:val="clear" w:color="auto" w:fill="D9D9D9"/>
            <w:tcMar>
              <w:top w:w="0" w:type="dxa"/>
              <w:left w:w="98" w:type="dxa"/>
              <w:bottom w:w="0" w:type="dxa"/>
              <w:right w:w="98" w:type="dxa"/>
            </w:tcMar>
            <w:vAlign w:val="center"/>
            <w:hideMark/>
          </w:tcPr>
          <w:p w:rsidR="004B0491" w:rsidRPr="004B0491" w:rsidRDefault="004B0491" w:rsidP="004B0491">
            <w:pPr>
              <w:spacing w:after="0" w:line="229" w:lineRule="atLeast"/>
              <w:ind w:left="567" w:hanging="567"/>
              <w:jc w:val="center"/>
              <w:rPr>
                <w:rFonts w:ascii="Arial" w:eastAsia="Times New Roman" w:hAnsi="Arial" w:cs="Arial"/>
                <w:sz w:val="24"/>
                <w:szCs w:val="24"/>
                <w:lang w:eastAsia="es-ES"/>
              </w:rPr>
            </w:pPr>
            <w:r w:rsidRPr="004B0491">
              <w:rPr>
                <w:rFonts w:ascii="Arial" w:eastAsia="Times New Roman" w:hAnsi="Arial" w:cs="Arial"/>
                <w:b/>
                <w:bCs/>
                <w:i/>
                <w:iCs/>
                <w:sz w:val="20"/>
                <w:szCs w:val="20"/>
                <w:lang w:eastAsia="es-ES"/>
              </w:rPr>
              <w:t>consignación</w:t>
            </w:r>
          </w:p>
          <w:p w:rsidR="004B0491" w:rsidRPr="004B0491" w:rsidRDefault="004B0491" w:rsidP="004B0491">
            <w:pPr>
              <w:spacing w:after="0" w:line="229" w:lineRule="atLeast"/>
              <w:ind w:left="567" w:hanging="567"/>
              <w:jc w:val="center"/>
              <w:rPr>
                <w:rFonts w:ascii="Arial" w:eastAsia="Times New Roman" w:hAnsi="Arial" w:cs="Arial"/>
                <w:sz w:val="24"/>
                <w:szCs w:val="24"/>
                <w:lang w:eastAsia="es-ES"/>
              </w:rPr>
            </w:pPr>
            <w:r w:rsidRPr="004B0491">
              <w:rPr>
                <w:rFonts w:ascii="Arial" w:eastAsia="Times New Roman" w:hAnsi="Arial" w:cs="Arial"/>
                <w:b/>
                <w:bCs/>
                <w:i/>
                <w:iCs/>
                <w:sz w:val="20"/>
                <w:szCs w:val="20"/>
                <w:lang w:eastAsia="es-ES"/>
              </w:rPr>
              <w:t>presupuestaria</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both"/>
              <w:rPr>
                <w:rFonts w:ascii="Arial" w:eastAsia="Times New Roman" w:hAnsi="Arial" w:cs="Arial"/>
                <w:sz w:val="24"/>
                <w:szCs w:val="24"/>
                <w:lang w:eastAsia="es-ES"/>
              </w:rPr>
            </w:pPr>
            <w:r w:rsidRPr="004B0491">
              <w:rPr>
                <w:rFonts w:ascii="Arial" w:eastAsia="Times New Roman" w:hAnsi="Arial" w:cs="Arial"/>
                <w:i/>
                <w:iCs/>
                <w:sz w:val="20"/>
                <w:szCs w:val="20"/>
                <w:lang w:eastAsia="es-ES"/>
              </w:rPr>
              <w:t>Cooperación y Solidaridad</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10.000,00 €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2312.480.15</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both"/>
              <w:rPr>
                <w:rFonts w:ascii="Arial" w:eastAsia="Times New Roman" w:hAnsi="Arial" w:cs="Arial"/>
                <w:sz w:val="24"/>
                <w:szCs w:val="24"/>
                <w:lang w:eastAsia="es-ES"/>
              </w:rPr>
            </w:pPr>
            <w:r w:rsidRPr="004B0491">
              <w:rPr>
                <w:rFonts w:ascii="Arial" w:eastAsia="Times New Roman" w:hAnsi="Arial" w:cs="Arial"/>
                <w:i/>
                <w:iCs/>
                <w:sz w:val="20"/>
                <w:szCs w:val="20"/>
                <w:lang w:eastAsia="es-ES"/>
              </w:rPr>
              <w:t>promoción económica</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 </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categoría A</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2.000,00 €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4315.480.21</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categoría B</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6.000,00 €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4315.480.21</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29" w:lineRule="atLeast"/>
              <w:ind w:left="567" w:hanging="567"/>
              <w:jc w:val="both"/>
              <w:rPr>
                <w:rFonts w:ascii="Arial" w:eastAsia="Times New Roman" w:hAnsi="Arial" w:cs="Arial"/>
                <w:sz w:val="24"/>
                <w:szCs w:val="24"/>
                <w:lang w:eastAsia="es-ES"/>
              </w:rPr>
            </w:pPr>
            <w:r w:rsidRPr="004B0491">
              <w:rPr>
                <w:rFonts w:ascii="Arial" w:eastAsia="Times New Roman" w:hAnsi="Arial" w:cs="Arial"/>
                <w:i/>
                <w:iCs/>
                <w:sz w:val="20"/>
                <w:szCs w:val="20"/>
                <w:lang w:eastAsia="es-ES"/>
              </w:rPr>
              <w:t>educación</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29"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6.000,00 €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29"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323.489.01</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both"/>
              <w:rPr>
                <w:rFonts w:ascii="Arial" w:eastAsia="Times New Roman" w:hAnsi="Arial" w:cs="Arial"/>
                <w:sz w:val="24"/>
                <w:szCs w:val="24"/>
                <w:lang w:eastAsia="es-ES"/>
              </w:rPr>
            </w:pPr>
            <w:r w:rsidRPr="004B0491">
              <w:rPr>
                <w:rFonts w:ascii="Arial" w:eastAsia="Times New Roman" w:hAnsi="Arial" w:cs="Arial"/>
                <w:i/>
                <w:iCs/>
                <w:sz w:val="20"/>
                <w:szCs w:val="20"/>
                <w:lang w:eastAsia="es-ES"/>
              </w:rPr>
              <w:t>cultura</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4.500,00 €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330.489.09</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both"/>
              <w:rPr>
                <w:rFonts w:ascii="Arial" w:eastAsia="Times New Roman" w:hAnsi="Arial" w:cs="Arial"/>
                <w:sz w:val="24"/>
                <w:szCs w:val="24"/>
                <w:lang w:eastAsia="es-ES"/>
              </w:rPr>
            </w:pPr>
            <w:r w:rsidRPr="004B0491">
              <w:rPr>
                <w:rFonts w:ascii="Arial" w:eastAsia="Times New Roman" w:hAnsi="Arial" w:cs="Arial"/>
                <w:i/>
                <w:iCs/>
                <w:sz w:val="20"/>
                <w:szCs w:val="20"/>
                <w:lang w:eastAsia="es-ES"/>
              </w:rPr>
              <w:t>Juventud</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2.600,00 €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3371.480.29</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both"/>
              <w:rPr>
                <w:rFonts w:ascii="Arial" w:eastAsia="Times New Roman" w:hAnsi="Arial" w:cs="Arial"/>
                <w:sz w:val="24"/>
                <w:szCs w:val="24"/>
                <w:lang w:eastAsia="es-ES"/>
              </w:rPr>
            </w:pPr>
            <w:r w:rsidRPr="004B0491">
              <w:rPr>
                <w:rFonts w:ascii="Arial" w:eastAsia="Times New Roman" w:hAnsi="Arial" w:cs="Arial"/>
                <w:i/>
                <w:iCs/>
                <w:sz w:val="20"/>
                <w:szCs w:val="20"/>
                <w:lang w:eastAsia="es-ES"/>
              </w:rPr>
              <w:t>Deportes</w:t>
            </w:r>
          </w:p>
        </w:tc>
        <w:tc>
          <w:tcPr>
            <w:tcW w:w="2485" w:type="dxa"/>
            <w:tcBorders>
              <w:top w:val="single" w:sz="8" w:space="0" w:color="auto"/>
              <w:left w:val="single" w:sz="8" w:space="0" w:color="auto"/>
              <w:bottom w:val="single" w:sz="8" w:space="0" w:color="auto"/>
            </w:tcBorders>
            <w:tcMar>
              <w:top w:w="0" w:type="dxa"/>
              <w:left w:w="98" w:type="dxa"/>
              <w:bottom w:w="0" w:type="dxa"/>
              <w:right w:w="108" w:type="dxa"/>
            </w:tcMar>
            <w:hideMark/>
          </w:tcPr>
          <w:p w:rsidR="004B0491" w:rsidRPr="004B0491" w:rsidRDefault="004B0491" w:rsidP="004B0491">
            <w:pPr>
              <w:spacing w:after="0" w:line="240" w:lineRule="auto"/>
              <w:ind w:left="567" w:hanging="567"/>
              <w:jc w:val="right"/>
              <w:rPr>
                <w:rFonts w:ascii="Arial" w:eastAsia="Times New Roman" w:hAnsi="Arial" w:cs="Arial"/>
                <w:sz w:val="20"/>
                <w:szCs w:val="20"/>
                <w:lang w:eastAsia="es-ES"/>
              </w:rPr>
            </w:pPr>
            <w:r w:rsidRPr="004B0491">
              <w:rPr>
                <w:rFonts w:ascii="Arial" w:eastAsia="Times New Roman" w:hAnsi="Arial" w:cs="Arial"/>
                <w:i/>
                <w:iCs/>
                <w:sz w:val="20"/>
                <w:szCs w:val="20"/>
                <w:lang w:eastAsia="es-ES"/>
              </w:rPr>
              <w:t> </w:t>
            </w:r>
          </w:p>
        </w:tc>
        <w:tc>
          <w:tcPr>
            <w:tcW w:w="58" w:type="dxa"/>
            <w:tcBorders>
              <w:top w:val="single" w:sz="8" w:space="0" w:color="auto"/>
              <w:bottom w:val="single" w:sz="8" w:space="0" w:color="auto"/>
              <w:right w:val="single" w:sz="8" w:space="0" w:color="auto"/>
            </w:tcBorders>
            <w:tcMar>
              <w:top w:w="0" w:type="dxa"/>
              <w:left w:w="108" w:type="dxa"/>
              <w:bottom w:w="0" w:type="dxa"/>
              <w:right w:w="98" w:type="dxa"/>
            </w:tcMar>
            <w:hideMark/>
          </w:tcPr>
          <w:p w:rsidR="004B0491" w:rsidRPr="004B0491" w:rsidRDefault="004B0491" w:rsidP="004B0491">
            <w:pPr>
              <w:spacing w:after="0" w:line="240" w:lineRule="auto"/>
              <w:ind w:left="567" w:hanging="567"/>
              <w:jc w:val="right"/>
              <w:rPr>
                <w:rFonts w:ascii="Arial" w:eastAsia="Times New Roman" w:hAnsi="Arial" w:cs="Arial"/>
                <w:sz w:val="20"/>
                <w:szCs w:val="20"/>
                <w:lang w:eastAsia="es-ES"/>
              </w:rPr>
            </w:pPr>
            <w:r w:rsidRPr="004B0491">
              <w:rPr>
                <w:rFonts w:ascii="Arial" w:eastAsia="Times New Roman" w:hAnsi="Arial" w:cs="Arial"/>
                <w:i/>
                <w:iCs/>
                <w:sz w:val="20"/>
                <w:szCs w:val="20"/>
                <w:lang w:eastAsia="es-ES"/>
              </w:rPr>
              <w:t>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 </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apartado A</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10.000,00 €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342.489.16</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apartado B</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25.000,00 €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342.489.16</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both"/>
              <w:rPr>
                <w:rFonts w:ascii="Arial" w:eastAsia="Times New Roman" w:hAnsi="Arial" w:cs="Arial"/>
                <w:sz w:val="24"/>
                <w:szCs w:val="24"/>
                <w:lang w:eastAsia="es-ES"/>
              </w:rPr>
            </w:pPr>
            <w:r w:rsidRPr="004B0491">
              <w:rPr>
                <w:rFonts w:ascii="Arial" w:eastAsia="Times New Roman" w:hAnsi="Arial" w:cs="Arial"/>
                <w:i/>
                <w:iCs/>
                <w:sz w:val="20"/>
                <w:szCs w:val="20"/>
                <w:lang w:eastAsia="es-ES"/>
              </w:rPr>
              <w:t>Comercio</w:t>
            </w:r>
          </w:p>
        </w:tc>
        <w:tc>
          <w:tcPr>
            <w:tcW w:w="2485" w:type="dxa"/>
            <w:tcBorders>
              <w:top w:val="single" w:sz="8" w:space="0" w:color="auto"/>
              <w:left w:val="single" w:sz="8" w:space="0" w:color="auto"/>
              <w:bottom w:val="single" w:sz="8" w:space="0" w:color="auto"/>
            </w:tcBorders>
            <w:tcMar>
              <w:top w:w="0" w:type="dxa"/>
              <w:left w:w="98" w:type="dxa"/>
              <w:bottom w:w="0" w:type="dxa"/>
              <w:right w:w="10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 </w:t>
            </w:r>
          </w:p>
        </w:tc>
        <w:tc>
          <w:tcPr>
            <w:tcW w:w="58" w:type="dxa"/>
            <w:tcBorders>
              <w:top w:val="single" w:sz="8" w:space="0" w:color="auto"/>
              <w:bottom w:val="single" w:sz="8" w:space="0" w:color="auto"/>
              <w:right w:val="single" w:sz="8" w:space="0" w:color="auto"/>
            </w:tcBorders>
            <w:tcMar>
              <w:top w:w="0" w:type="dxa"/>
              <w:left w:w="10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 </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categoría A</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2.000,00 €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4314.480.21</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categoría B</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6.000,00 €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4314.480.21</w:t>
            </w:r>
          </w:p>
        </w:tc>
      </w:tr>
      <w:tr w:rsidR="004B0491" w:rsidRPr="004B0491" w:rsidTr="004B0491">
        <w:trPr>
          <w:trHeight w:val="253"/>
        </w:trPr>
        <w:tc>
          <w:tcPr>
            <w:tcW w:w="2358" w:type="dxa"/>
            <w:tcBorders>
              <w:top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both"/>
              <w:rPr>
                <w:rFonts w:ascii="Arial" w:eastAsia="Times New Roman" w:hAnsi="Arial" w:cs="Arial"/>
                <w:sz w:val="24"/>
                <w:szCs w:val="24"/>
                <w:lang w:eastAsia="es-ES"/>
              </w:rPr>
            </w:pPr>
            <w:r w:rsidRPr="004B0491">
              <w:rPr>
                <w:rFonts w:ascii="Arial" w:eastAsia="Times New Roman" w:hAnsi="Arial" w:cs="Arial"/>
                <w:i/>
                <w:iCs/>
                <w:sz w:val="20"/>
                <w:szCs w:val="20"/>
                <w:lang w:eastAsia="es-ES"/>
              </w:rPr>
              <w:t>Turismo</w:t>
            </w:r>
          </w:p>
        </w:tc>
        <w:tc>
          <w:tcPr>
            <w:tcW w:w="2759" w:type="dxa"/>
            <w:gridSpan w:val="2"/>
            <w:tcBorders>
              <w:top w:val="single" w:sz="8" w:space="0" w:color="auto"/>
              <w:left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right"/>
              <w:rPr>
                <w:rFonts w:ascii="Arial" w:eastAsia="Times New Roman" w:hAnsi="Arial" w:cs="Arial"/>
                <w:sz w:val="24"/>
                <w:szCs w:val="24"/>
                <w:lang w:eastAsia="es-ES"/>
              </w:rPr>
            </w:pPr>
            <w:r w:rsidRPr="004B0491">
              <w:rPr>
                <w:rFonts w:ascii="Arial" w:eastAsia="Times New Roman" w:hAnsi="Arial" w:cs="Arial"/>
                <w:i/>
                <w:iCs/>
                <w:sz w:val="20"/>
                <w:szCs w:val="20"/>
                <w:lang w:eastAsia="es-ES"/>
              </w:rPr>
              <w:t>3.000,00 €</w:t>
            </w:r>
          </w:p>
        </w:tc>
        <w:tc>
          <w:tcPr>
            <w:tcW w:w="2353" w:type="dxa"/>
            <w:tcBorders>
              <w:top w:val="single" w:sz="8" w:space="0" w:color="auto"/>
              <w:left w:val="single" w:sz="8" w:space="0" w:color="auto"/>
            </w:tcBorders>
            <w:tcMar>
              <w:top w:w="0" w:type="dxa"/>
              <w:left w:w="98" w:type="dxa"/>
              <w:bottom w:w="0" w:type="dxa"/>
              <w:right w:w="98" w:type="dxa"/>
            </w:tcMar>
            <w:hideMark/>
          </w:tcPr>
          <w:p w:rsidR="004B0491" w:rsidRPr="004B0491" w:rsidRDefault="004B0491" w:rsidP="004B0491">
            <w:pPr>
              <w:spacing w:after="0" w:line="234" w:lineRule="atLeast"/>
              <w:ind w:left="567" w:hanging="567"/>
              <w:jc w:val="center"/>
              <w:rPr>
                <w:rFonts w:ascii="Arial" w:eastAsia="Times New Roman" w:hAnsi="Arial" w:cs="Arial"/>
                <w:sz w:val="24"/>
                <w:szCs w:val="24"/>
                <w:lang w:eastAsia="es-ES"/>
              </w:rPr>
            </w:pPr>
            <w:r w:rsidRPr="004B0491">
              <w:rPr>
                <w:rFonts w:ascii="Arial" w:eastAsia="Times New Roman" w:hAnsi="Arial" w:cs="Arial"/>
                <w:i/>
                <w:iCs/>
                <w:sz w:val="20"/>
                <w:szCs w:val="20"/>
                <w:lang w:eastAsia="es-ES"/>
              </w:rPr>
              <w:t>432.480.28</w:t>
            </w:r>
          </w:p>
        </w:tc>
        <w:bookmarkStart w:id="0" w:name="_GoBack"/>
        <w:bookmarkEnd w:id="0"/>
      </w:tr>
    </w:tbl>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lastRenderedPageBreak/>
        <w:t>Visto que en fecha 15 de julio de 2020 la Junta de Gobierno local acordó aprobar inicialmente las bases particulares reguladoras de la convocatoria para la concesión de subvenciones para actividades educativas, culturales y juveniles, de promoción económica, comercio, turismo, juventud, cooperación y solidaridad y deportes de este municipio para el ejercicio 2020.</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Visto que las bases se han publicado en el BOP en fecha 3 de agosto de 2020 y han sido sometidas a información pública por un período de veinte días naturales, mediante la publicación del anuncio correspondiente en el Boletín Oficial de la Provincia de Barcelona y disponer, al mismo tiempo, su exposición en el tablón de edictos de la corporación y en la web municipal, a los efectos de presentación de alegaciones.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Al no haber habido reclamaciones ni sugerencias, el acuerdo inicial ha devenido definitivo.</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En virtud de las facultades que tengo conferidas,</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b/>
          <w:bCs/>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b/>
          <w:bCs/>
          <w:i/>
          <w:iCs/>
          <w:color w:val="000000"/>
          <w:sz w:val="20"/>
          <w:szCs w:val="20"/>
          <w:lang w:eastAsia="es-ES"/>
        </w:rPr>
        <w:t>RESUELVO</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b/>
          <w:bCs/>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b/>
          <w:bCs/>
          <w:i/>
          <w:iCs/>
          <w:color w:val="000000"/>
          <w:sz w:val="20"/>
          <w:szCs w:val="20"/>
          <w:lang w:eastAsia="es-ES"/>
        </w:rPr>
        <w:t>PRIMERO.- </w:t>
      </w:r>
      <w:r w:rsidRPr="004B0491">
        <w:rPr>
          <w:rFonts w:ascii="Arial" w:eastAsia="Times New Roman" w:hAnsi="Arial" w:cs="Arial"/>
          <w:i/>
          <w:iCs/>
          <w:color w:val="000000"/>
          <w:sz w:val="20"/>
          <w:szCs w:val="20"/>
          <w:lang w:eastAsia="es-ES"/>
        </w:rPr>
        <w:t>Proceder a la convocatoria pública para la concesión de subvenciones correspondientes a las áreas de Educación, Cultura, Juventud, Promoción económica, Comercio, Turismo, Cooperación y Solidaridad y Deportes, con cargo a las aplicaciones presupuestarias del ejercicio económico 2020:</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tbl>
      <w:tblPr>
        <w:tblW w:w="8138" w:type="dxa"/>
        <w:tblInd w:w="312" w:type="dxa"/>
        <w:tblBorders>
          <w:top w:val="single" w:sz="8" w:space="0" w:color="000000"/>
          <w:left w:val="single" w:sz="8" w:space="0" w:color="000000"/>
          <w:bottom w:val="single" w:sz="8" w:space="0" w:color="000000"/>
          <w:right w:val="single" w:sz="8" w:space="0" w:color="000000"/>
        </w:tblBorders>
        <w:tblCellMar>
          <w:left w:w="0" w:type="dxa"/>
          <w:right w:w="0" w:type="dxa"/>
        </w:tblCellMar>
        <w:tblLook w:val="04A0" w:firstRow="1" w:lastRow="0" w:firstColumn="1" w:lastColumn="0" w:noHBand="0" w:noVBand="1"/>
      </w:tblPr>
      <w:tblGrid>
        <w:gridCol w:w="2569"/>
        <w:gridCol w:w="2707"/>
        <w:gridCol w:w="299"/>
        <w:gridCol w:w="2563"/>
      </w:tblGrid>
      <w:tr w:rsidR="004B0491" w:rsidRPr="004B0491" w:rsidTr="004B0491">
        <w:trPr>
          <w:trHeight w:val="516"/>
        </w:trPr>
        <w:tc>
          <w:tcPr>
            <w:tcW w:w="2358" w:type="dxa"/>
            <w:tcBorders>
              <w:bottom w:val="single" w:sz="8" w:space="0" w:color="auto"/>
              <w:right w:val="single" w:sz="8" w:space="0" w:color="auto"/>
            </w:tcBorders>
            <w:shd w:val="clear" w:color="auto" w:fill="D9D9D9"/>
            <w:tcMar>
              <w:top w:w="0" w:type="dxa"/>
              <w:left w:w="98" w:type="dxa"/>
              <w:bottom w:w="0" w:type="dxa"/>
              <w:right w:w="98" w:type="dxa"/>
            </w:tcMar>
            <w:vAlign w:val="cente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b/>
                <w:bCs/>
                <w:i/>
                <w:iCs/>
                <w:sz w:val="20"/>
                <w:szCs w:val="20"/>
                <w:lang w:eastAsia="es-ES"/>
              </w:rPr>
              <w:t>Concejalía</w:t>
            </w:r>
          </w:p>
        </w:tc>
        <w:tc>
          <w:tcPr>
            <w:tcW w:w="2759" w:type="dxa"/>
            <w:gridSpan w:val="2"/>
            <w:tcBorders>
              <w:left w:val="single" w:sz="8" w:space="0" w:color="auto"/>
              <w:bottom w:val="single" w:sz="8" w:space="0" w:color="auto"/>
              <w:right w:val="single" w:sz="8" w:space="0" w:color="auto"/>
            </w:tcBorders>
            <w:shd w:val="clear" w:color="auto" w:fill="D9D9D9"/>
            <w:tcMar>
              <w:top w:w="0" w:type="dxa"/>
              <w:left w:w="98" w:type="dxa"/>
              <w:bottom w:w="0" w:type="dxa"/>
              <w:right w:w="98" w:type="dxa"/>
            </w:tcMar>
            <w:vAlign w:val="cente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b/>
                <w:bCs/>
                <w:i/>
                <w:iCs/>
                <w:sz w:val="20"/>
                <w:szCs w:val="20"/>
                <w:lang w:eastAsia="es-ES"/>
              </w:rPr>
              <w:t>importe</w:t>
            </w:r>
          </w:p>
        </w:tc>
        <w:tc>
          <w:tcPr>
            <w:tcW w:w="2353" w:type="dxa"/>
            <w:tcBorders>
              <w:left w:val="single" w:sz="8" w:space="0" w:color="auto"/>
            </w:tcBorders>
            <w:shd w:val="clear" w:color="auto" w:fill="D9D9D9"/>
            <w:tcMar>
              <w:top w:w="0" w:type="dxa"/>
              <w:left w:w="98" w:type="dxa"/>
              <w:bottom w:w="0" w:type="dxa"/>
              <w:right w:w="98" w:type="dxa"/>
            </w:tcMar>
            <w:vAlign w:val="cente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b/>
                <w:bCs/>
                <w:i/>
                <w:iCs/>
                <w:sz w:val="20"/>
                <w:szCs w:val="20"/>
                <w:lang w:eastAsia="es-ES"/>
              </w:rPr>
              <w:t>consignación</w:t>
            </w:r>
          </w:p>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b/>
                <w:bCs/>
                <w:i/>
                <w:iCs/>
                <w:sz w:val="20"/>
                <w:szCs w:val="20"/>
                <w:lang w:eastAsia="es-ES"/>
              </w:rPr>
              <w:t>presupuestaria</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Cooperación y Solidaridad</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10.000,00 €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2312.480.15</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promoción económica</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 </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categoría A</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2.000,00 €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4315.480.21</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categoría B</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6.000,00 €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4315.480.21</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educación</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6.000,00 €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323.489.01</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cultura</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4.500,00 €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330.489.09</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Juventud</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2.600,00 €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3371.480.29</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Deportes</w:t>
            </w:r>
          </w:p>
        </w:tc>
        <w:tc>
          <w:tcPr>
            <w:tcW w:w="2485" w:type="dxa"/>
            <w:tcBorders>
              <w:top w:val="single" w:sz="8" w:space="0" w:color="auto"/>
              <w:left w:val="single" w:sz="8" w:space="0" w:color="auto"/>
              <w:bottom w:val="single" w:sz="8" w:space="0" w:color="auto"/>
            </w:tcBorders>
            <w:tcMar>
              <w:top w:w="0" w:type="dxa"/>
              <w:left w:w="98" w:type="dxa"/>
              <w:bottom w:w="0" w:type="dxa"/>
              <w:right w:w="10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 </w:t>
            </w:r>
          </w:p>
        </w:tc>
        <w:tc>
          <w:tcPr>
            <w:tcW w:w="58" w:type="dxa"/>
            <w:tcBorders>
              <w:top w:val="single" w:sz="8" w:space="0" w:color="auto"/>
              <w:bottom w:val="single" w:sz="8" w:space="0" w:color="auto"/>
              <w:right w:val="single" w:sz="8" w:space="0" w:color="auto"/>
            </w:tcBorders>
            <w:tcMar>
              <w:top w:w="0" w:type="dxa"/>
              <w:left w:w="10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 </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apartado A</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10.000,00 €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342.489.16</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apartado B</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25.000,00 €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342.489.16</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Comercio</w:t>
            </w:r>
          </w:p>
        </w:tc>
        <w:tc>
          <w:tcPr>
            <w:tcW w:w="2485" w:type="dxa"/>
            <w:tcBorders>
              <w:top w:val="single" w:sz="8" w:space="0" w:color="auto"/>
              <w:left w:val="single" w:sz="8" w:space="0" w:color="auto"/>
              <w:bottom w:val="single" w:sz="8" w:space="0" w:color="auto"/>
            </w:tcBorders>
            <w:tcMar>
              <w:top w:w="0" w:type="dxa"/>
              <w:left w:w="98" w:type="dxa"/>
              <w:bottom w:w="0" w:type="dxa"/>
              <w:right w:w="10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 </w:t>
            </w:r>
          </w:p>
        </w:tc>
        <w:tc>
          <w:tcPr>
            <w:tcW w:w="58" w:type="dxa"/>
            <w:tcBorders>
              <w:top w:val="single" w:sz="8" w:space="0" w:color="auto"/>
              <w:bottom w:val="single" w:sz="8" w:space="0" w:color="auto"/>
              <w:right w:val="single" w:sz="8" w:space="0" w:color="auto"/>
            </w:tcBorders>
            <w:tcMar>
              <w:top w:w="0" w:type="dxa"/>
              <w:left w:w="10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 </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categoría A</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2.000,00 €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4314.480.21</w:t>
            </w:r>
          </w:p>
        </w:tc>
      </w:tr>
      <w:tr w:rsidR="004B0491" w:rsidRPr="004B0491" w:rsidTr="004B0491">
        <w:trPr>
          <w:trHeight w:val="253"/>
        </w:trPr>
        <w:tc>
          <w:tcPr>
            <w:tcW w:w="2358" w:type="dxa"/>
            <w:tcBorders>
              <w:top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categoría B</w:t>
            </w:r>
          </w:p>
        </w:tc>
        <w:tc>
          <w:tcPr>
            <w:tcW w:w="2759" w:type="dxa"/>
            <w:gridSpan w:val="2"/>
            <w:tcBorders>
              <w:top w:val="single" w:sz="8" w:space="0" w:color="auto"/>
              <w:left w:val="single" w:sz="8" w:space="0" w:color="auto"/>
              <w:bottom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6.000,00 €</w:t>
            </w:r>
          </w:p>
        </w:tc>
        <w:tc>
          <w:tcPr>
            <w:tcW w:w="2353" w:type="dxa"/>
            <w:tcBorders>
              <w:top w:val="single" w:sz="8" w:space="0" w:color="auto"/>
              <w:left w:val="single" w:sz="8" w:space="0" w:color="auto"/>
              <w:bottom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4314.480.21</w:t>
            </w:r>
          </w:p>
        </w:tc>
      </w:tr>
      <w:tr w:rsidR="004B0491" w:rsidRPr="004B0491" w:rsidTr="004B0491">
        <w:trPr>
          <w:trHeight w:val="253"/>
        </w:trPr>
        <w:tc>
          <w:tcPr>
            <w:tcW w:w="2358" w:type="dxa"/>
            <w:tcBorders>
              <w:top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Turismo</w:t>
            </w:r>
          </w:p>
        </w:tc>
        <w:tc>
          <w:tcPr>
            <w:tcW w:w="2759" w:type="dxa"/>
            <w:gridSpan w:val="2"/>
            <w:tcBorders>
              <w:top w:val="single" w:sz="8" w:space="0" w:color="auto"/>
              <w:left w:val="single" w:sz="8" w:space="0" w:color="auto"/>
              <w:righ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3.000,00 €</w:t>
            </w:r>
          </w:p>
        </w:tc>
        <w:tc>
          <w:tcPr>
            <w:tcW w:w="2353" w:type="dxa"/>
            <w:tcBorders>
              <w:top w:val="single" w:sz="8" w:space="0" w:color="auto"/>
              <w:left w:val="single" w:sz="8" w:space="0" w:color="auto"/>
            </w:tcBorders>
            <w:tcMar>
              <w:top w:w="0" w:type="dxa"/>
              <w:left w:w="98" w:type="dxa"/>
              <w:bottom w:w="0" w:type="dxa"/>
              <w:right w:w="98" w:type="dxa"/>
            </w:tcMar>
            <w:hideMark/>
          </w:tcPr>
          <w:p w:rsidR="004B0491" w:rsidRPr="004B0491" w:rsidRDefault="004B0491" w:rsidP="004B0491">
            <w:pPr>
              <w:spacing w:after="0" w:line="240" w:lineRule="auto"/>
              <w:jc w:val="both"/>
              <w:rPr>
                <w:rFonts w:ascii="Arial" w:eastAsia="Times New Roman" w:hAnsi="Arial" w:cs="Arial"/>
                <w:sz w:val="20"/>
                <w:szCs w:val="20"/>
                <w:lang w:eastAsia="es-ES"/>
              </w:rPr>
            </w:pPr>
            <w:r w:rsidRPr="004B0491">
              <w:rPr>
                <w:rFonts w:ascii="Arial" w:eastAsia="Times New Roman" w:hAnsi="Arial" w:cs="Arial"/>
                <w:i/>
                <w:iCs/>
                <w:sz w:val="20"/>
                <w:szCs w:val="20"/>
                <w:lang w:eastAsia="es-ES"/>
              </w:rPr>
              <w:t>432.480.28</w:t>
            </w:r>
          </w:p>
        </w:tc>
      </w:tr>
    </w:tbl>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color w:val="000000"/>
          <w:sz w:val="20"/>
          <w:szCs w:val="20"/>
          <w:lang w:eastAsia="es-ES"/>
        </w:rPr>
        <w:br/>
      </w:r>
      <w:r w:rsidRPr="004B0491">
        <w:rPr>
          <w:rFonts w:ascii="Arial" w:eastAsia="Times New Roman" w:hAnsi="Arial" w:cs="Arial"/>
          <w:i/>
          <w:iCs/>
          <w:color w:val="000000"/>
          <w:sz w:val="20"/>
          <w:szCs w:val="20"/>
          <w:lang w:eastAsia="es-ES"/>
        </w:rPr>
        <w:t>Requisitos: los establecidos en las Bases Generales y particulares de acuerdo con modelos normalizados que rige la convocatoria y se publicarán en la web del Ayuntamiento.</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color w:val="000000"/>
          <w:sz w:val="20"/>
          <w:szCs w:val="20"/>
          <w:lang w:eastAsia="es-ES"/>
        </w:rPr>
        <w:br/>
      </w:r>
      <w:r w:rsidRPr="004B0491">
        <w:rPr>
          <w:rFonts w:ascii="Arial" w:eastAsia="Times New Roman" w:hAnsi="Arial" w:cs="Arial"/>
          <w:i/>
          <w:iCs/>
          <w:color w:val="000000"/>
          <w:sz w:val="20"/>
          <w:szCs w:val="20"/>
          <w:lang w:eastAsia="es-ES"/>
        </w:rPr>
        <w:t>Órgano competente para la instrucción y resolución del procedimiento: la Junta de Gobierno Local.</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color w:val="000000"/>
          <w:sz w:val="20"/>
          <w:szCs w:val="20"/>
          <w:lang w:eastAsia="es-ES"/>
        </w:rPr>
        <w:br/>
      </w:r>
      <w:r w:rsidRPr="004B0491">
        <w:rPr>
          <w:rFonts w:ascii="Arial" w:eastAsia="Times New Roman" w:hAnsi="Arial" w:cs="Arial"/>
          <w:i/>
          <w:iCs/>
          <w:color w:val="000000"/>
          <w:sz w:val="20"/>
          <w:szCs w:val="20"/>
          <w:shd w:val="clear" w:color="auto" w:fill="C9D7F1"/>
          <w:lang w:eastAsia="es-ES"/>
        </w:rPr>
        <w:t>Plazo de presentación de solicitudes: 20 días hábiles a contar desde el día siguiente a la publicación del anuncio en el Boletín Oficial de la Provincia.</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Plazo de resolución y notificación: 3 meses, a partir del día de finalización del plazo de presentación de solicitudes.</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b/>
          <w:bCs/>
          <w:i/>
          <w:iCs/>
          <w:color w:val="000000"/>
          <w:sz w:val="20"/>
          <w:szCs w:val="20"/>
          <w:lang w:eastAsia="es-ES"/>
        </w:rPr>
        <w:t>SEGUNDO.- </w:t>
      </w:r>
      <w:r w:rsidRPr="004B0491">
        <w:rPr>
          <w:rFonts w:ascii="Arial" w:eastAsia="Times New Roman" w:hAnsi="Arial" w:cs="Arial"/>
          <w:i/>
          <w:iCs/>
          <w:color w:val="000000"/>
          <w:sz w:val="20"/>
          <w:szCs w:val="20"/>
          <w:lang w:eastAsia="es-ES"/>
        </w:rPr>
        <w:t>Autorizar los importes mencionados en el apartado primero a las aplicaciones presupuestarias especificadas del presupuesto municipal 2020.</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b/>
          <w:bCs/>
          <w:i/>
          <w:iCs/>
          <w:color w:val="000000"/>
          <w:sz w:val="20"/>
          <w:szCs w:val="20"/>
          <w:lang w:eastAsia="es-ES"/>
        </w:rPr>
        <w:lastRenderedPageBreak/>
        <w:t>TERCERO.- </w:t>
      </w:r>
      <w:r w:rsidRPr="004B0491">
        <w:rPr>
          <w:rFonts w:ascii="Arial" w:eastAsia="Times New Roman" w:hAnsi="Arial" w:cs="Arial"/>
          <w:i/>
          <w:iCs/>
          <w:color w:val="000000"/>
          <w:sz w:val="20"/>
          <w:szCs w:val="20"/>
          <w:lang w:eastAsia="es-ES"/>
        </w:rPr>
        <w:t>Publicar la presente convocatoria en el Boletín Oficial de la Provincia de Barcelona, en el Tablón de Edictos y en la web institucional del Ayuntamiento.</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i/>
          <w:iCs/>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proofErr w:type="gramStart"/>
      <w:r w:rsidRPr="004B0491">
        <w:rPr>
          <w:rFonts w:ascii="Arial" w:eastAsia="Times New Roman" w:hAnsi="Arial" w:cs="Arial"/>
          <w:b/>
          <w:bCs/>
          <w:i/>
          <w:iCs/>
          <w:color w:val="000000"/>
          <w:sz w:val="20"/>
          <w:szCs w:val="20"/>
          <w:lang w:eastAsia="es-ES"/>
        </w:rPr>
        <w:t>CUARTO </w:t>
      </w:r>
      <w:r w:rsidRPr="004B0491">
        <w:rPr>
          <w:rFonts w:ascii="Arial" w:eastAsia="Times New Roman" w:hAnsi="Arial" w:cs="Arial"/>
          <w:i/>
          <w:iCs/>
          <w:color w:val="000000"/>
          <w:sz w:val="20"/>
          <w:szCs w:val="20"/>
          <w:lang w:eastAsia="es-ES"/>
        </w:rPr>
        <w:t>.</w:t>
      </w:r>
      <w:proofErr w:type="gramEnd"/>
      <w:r w:rsidRPr="004B0491">
        <w:rPr>
          <w:rFonts w:ascii="Arial" w:eastAsia="Times New Roman" w:hAnsi="Arial" w:cs="Arial"/>
          <w:i/>
          <w:iCs/>
          <w:color w:val="000000"/>
          <w:sz w:val="20"/>
          <w:szCs w:val="20"/>
          <w:lang w:eastAsia="es-ES"/>
        </w:rPr>
        <w:t>- Notificar al departamento de servicios económicos a los efectos contables adecuados y con el fin de dar cumplimiento a lo dispuesto en el artículo 20.8 de la Ley 38/2003, de 17 de diciembre, General de subvenciones, en relación al envío de información en la Base de datos nacionales de subvenciones. </w:t>
      </w:r>
      <w:r w:rsidRPr="004B0491">
        <w:rPr>
          <w:rFonts w:ascii="Times New Roman" w:eastAsia="Times New Roman" w:hAnsi="Times New Roman" w:cs="Times New Roman"/>
          <w:i/>
          <w:iCs/>
          <w:color w:val="000000"/>
          <w:sz w:val="20"/>
          <w:szCs w:val="20"/>
          <w:lang w:eastAsia="es-ES"/>
        </w:rPr>
        <w:t>"</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color w:val="000000"/>
          <w:sz w:val="20"/>
          <w:szCs w:val="20"/>
          <w:lang w:eastAsia="es-ES"/>
        </w:rPr>
        <w:br/>
      </w:r>
      <w:proofErr w:type="spellStart"/>
      <w:r w:rsidRPr="004B0491">
        <w:rPr>
          <w:rFonts w:ascii="Arial" w:eastAsia="Times New Roman" w:hAnsi="Arial" w:cs="Arial"/>
          <w:color w:val="000000"/>
          <w:sz w:val="20"/>
          <w:szCs w:val="20"/>
          <w:lang w:eastAsia="es-ES"/>
        </w:rPr>
        <w:t>Cabrils</w:t>
      </w:r>
      <w:proofErr w:type="spellEnd"/>
      <w:r w:rsidRPr="004B0491">
        <w:rPr>
          <w:rFonts w:ascii="Arial" w:eastAsia="Times New Roman" w:hAnsi="Arial" w:cs="Arial"/>
          <w:color w:val="000000"/>
          <w:sz w:val="20"/>
          <w:szCs w:val="20"/>
          <w:lang w:eastAsia="es-ES"/>
        </w:rPr>
        <w:t>, 1 de septiembre de 2020</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color w:val="000000"/>
          <w:sz w:val="20"/>
          <w:szCs w:val="20"/>
          <w:lang w:eastAsia="es-ES"/>
        </w:rPr>
        <w:t>La Alcaldesa</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color w:val="000000"/>
          <w:sz w:val="20"/>
          <w:szCs w:val="20"/>
          <w:lang w:eastAsia="es-ES"/>
        </w:rPr>
        <w:t> </w:t>
      </w:r>
    </w:p>
    <w:p w:rsidR="004B0491" w:rsidRPr="004B0491" w:rsidRDefault="004B0491" w:rsidP="004B0491">
      <w:pPr>
        <w:spacing w:after="0" w:line="240" w:lineRule="auto"/>
        <w:jc w:val="both"/>
        <w:rPr>
          <w:rFonts w:ascii="Arial" w:eastAsia="Times New Roman" w:hAnsi="Arial" w:cs="Arial"/>
          <w:color w:val="000000"/>
          <w:sz w:val="20"/>
          <w:szCs w:val="20"/>
          <w:lang w:eastAsia="es-ES"/>
        </w:rPr>
      </w:pPr>
      <w:r w:rsidRPr="004B0491">
        <w:rPr>
          <w:rFonts w:ascii="Arial" w:eastAsia="Times New Roman" w:hAnsi="Arial" w:cs="Arial"/>
          <w:color w:val="000000"/>
          <w:sz w:val="20"/>
          <w:szCs w:val="20"/>
          <w:lang w:eastAsia="es-ES"/>
        </w:rPr>
        <w:t>Maite Viñals Clemente                                             </w:t>
      </w:r>
      <w:r w:rsidRPr="004B0491">
        <w:rPr>
          <w:rFonts w:ascii="Arial" w:eastAsia="Times New Roman" w:hAnsi="Arial" w:cs="Arial"/>
          <w:i/>
          <w:iCs/>
          <w:color w:val="000000"/>
          <w:sz w:val="20"/>
          <w:szCs w:val="20"/>
          <w:lang w:eastAsia="es-ES"/>
        </w:rPr>
        <w:t>    </w:t>
      </w:r>
    </w:p>
    <w:p w:rsidR="004B0491" w:rsidRPr="004B0491" w:rsidRDefault="004B0491" w:rsidP="004B0491">
      <w:pPr>
        <w:spacing w:after="120" w:line="240" w:lineRule="auto"/>
        <w:rPr>
          <w:rFonts w:ascii="Arial" w:eastAsia="Times New Roman" w:hAnsi="Arial" w:cs="Arial"/>
          <w:color w:val="000000"/>
          <w:sz w:val="20"/>
          <w:szCs w:val="20"/>
          <w:lang w:eastAsia="es-ES"/>
        </w:rPr>
      </w:pPr>
      <w:r w:rsidRPr="004B0491">
        <w:rPr>
          <w:rFonts w:ascii="Arial" w:eastAsia="Times New Roman" w:hAnsi="Arial" w:cs="Arial"/>
          <w:color w:val="000000"/>
          <w:sz w:val="20"/>
          <w:szCs w:val="20"/>
          <w:lang w:eastAsia="es-ES"/>
        </w:rPr>
        <w:t> </w:t>
      </w:r>
    </w:p>
    <w:p w:rsidR="004B0491" w:rsidRPr="004B0491" w:rsidRDefault="004B0491" w:rsidP="004B0491">
      <w:pPr>
        <w:spacing w:after="0" w:line="240" w:lineRule="auto"/>
        <w:rPr>
          <w:rFonts w:ascii="Arial" w:eastAsia="Times New Roman" w:hAnsi="Arial" w:cs="Arial"/>
          <w:color w:val="000000"/>
          <w:sz w:val="20"/>
          <w:szCs w:val="20"/>
          <w:lang w:eastAsia="es-ES"/>
        </w:rPr>
      </w:pPr>
      <w:r w:rsidRPr="004B0491">
        <w:rPr>
          <w:rFonts w:ascii="Arial" w:eastAsia="Times New Roman" w:hAnsi="Arial" w:cs="Arial"/>
          <w:noProof/>
          <w:color w:val="000000"/>
          <w:sz w:val="20"/>
          <w:szCs w:val="20"/>
          <w:lang w:eastAsia="es-ES"/>
        </w:rPr>
        <mc:AlternateContent>
          <mc:Choice Requires="wps">
            <w:drawing>
              <wp:inline distT="0" distB="0" distL="0" distR="0" wp14:anchorId="23137BEA" wp14:editId="3D858C0F">
                <wp:extent cx="5400675" cy="276225"/>
                <wp:effectExtent l="0" t="0" r="0" b="0"/>
                <wp:docPr id="1" name="AutoShape 1" descr="https://translate.googleusercontent.com/image_1.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40067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https://translate.googleusercontent.com/image_1.jpeg" style="width:425.25pt;height:2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" filled="f" stroked="f">
                <o:lock v:ext="edit" aspectratio="t"/>
                <w10:anchorlock/>
              </v:rect>
            </w:pict>
          </mc:Fallback>
        </mc:AlternateContent>
      </w:r>
    </w:p>
    <w:p w:rsidR="006F0C30" w:rsidRDefault="006F0C30"/>
    <w:sectPr w:rsidR="006F0C3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491"/>
    <w:rsid w:val="004B0491"/>
    <w:rsid w:val="006F0C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478529">
      <w:bodyDiv w:val="1"/>
      <w:marLeft w:val="0"/>
      <w:marRight w:val="0"/>
      <w:marTop w:val="0"/>
      <w:marBottom w:val="0"/>
      <w:divBdr>
        <w:top w:val="none" w:sz="0" w:space="0" w:color="auto"/>
        <w:left w:val="none" w:sz="0" w:space="0" w:color="auto"/>
        <w:bottom w:val="none" w:sz="0" w:space="0" w:color="auto"/>
        <w:right w:val="none" w:sz="0" w:space="0" w:color="auto"/>
      </w:divBdr>
      <w:divsChild>
        <w:div w:id="911813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4879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Bellonch</dc:creator>
  <cp:lastModifiedBy>Cristina Bellonch</cp:lastModifiedBy>
  <cp:revision>1</cp:revision>
  <dcterms:created xsi:type="dcterms:W3CDTF">2021-10-11T09:25:00Z</dcterms:created>
  <dcterms:modified xsi:type="dcterms:W3CDTF">2021-10-11T09:26:00Z</dcterms:modified>
</cp:coreProperties>
</file>